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579" w:lineRule="exact"/>
        <w:ind w:left="0" w:right="0" w:firstLine="0" w:firstLineChars="0"/>
        <w:jc w:val="center"/>
        <w:rPr>
          <w:rFonts w:hint="eastAsia" w:ascii="方正小标宋简体" w:hAnsi="方正小标宋简体" w:eastAsia="方正小标宋简体" w:cs="方正小标宋简体"/>
          <w:b w:val="0"/>
          <w:i w:val="0"/>
          <w:color w:val="auto"/>
          <w:sz w:val="44"/>
          <w:highlight w:val="none"/>
          <w:u w:val="none"/>
        </w:rPr>
      </w:pPr>
      <w:r>
        <w:rPr>
          <w:rFonts w:hint="eastAsia" w:ascii="方正小标宋简体" w:hAnsi="方正小标宋简体" w:eastAsia="方正小标宋简体" w:cs="方正小标宋简体"/>
          <w:b w:val="0"/>
          <w:i w:val="0"/>
          <w:color w:val="auto"/>
          <w:sz w:val="44"/>
          <w:highlight w:val="none"/>
          <w:u w:val="none"/>
        </w:rPr>
        <w:t>洋县烟草制品零售点合理布局规划</w:t>
      </w:r>
    </w:p>
    <w:p>
      <w:pPr>
        <w:widowControl w:val="0"/>
        <w:spacing w:line="579" w:lineRule="exact"/>
        <w:ind w:left="0" w:right="0" w:firstLine="0" w:firstLineChars="0"/>
        <w:jc w:val="center"/>
        <w:rPr>
          <w:rFonts w:hint="eastAsia" w:ascii="方正小标宋简体" w:hAnsi="方正小标宋简体" w:eastAsia="方正小标宋简体" w:cs="方正小标宋简体"/>
          <w:b w:val="0"/>
          <w:i w:val="0"/>
          <w:color w:val="auto"/>
          <w:sz w:val="44"/>
          <w:highlight w:val="none"/>
          <w:u w:val="none"/>
        </w:rPr>
      </w:pPr>
      <w:bookmarkStart w:id="0" w:name="_GoBack"/>
      <w:bookmarkEnd w:id="0"/>
      <w:r>
        <w:rPr>
          <w:rFonts w:hint="eastAsia" w:ascii="方正小标宋简体" w:hAnsi="方正小标宋简体" w:eastAsia="方正小标宋简体" w:cs="方正小标宋简体"/>
          <w:b w:val="0"/>
          <w:i w:val="0"/>
          <w:color w:val="auto"/>
          <w:sz w:val="44"/>
          <w:highlight w:val="none"/>
          <w:u w:val="none"/>
          <w:lang w:eastAsia="zh-CN"/>
        </w:rPr>
        <w:t>（</w:t>
      </w:r>
      <w:r>
        <w:rPr>
          <w:rFonts w:hint="eastAsia" w:ascii="方正小标宋简体" w:hAnsi="方正小标宋简体" w:eastAsia="方正小标宋简体" w:cs="方正小标宋简体"/>
          <w:b w:val="0"/>
          <w:i w:val="0"/>
          <w:color w:val="auto"/>
          <w:sz w:val="44"/>
          <w:highlight w:val="none"/>
          <w:u w:val="none"/>
          <w:lang w:val="en-US" w:eastAsia="zh-CN"/>
        </w:rPr>
        <w:t>征求意见稿</w:t>
      </w:r>
      <w:r>
        <w:rPr>
          <w:rFonts w:hint="eastAsia" w:ascii="方正小标宋简体" w:hAnsi="方正小标宋简体" w:eastAsia="方正小标宋简体" w:cs="方正小标宋简体"/>
          <w:b w:val="0"/>
          <w:i w:val="0"/>
          <w:color w:val="auto"/>
          <w:sz w:val="44"/>
          <w:highlight w:val="none"/>
          <w:u w:val="none"/>
          <w:lang w:eastAsia="zh-CN"/>
        </w:rPr>
        <w:t>）</w:t>
      </w:r>
      <w:r>
        <w:rPr>
          <w:rFonts w:hint="eastAsia" w:ascii="方正小标宋简体" w:hAnsi="方正小标宋简体" w:eastAsia="方正小标宋简体" w:cs="方正小标宋简体"/>
          <w:b w:val="0"/>
          <w:i w:val="0"/>
          <w:color w:val="auto"/>
          <w:sz w:val="44"/>
          <w:highlight w:val="none"/>
          <w:u w:val="none"/>
        </w:rPr>
        <w:tab/>
      </w:r>
    </w:p>
    <w:p>
      <w:pPr>
        <w:rPr>
          <w:rFonts w:hint="eastAsia"/>
          <w:color w:val="auto"/>
          <w:highlight w:val="none"/>
        </w:rPr>
      </w:pPr>
    </w:p>
    <w:p>
      <w:pPr>
        <w:widowControl w:val="0"/>
        <w:spacing w:line="579" w:lineRule="exact"/>
        <w:ind w:left="0" w:leftChars="0" w:right="0" w:firstLine="0" w:firstLineChars="0"/>
        <w:jc w:val="center"/>
        <w:rPr>
          <w:rFonts w:hint="eastAsia" w:ascii="黑体" w:hAnsi="黑体" w:eastAsia="黑体" w:cs="黑体"/>
          <w:b w:val="0"/>
          <w:i w:val="0"/>
          <w:color w:val="auto"/>
          <w:sz w:val="32"/>
          <w:highlight w:val="none"/>
          <w:u w:val="none"/>
        </w:rPr>
      </w:pPr>
      <w:r>
        <w:rPr>
          <w:rFonts w:hint="eastAsia" w:ascii="黑体" w:hAnsi="黑体" w:eastAsia="黑体" w:cs="黑体"/>
          <w:b w:val="0"/>
          <w:i w:val="0"/>
          <w:color w:val="auto"/>
          <w:sz w:val="32"/>
          <w:highlight w:val="none"/>
          <w:u w:val="none"/>
        </w:rPr>
        <w:t>第一章</w:t>
      </w:r>
      <w:r>
        <w:rPr>
          <w:rFonts w:hint="eastAsia" w:ascii="黑体" w:hAnsi="黑体" w:eastAsia="黑体" w:cs="黑体"/>
          <w:b w:val="0"/>
          <w:i w:val="0"/>
          <w:color w:val="auto"/>
          <w:sz w:val="32"/>
          <w:highlight w:val="none"/>
          <w:u w:val="none"/>
          <w:lang w:val="en-US" w:eastAsia="zh-CN"/>
        </w:rPr>
        <w:t xml:space="preserve">  </w:t>
      </w:r>
      <w:r>
        <w:rPr>
          <w:rFonts w:hint="eastAsia" w:ascii="黑体" w:hAnsi="黑体" w:eastAsia="黑体" w:cs="黑体"/>
          <w:b w:val="0"/>
          <w:i w:val="0"/>
          <w:color w:val="auto"/>
          <w:sz w:val="32"/>
          <w:highlight w:val="none"/>
          <w:u w:val="none"/>
        </w:rPr>
        <w:t>总则</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为持续深化“放管服”改革，加强烟草专卖零售许可证管理，规范烟草制品流通秩序，维护国家利益和消费者利益，保护烟草制品经营者、消费者和未成年人的合法权益</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根据《中华人民共和国行政许可法》、《中华人民共和国未成年人保护法》、《中华人民共和国烟草专卖法》</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《中华人民共和国烟草专卖法实施</w:t>
      </w:r>
      <w:r>
        <w:rPr>
          <w:rFonts w:hint="eastAsia" w:ascii="仿宋_GB2312" w:hAnsi="仿宋_GB2312" w:eastAsia="仿宋_GB2312" w:cs="仿宋_GB2312"/>
          <w:b w:val="0"/>
          <w:i w:val="0"/>
          <w:color w:val="auto"/>
          <w:sz w:val="32"/>
          <w:highlight w:val="none"/>
          <w:u w:val="none"/>
          <w:lang w:eastAsia="zh-CN"/>
        </w:rPr>
        <w:t>条</w:t>
      </w:r>
      <w:r>
        <w:rPr>
          <w:rFonts w:hint="eastAsia" w:ascii="仿宋_GB2312" w:hAnsi="仿宋_GB2312" w:eastAsia="仿宋_GB2312" w:cs="仿宋_GB2312"/>
          <w:b w:val="0"/>
          <w:i w:val="0"/>
          <w:color w:val="auto"/>
          <w:sz w:val="32"/>
          <w:highlight w:val="none"/>
          <w:u w:val="none"/>
        </w:rPr>
        <w:t>例》</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《烟草专卖许可证管理办法》</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《烟草专卖许可证管理办法实施细则》等法律</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法规</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规章及规范性文件规定，结合</w:t>
      </w:r>
      <w:r>
        <w:rPr>
          <w:rFonts w:hint="eastAsia" w:ascii="仿宋_GB2312" w:hAnsi="仿宋_GB2312" w:eastAsia="仿宋_GB2312" w:cs="仿宋_GB2312"/>
          <w:b w:val="0"/>
          <w:i w:val="0"/>
          <w:color w:val="auto"/>
          <w:sz w:val="32"/>
          <w:highlight w:val="none"/>
          <w:u w:val="none"/>
          <w:lang w:val="en-US" w:eastAsia="zh-CN"/>
        </w:rPr>
        <w:t>洋县</w:t>
      </w:r>
      <w:r>
        <w:rPr>
          <w:rFonts w:hint="eastAsia" w:ascii="仿宋_GB2312" w:hAnsi="仿宋_GB2312" w:eastAsia="仿宋_GB2312" w:cs="仿宋_GB2312"/>
          <w:b w:val="0"/>
          <w:i w:val="0"/>
          <w:color w:val="auto"/>
          <w:sz w:val="32"/>
          <w:highlight w:val="none"/>
          <w:u w:val="none"/>
        </w:rPr>
        <w:t>实际，制定本</w:t>
      </w:r>
      <w:r>
        <w:rPr>
          <w:rFonts w:hint="eastAsia" w:ascii="仿宋_GB2312" w:hAnsi="仿宋_GB2312" w:eastAsia="仿宋_GB2312" w:cs="仿宋_GB2312"/>
          <w:b w:val="0"/>
          <w:i w:val="0"/>
          <w:color w:val="auto"/>
          <w:sz w:val="32"/>
          <w:highlight w:val="none"/>
          <w:u w:val="none"/>
          <w:lang w:val="en-US" w:eastAsia="zh-CN"/>
        </w:rPr>
        <w:t>规划</w:t>
      </w:r>
      <w:r>
        <w:rPr>
          <w:rFonts w:hint="eastAsia" w:ascii="仿宋_GB2312" w:hAnsi="仿宋_GB2312" w:eastAsia="仿宋_GB2312" w:cs="仿宋_GB2312"/>
          <w:b w:val="0"/>
          <w:i w:val="0"/>
          <w:color w:val="auto"/>
          <w:sz w:val="32"/>
          <w:highlight w:val="none"/>
          <w:u w:val="none"/>
        </w:rPr>
        <w:t>。</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本规划适用于</w:t>
      </w:r>
      <w:r>
        <w:rPr>
          <w:rFonts w:hint="eastAsia" w:ascii="仿宋_GB2312" w:hAnsi="仿宋_GB2312" w:eastAsia="仿宋_GB2312" w:cs="仿宋_GB2312"/>
          <w:b w:val="0"/>
          <w:i w:val="0"/>
          <w:color w:val="auto"/>
          <w:sz w:val="32"/>
          <w:highlight w:val="none"/>
          <w:u w:val="none"/>
          <w:lang w:val="en-US" w:eastAsia="zh-CN"/>
        </w:rPr>
        <w:t>洋县</w:t>
      </w:r>
      <w:r>
        <w:rPr>
          <w:rFonts w:hint="eastAsia" w:ascii="仿宋_GB2312" w:hAnsi="仿宋_GB2312" w:eastAsia="仿宋_GB2312" w:cs="仿宋_GB2312"/>
          <w:b w:val="0"/>
          <w:i w:val="0"/>
          <w:color w:val="auto"/>
          <w:sz w:val="32"/>
          <w:highlight w:val="none"/>
          <w:u w:val="none"/>
        </w:rPr>
        <w:t>行政区域范围的烟草制品零售点的布局管理。</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本规划所称烟草制品零售点（以下简称零售点）是指经公民、法人或其他组织依法申请，从事烟</w:t>
      </w:r>
      <w:r>
        <w:rPr>
          <w:rFonts w:hint="eastAsia" w:ascii="仿宋_GB2312" w:hAnsi="仿宋_GB2312" w:eastAsia="仿宋_GB2312" w:cs="仿宋_GB2312"/>
          <w:color w:val="auto"/>
          <w:sz w:val="32"/>
          <w:highlight w:val="none"/>
          <w:u w:val="none"/>
        </w:rPr>
        <w:t>草制品零售业务的经营场所</w:t>
      </w:r>
      <w:r>
        <w:rPr>
          <w:rFonts w:hint="eastAsia" w:ascii="仿宋_GB2312" w:hAnsi="仿宋_GB2312" w:eastAsia="仿宋_GB2312" w:cs="仿宋_GB2312"/>
          <w:b w:val="0"/>
          <w:i w:val="0"/>
          <w:color w:val="auto"/>
          <w:sz w:val="32"/>
          <w:highlight w:val="none"/>
          <w:u w:val="none"/>
        </w:rPr>
        <w:t>。</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零售点布局遵循依法行政、科学规划、服务社会、均衡发展的原则，坚持零售户总量与烟草制品消费需求相适应，逐步达到基本满足社会需要、零售户规范经营、市场秩序良好的目标。</w:t>
      </w:r>
    </w:p>
    <w:p>
      <w:pPr>
        <w:widowControl w:val="0"/>
        <w:spacing w:line="579" w:lineRule="exact"/>
        <w:ind w:left="0" w:leftChars="0" w:right="0" w:firstLine="0" w:firstLineChars="0"/>
        <w:jc w:val="center"/>
        <w:rPr>
          <w:rFonts w:hint="eastAsia" w:ascii="黑体" w:hAnsi="黑体" w:eastAsia="黑体" w:cs="黑体"/>
          <w:b w:val="0"/>
          <w:i w:val="0"/>
          <w:color w:val="auto"/>
          <w:sz w:val="32"/>
          <w:highlight w:val="none"/>
          <w:u w:val="none"/>
        </w:rPr>
      </w:pPr>
      <w:r>
        <w:rPr>
          <w:rFonts w:hint="eastAsia" w:ascii="黑体" w:hAnsi="黑体" w:eastAsia="黑体" w:cs="黑体"/>
          <w:b w:val="0"/>
          <w:i w:val="0"/>
          <w:color w:val="auto"/>
          <w:sz w:val="32"/>
          <w:highlight w:val="none"/>
          <w:u w:val="none"/>
        </w:rPr>
        <w:t>第二章</w:t>
      </w:r>
      <w:r>
        <w:rPr>
          <w:rFonts w:hint="eastAsia" w:ascii="黑体" w:hAnsi="黑体" w:eastAsia="黑体" w:cs="黑体"/>
          <w:b w:val="0"/>
          <w:i w:val="0"/>
          <w:color w:val="auto"/>
          <w:sz w:val="32"/>
          <w:highlight w:val="none"/>
          <w:u w:val="none"/>
          <w:lang w:val="en-US" w:eastAsia="zh-CN"/>
        </w:rPr>
        <w:t xml:space="preserve">  </w:t>
      </w:r>
      <w:r>
        <w:rPr>
          <w:rFonts w:hint="eastAsia" w:ascii="黑体" w:hAnsi="黑体" w:eastAsia="黑体" w:cs="黑体"/>
          <w:b w:val="0"/>
          <w:i w:val="0"/>
          <w:color w:val="auto"/>
          <w:sz w:val="32"/>
          <w:highlight w:val="none"/>
          <w:u w:val="none"/>
        </w:rPr>
        <w:t>总体布局</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零售点总体布局实行采用距离控制、总量控制</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“距离+总量”</w:t>
      </w:r>
      <w:r>
        <w:rPr>
          <w:rFonts w:hint="eastAsia" w:ascii="仿宋_GB2312" w:hAnsi="仿宋_GB2312" w:eastAsia="仿宋_GB2312" w:cs="仿宋_GB2312"/>
          <w:b w:val="0"/>
          <w:i w:val="0"/>
          <w:color w:val="auto"/>
          <w:sz w:val="32"/>
          <w:highlight w:val="none"/>
          <w:u w:val="none"/>
          <w:lang w:val="en-US" w:eastAsia="zh-CN"/>
        </w:rPr>
        <w:t>控制</w:t>
      </w:r>
      <w:r>
        <w:rPr>
          <w:rFonts w:hint="eastAsia" w:ascii="仿宋_GB2312" w:hAnsi="仿宋_GB2312" w:eastAsia="仿宋_GB2312" w:cs="仿宋_GB2312"/>
          <w:b w:val="0"/>
          <w:i w:val="0"/>
          <w:color w:val="auto"/>
          <w:sz w:val="32"/>
          <w:highlight w:val="none"/>
          <w:u w:val="none"/>
        </w:rPr>
        <w:t>的布局</w:t>
      </w:r>
      <w:r>
        <w:rPr>
          <w:rFonts w:hint="eastAsia" w:ascii="仿宋_GB2312" w:hAnsi="仿宋_GB2312" w:eastAsia="仿宋_GB2312" w:cs="仿宋_GB2312"/>
          <w:b w:val="0"/>
          <w:i w:val="0"/>
          <w:color w:val="auto"/>
          <w:sz w:val="32"/>
          <w:highlight w:val="none"/>
          <w:u w:val="none"/>
          <w:lang w:val="en-US" w:eastAsia="zh-CN"/>
        </w:rPr>
        <w:t>标准</w:t>
      </w:r>
      <w:r>
        <w:rPr>
          <w:rFonts w:hint="eastAsia" w:ascii="仿宋_GB2312" w:hAnsi="仿宋_GB2312" w:eastAsia="仿宋_GB2312" w:cs="仿宋_GB2312"/>
          <w:b w:val="0"/>
          <w:i w:val="0"/>
          <w:color w:val="auto"/>
          <w:sz w:val="32"/>
          <w:highlight w:val="none"/>
          <w:u w:val="none"/>
        </w:rPr>
        <w:t>。</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lang w:val="en-US" w:eastAsia="zh-CN"/>
        </w:rPr>
        <w:t>县烟草专卖局</w:t>
      </w:r>
      <w:r>
        <w:rPr>
          <w:rFonts w:hint="eastAsia" w:ascii="仿宋_GB2312" w:hAnsi="仿宋_GB2312" w:eastAsia="仿宋_GB2312" w:cs="仿宋_GB2312"/>
          <w:b w:val="0"/>
          <w:i w:val="0"/>
          <w:color w:val="auto"/>
          <w:sz w:val="32"/>
          <w:highlight w:val="none"/>
          <w:u w:val="none"/>
        </w:rPr>
        <w:t>根据辖区内的人口数量、交通状况、经济发展水平、消费能力及城镇居民居住区域的特点，结合城乡建设规划、市场类型等因素，将辖区划分为城区、</w:t>
      </w:r>
      <w:r>
        <w:rPr>
          <w:rFonts w:hint="eastAsia" w:ascii="仿宋_GB2312" w:hAnsi="仿宋_GB2312" w:eastAsia="仿宋_GB2312" w:cs="仿宋_GB2312"/>
          <w:b w:val="0"/>
          <w:i w:val="0"/>
          <w:color w:val="auto"/>
          <w:sz w:val="32"/>
          <w:highlight w:val="none"/>
          <w:u w:val="none"/>
          <w:lang w:val="en-US" w:eastAsia="zh-CN"/>
        </w:rPr>
        <w:t>集镇</w:t>
      </w:r>
      <w:r>
        <w:rPr>
          <w:rFonts w:hint="eastAsia" w:ascii="仿宋_GB2312" w:hAnsi="仿宋_GB2312" w:eastAsia="仿宋_GB2312" w:cs="仿宋_GB2312"/>
          <w:b w:val="0"/>
          <w:i w:val="0"/>
          <w:color w:val="auto"/>
          <w:sz w:val="32"/>
          <w:highlight w:val="none"/>
          <w:u w:val="none"/>
        </w:rPr>
        <w:t>、行政村、独立市场单元</w:t>
      </w:r>
      <w:r>
        <w:rPr>
          <w:rFonts w:hint="eastAsia" w:ascii="仿宋_GB2312" w:hAnsi="仿宋_GB2312" w:eastAsia="仿宋_GB2312" w:cs="仿宋_GB2312"/>
          <w:b w:val="0"/>
          <w:i w:val="0"/>
          <w:color w:val="auto"/>
          <w:sz w:val="32"/>
          <w:highlight w:val="none"/>
          <w:u w:val="none"/>
          <w:lang w:eastAsia="zh-CN"/>
        </w:rPr>
        <w:t>四</w:t>
      </w:r>
      <w:r>
        <w:rPr>
          <w:rFonts w:hint="eastAsia" w:ascii="仿宋_GB2312" w:hAnsi="仿宋_GB2312" w:eastAsia="仿宋_GB2312" w:cs="仿宋_GB2312"/>
          <w:b w:val="0"/>
          <w:i w:val="0"/>
          <w:color w:val="auto"/>
          <w:sz w:val="32"/>
          <w:highlight w:val="none"/>
          <w:u w:val="none"/>
        </w:rPr>
        <w:t>种类型</w:t>
      </w:r>
      <w:r>
        <w:rPr>
          <w:rFonts w:hint="eastAsia" w:ascii="仿宋_GB2312" w:hAnsi="仿宋_GB2312" w:eastAsia="仿宋_GB2312" w:cs="仿宋_GB2312"/>
          <w:b w:val="0"/>
          <w:i w:val="0"/>
          <w:color w:val="auto"/>
          <w:sz w:val="32"/>
          <w:highlight w:val="none"/>
          <w:u w:val="none"/>
          <w:lang w:eastAsia="zh-CN"/>
        </w:rPr>
        <w:t>。</w:t>
      </w:r>
    </w:p>
    <w:p>
      <w:pPr>
        <w:keepNext w:val="0"/>
        <w:keepLines w:val="0"/>
        <w:widowControl w:val="0"/>
        <w:numPr>
          <w:ilvl w:val="0"/>
          <w:numId w:val="2"/>
        </w:numPr>
        <w:suppressLineNumbers w:val="0"/>
        <w:spacing w:before="0" w:beforeAutospacing="0" w:after="0" w:afterAutospacing="0"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城区指</w:t>
      </w:r>
      <w:r>
        <w:rPr>
          <w:rFonts w:hint="default" w:ascii="仿宋_GB2312" w:hAnsi="仿宋_GB2312" w:eastAsia="仿宋_GB2312" w:cs="仿宋_GB2312"/>
          <w:b w:val="0"/>
          <w:i w:val="0"/>
          <w:color w:val="auto"/>
          <w:sz w:val="32"/>
          <w:highlight w:val="none"/>
          <w:u w:val="none"/>
        </w:rPr>
        <w:t>县城</w:t>
      </w:r>
      <w:r>
        <w:rPr>
          <w:rFonts w:hint="eastAsia" w:ascii="仿宋_GB2312" w:hAnsi="仿宋_GB2312" w:eastAsia="仿宋_GB2312" w:cs="仿宋_GB2312"/>
          <w:b w:val="0"/>
          <w:i w:val="0"/>
          <w:color w:val="auto"/>
          <w:sz w:val="32"/>
          <w:highlight w:val="none"/>
          <w:u w:val="none"/>
        </w:rPr>
        <w:t>主体区域，是政治、经济、文化中心</w:t>
      </w:r>
      <w:r>
        <w:rPr>
          <w:rFonts w:hint="eastAsia" w:ascii="仿宋_GB2312" w:hAnsi="仿宋_GB2312" w:eastAsia="仿宋_GB2312" w:cs="仿宋_GB2312"/>
          <w:b w:val="0"/>
          <w:i w:val="0"/>
          <w:color w:val="auto"/>
          <w:sz w:val="32"/>
          <w:highlight w:val="none"/>
          <w:u w:val="none"/>
          <w:lang w:val="en-US" w:eastAsia="zh-CN"/>
        </w:rPr>
        <w:t>。</w:t>
      </w:r>
      <w:r>
        <w:rPr>
          <w:rFonts w:hint="default" w:ascii="仿宋_GB2312" w:hAnsi="仿宋_GB2312" w:eastAsia="仿宋_GB2312" w:cs="仿宋_GB2312"/>
          <w:b w:val="0"/>
          <w:i w:val="0"/>
          <w:color w:val="auto"/>
          <w:sz w:val="32"/>
          <w:highlight w:val="none"/>
          <w:u w:val="none"/>
          <w:lang w:eastAsia="zh-CN"/>
        </w:rPr>
        <w:t>范围为</w:t>
      </w:r>
      <w:r>
        <w:rPr>
          <w:rFonts w:hint="default" w:ascii="仿宋_GB2312" w:hAnsi="Times New Roman" w:eastAsia="仿宋_GB2312" w:cs="仿宋_GB2312"/>
          <w:color w:val="auto"/>
          <w:kern w:val="2"/>
          <w:sz w:val="32"/>
          <w:szCs w:val="32"/>
          <w:highlight w:val="none"/>
          <w:lang w:val="en-US" w:eastAsia="zh-CN" w:bidi="ar"/>
        </w:rPr>
        <w:t>：傥滨社区、南街社区、北街社区、西南坝社区、西街社区、洋洲明珠社区、青年路社区、东街社区、东城社区、巩家槽社区</w:t>
      </w:r>
      <w:r>
        <w:rPr>
          <w:rFonts w:hint="default" w:ascii="仿宋_GB2312" w:hAnsi="Times New Roman" w:eastAsia="仿宋_GB2312" w:cs="仿宋_GB2312"/>
          <w:color w:val="auto"/>
          <w:kern w:val="2"/>
          <w:sz w:val="32"/>
          <w:szCs w:val="32"/>
          <w:highlight w:val="none"/>
          <w:lang w:eastAsia="zh-CN" w:bidi="ar"/>
        </w:rPr>
        <w:t>，纸坊街村、中核21社区、中核四〇五社区、中航307社区</w:t>
      </w:r>
      <w:r>
        <w:rPr>
          <w:rFonts w:hint="default" w:ascii="仿宋_GB2312" w:hAnsi="Times New Roman" w:eastAsia="仿宋_GB2312" w:cs="仿宋_GB2312"/>
          <w:color w:val="auto"/>
          <w:kern w:val="2"/>
          <w:sz w:val="32"/>
          <w:szCs w:val="32"/>
          <w:highlight w:val="none"/>
          <w:lang w:val="en-US" w:eastAsia="zh-CN" w:bidi="ar"/>
        </w:rPr>
        <w:t>。</w:t>
      </w:r>
    </w:p>
    <w:p>
      <w:pPr>
        <w:widowControl w:val="0"/>
        <w:numPr>
          <w:ilvl w:val="0"/>
          <w:numId w:val="2"/>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lang w:val="en-US" w:eastAsia="zh-CN"/>
        </w:rPr>
        <w:t>集镇</w:t>
      </w:r>
      <w:r>
        <w:rPr>
          <w:rFonts w:hint="eastAsia" w:ascii="仿宋_GB2312" w:hAnsi="仿宋_GB2312" w:eastAsia="仿宋_GB2312" w:cs="仿宋_GB2312"/>
          <w:b w:val="0"/>
          <w:i w:val="0"/>
          <w:color w:val="auto"/>
          <w:sz w:val="32"/>
          <w:highlight w:val="none"/>
          <w:u w:val="none"/>
        </w:rPr>
        <w:t>指</w:t>
      </w:r>
      <w:r>
        <w:rPr>
          <w:rFonts w:hint="eastAsia" w:ascii="仿宋_GB2312" w:hAnsi="仿宋_GB2312" w:eastAsia="仿宋_GB2312" w:cs="仿宋_GB2312"/>
          <w:b w:val="0"/>
          <w:i w:val="0"/>
          <w:color w:val="auto"/>
          <w:sz w:val="32"/>
          <w:highlight w:val="none"/>
          <w:u w:val="none"/>
          <w:lang w:val="en-US" w:eastAsia="zh-CN"/>
        </w:rPr>
        <w:t>镇</w:t>
      </w:r>
      <w:r>
        <w:rPr>
          <w:rFonts w:hint="eastAsia" w:ascii="仿宋_GB2312" w:hAnsi="仿宋_GB2312" w:eastAsia="仿宋_GB2312" w:cs="仿宋_GB2312"/>
          <w:b w:val="0"/>
          <w:i w:val="0"/>
          <w:color w:val="auto"/>
          <w:sz w:val="32"/>
          <w:highlight w:val="none"/>
          <w:u w:val="none"/>
        </w:rPr>
        <w:t>政府</w:t>
      </w:r>
      <w:r>
        <w:rPr>
          <w:rFonts w:hint="eastAsia" w:ascii="仿宋_GB2312" w:hAnsi="仿宋_GB2312" w:eastAsia="仿宋_GB2312" w:cs="仿宋_GB2312"/>
          <w:b w:val="0"/>
          <w:i w:val="0"/>
          <w:color w:val="auto"/>
          <w:sz w:val="32"/>
          <w:highlight w:val="none"/>
          <w:u w:val="none"/>
          <w:lang w:val="en-US" w:eastAsia="zh-CN"/>
        </w:rPr>
        <w:t>（社区）</w:t>
      </w:r>
      <w:r>
        <w:rPr>
          <w:rFonts w:hint="eastAsia" w:ascii="仿宋_GB2312" w:hAnsi="仿宋_GB2312" w:eastAsia="仿宋_GB2312" w:cs="仿宋_GB2312"/>
          <w:b w:val="0"/>
          <w:i w:val="0"/>
          <w:color w:val="auto"/>
          <w:sz w:val="32"/>
          <w:highlight w:val="none"/>
          <w:u w:val="none"/>
        </w:rPr>
        <w:t>驻地所在的行政村，是</w:t>
      </w:r>
      <w:r>
        <w:rPr>
          <w:rFonts w:hint="default" w:ascii="仿宋_GB2312" w:hAnsi="仿宋_GB2312" w:eastAsia="仿宋_GB2312" w:cs="仿宋_GB2312"/>
          <w:b w:val="0"/>
          <w:i w:val="0"/>
          <w:color w:val="auto"/>
          <w:sz w:val="32"/>
          <w:highlight w:val="none"/>
          <w:u w:val="none"/>
        </w:rPr>
        <w:t>当地</w:t>
      </w:r>
      <w:r>
        <w:rPr>
          <w:rFonts w:hint="eastAsia" w:ascii="仿宋_GB2312" w:hAnsi="仿宋_GB2312" w:eastAsia="仿宋_GB2312" w:cs="仿宋_GB2312"/>
          <w:b w:val="0"/>
          <w:i w:val="0"/>
          <w:color w:val="auto"/>
          <w:sz w:val="32"/>
          <w:highlight w:val="none"/>
          <w:u w:val="none"/>
        </w:rPr>
        <w:t>政治、经济、文化中心。</w:t>
      </w:r>
      <w:r>
        <w:rPr>
          <w:rFonts w:hint="eastAsia" w:ascii="仿宋_GB2312" w:hAnsi="仿宋_GB2312" w:eastAsia="仿宋_GB2312" w:cs="仿宋_GB2312"/>
          <w:b w:val="0"/>
          <w:i w:val="0"/>
          <w:color w:val="auto"/>
          <w:sz w:val="32"/>
          <w:highlight w:val="none"/>
          <w:u w:val="none"/>
          <w:lang w:eastAsia="zh-CN"/>
        </w:rPr>
        <w:t>各集镇所含行政村以《洋县烟草制品零售点合理布局规划集镇区域范围》（附件2）为准。</w:t>
      </w:r>
    </w:p>
    <w:p>
      <w:pPr>
        <w:widowControl w:val="0"/>
        <w:numPr>
          <w:ilvl w:val="0"/>
          <w:numId w:val="2"/>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行政村指依法设定的建制村，包含行政村所辖全部区域。</w:t>
      </w:r>
    </w:p>
    <w:p>
      <w:pPr>
        <w:widowControl w:val="0"/>
        <w:numPr>
          <w:ilvl w:val="0"/>
          <w:numId w:val="2"/>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独立市场单元指相对封闭管理的区域。</w:t>
      </w:r>
    </w:p>
    <w:p>
      <w:pPr>
        <w:widowControl w:val="0"/>
        <w:spacing w:line="579" w:lineRule="exact"/>
        <w:ind w:left="0" w:leftChars="0" w:right="0" w:firstLine="0" w:firstLineChars="0"/>
        <w:jc w:val="center"/>
        <w:rPr>
          <w:rFonts w:hint="eastAsia" w:ascii="黑体" w:hAnsi="黑体" w:eastAsia="黑体" w:cs="黑体"/>
          <w:b w:val="0"/>
          <w:i w:val="0"/>
          <w:color w:val="auto"/>
          <w:sz w:val="32"/>
          <w:highlight w:val="none"/>
          <w:u w:val="none"/>
        </w:rPr>
      </w:pPr>
      <w:r>
        <w:rPr>
          <w:rFonts w:hint="eastAsia" w:ascii="黑体" w:hAnsi="黑体" w:eastAsia="黑体" w:cs="黑体"/>
          <w:b w:val="0"/>
          <w:i w:val="0"/>
          <w:color w:val="auto"/>
          <w:sz w:val="32"/>
          <w:highlight w:val="none"/>
          <w:u w:val="none"/>
        </w:rPr>
        <w:t>第三章</w:t>
      </w:r>
      <w:r>
        <w:rPr>
          <w:rFonts w:hint="eastAsia" w:ascii="黑体" w:hAnsi="黑体" w:eastAsia="黑体" w:cs="黑体"/>
          <w:b w:val="0"/>
          <w:i w:val="0"/>
          <w:color w:val="auto"/>
          <w:sz w:val="32"/>
          <w:highlight w:val="none"/>
          <w:u w:val="none"/>
          <w:lang w:val="en-US" w:eastAsia="zh-CN"/>
        </w:rPr>
        <w:t xml:space="preserve">  </w:t>
      </w:r>
      <w:r>
        <w:rPr>
          <w:rFonts w:hint="eastAsia" w:ascii="黑体" w:hAnsi="黑体" w:eastAsia="黑体" w:cs="黑体"/>
          <w:b w:val="0"/>
          <w:i w:val="0"/>
          <w:color w:val="auto"/>
          <w:sz w:val="32"/>
          <w:highlight w:val="none"/>
          <w:u w:val="none"/>
        </w:rPr>
        <w:t>合理布局标准</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城区采用距离控制的方式，主要街道零售点设置间距50米</w:t>
      </w:r>
      <w:r>
        <w:rPr>
          <w:rFonts w:hint="eastAsia" w:ascii="仿宋_GB2312" w:hAnsi="仿宋_GB2312" w:eastAsia="仿宋_GB2312" w:cs="仿宋_GB2312"/>
          <w:b w:val="0"/>
          <w:i w:val="0"/>
          <w:color w:val="auto"/>
          <w:sz w:val="32"/>
          <w:highlight w:val="none"/>
          <w:u w:val="none"/>
          <w:lang w:val="en-US" w:eastAsia="zh-CN"/>
        </w:rPr>
        <w:t>以上</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次要街道零售点设置间距80米以上。</w:t>
      </w:r>
      <w:r>
        <w:rPr>
          <w:rFonts w:hint="eastAsia" w:ascii="仿宋_GB2312" w:hAnsi="仿宋_GB2312" w:eastAsia="仿宋_GB2312" w:cs="仿宋_GB2312"/>
          <w:b w:val="0"/>
          <w:i w:val="0"/>
          <w:color w:val="auto"/>
          <w:sz w:val="32"/>
          <w:highlight w:val="none"/>
          <w:u w:val="none"/>
          <w:lang w:eastAsia="zh-CN"/>
        </w:rPr>
        <w:t>城区</w:t>
      </w:r>
      <w:r>
        <w:rPr>
          <w:rFonts w:hint="default" w:ascii="仿宋_GB2312" w:hAnsi="仿宋_GB2312" w:eastAsia="仿宋_GB2312" w:cs="仿宋_GB2312"/>
          <w:b w:val="0"/>
          <w:i w:val="0"/>
          <w:color w:val="auto"/>
          <w:sz w:val="32"/>
          <w:highlight w:val="none"/>
          <w:u w:val="none"/>
        </w:rPr>
        <w:t>主要街道以《洋县烟草制品零售点合理布局规划主要道路范围》（附件</w:t>
      </w:r>
      <w:r>
        <w:rPr>
          <w:rFonts w:hint="eastAsia" w:ascii="仿宋_GB2312" w:hAnsi="仿宋_GB2312" w:eastAsia="仿宋_GB2312" w:cs="仿宋_GB2312"/>
          <w:b w:val="0"/>
          <w:i w:val="0"/>
          <w:color w:val="auto"/>
          <w:sz w:val="32"/>
          <w:highlight w:val="none"/>
          <w:u w:val="none"/>
          <w:lang w:val="en-US" w:eastAsia="zh-CN"/>
        </w:rPr>
        <w:t>1</w:t>
      </w:r>
      <w:r>
        <w:rPr>
          <w:rFonts w:hint="default" w:ascii="仿宋_GB2312" w:hAnsi="仿宋_GB2312" w:eastAsia="仿宋_GB2312" w:cs="仿宋_GB2312"/>
          <w:b w:val="0"/>
          <w:i w:val="0"/>
          <w:color w:val="auto"/>
          <w:sz w:val="32"/>
          <w:highlight w:val="none"/>
          <w:u w:val="none"/>
        </w:rPr>
        <w:t>）为准</w:t>
      </w:r>
      <w:r>
        <w:rPr>
          <w:rFonts w:hint="eastAsia" w:ascii="仿宋_GB2312" w:hAnsi="仿宋_GB2312" w:eastAsia="仿宋_GB2312" w:cs="仿宋_GB2312"/>
          <w:b w:val="0"/>
          <w:i w:val="0"/>
          <w:color w:val="auto"/>
          <w:sz w:val="32"/>
          <w:highlight w:val="none"/>
          <w:u w:val="none"/>
          <w:lang w:eastAsia="zh-CN"/>
        </w:rPr>
        <w:t>，除主要街道以外均为次要街道</w:t>
      </w:r>
      <w:r>
        <w:rPr>
          <w:rFonts w:hint="default" w:ascii="仿宋_GB2312" w:hAnsi="仿宋_GB2312" w:eastAsia="仿宋_GB2312" w:cs="仿宋_GB2312"/>
          <w:b w:val="0"/>
          <w:i w:val="0"/>
          <w:color w:val="auto"/>
          <w:sz w:val="32"/>
          <w:highlight w:val="none"/>
          <w:u w:val="none"/>
        </w:rPr>
        <w:t>。</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default" w:ascii="仿宋_GB2312" w:hAnsi="仿宋_GB2312" w:eastAsia="仿宋_GB2312" w:cs="仿宋_GB2312"/>
          <w:b w:val="0"/>
          <w:i w:val="0"/>
          <w:strike w:val="0"/>
          <w:dstrike w:val="0"/>
          <w:color w:val="auto"/>
          <w:sz w:val="32"/>
          <w:highlight w:val="none"/>
          <w:u w:val="none"/>
        </w:rPr>
        <w:t>集</w:t>
      </w:r>
      <w:r>
        <w:rPr>
          <w:rFonts w:hint="eastAsia" w:ascii="仿宋_GB2312" w:hAnsi="仿宋_GB2312" w:eastAsia="仿宋_GB2312" w:cs="仿宋_GB2312"/>
          <w:b w:val="0"/>
          <w:i w:val="0"/>
          <w:strike w:val="0"/>
          <w:dstrike w:val="0"/>
          <w:color w:val="auto"/>
          <w:sz w:val="32"/>
          <w:highlight w:val="none"/>
          <w:u w:val="none"/>
        </w:rPr>
        <w:t>镇（镇政府驻在地）采用“</w:t>
      </w:r>
      <w:r>
        <w:rPr>
          <w:rFonts w:hint="eastAsia" w:ascii="仿宋_GB2312" w:hAnsi="仿宋_GB2312" w:eastAsia="仿宋_GB2312" w:cs="仿宋_GB2312"/>
          <w:b w:val="0"/>
          <w:i w:val="0"/>
          <w:color w:val="auto"/>
          <w:sz w:val="32"/>
          <w:highlight w:val="none"/>
          <w:u w:val="none"/>
        </w:rPr>
        <w:t>距离+总量</w:t>
      </w:r>
      <w:r>
        <w:rPr>
          <w:rFonts w:hint="eastAsia" w:ascii="仿宋_GB2312" w:hAnsi="仿宋_GB2312" w:eastAsia="仿宋_GB2312" w:cs="仿宋_GB2312"/>
          <w:b w:val="0"/>
          <w:i w:val="0"/>
          <w:strike w:val="0"/>
          <w:dstrike w:val="0"/>
          <w:color w:val="auto"/>
          <w:sz w:val="32"/>
          <w:highlight w:val="none"/>
          <w:u w:val="none"/>
        </w:rPr>
        <w:t>”方式布局，以该乡镇市场内近三年内卷烟消费趋势和当地政府公布的上一年度居民人均可支配收入（当地政府国民经济和社会发展统计公报）换算的销售数量作为区域总量设置的依据，且零售店间距不少于30米。</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default" w:ascii="仿宋_GB2312" w:hAnsi="仿宋_GB2312" w:eastAsia="仿宋_GB2312" w:cs="仿宋_GB2312"/>
          <w:b w:val="0"/>
          <w:i w:val="0"/>
          <w:color w:val="auto"/>
          <w:sz w:val="32"/>
          <w:highlight w:val="none"/>
          <w:u w:val="none"/>
          <w:lang w:eastAsia="zh-CN"/>
        </w:rPr>
        <w:t>集镇区域总量</w:t>
      </w:r>
      <w:r>
        <w:rPr>
          <w:rFonts w:hint="eastAsia" w:ascii="仿宋_GB2312" w:hAnsi="仿宋_GB2312" w:eastAsia="仿宋_GB2312" w:cs="仿宋_GB2312"/>
          <w:b w:val="0"/>
          <w:i w:val="0"/>
          <w:color w:val="auto"/>
          <w:sz w:val="32"/>
          <w:highlight w:val="none"/>
          <w:u w:val="none"/>
          <w:lang w:val="en-US" w:eastAsia="zh-CN"/>
        </w:rPr>
        <w:t>=（前3年度销量</w:t>
      </w:r>
      <w:r>
        <w:rPr>
          <w:rFonts w:hint="default" w:ascii="仿宋_GB2312" w:hAnsi="仿宋_GB2312" w:eastAsia="仿宋_GB2312" w:cs="仿宋_GB2312"/>
          <w:b w:val="0"/>
          <w:i w:val="0"/>
          <w:color w:val="auto"/>
          <w:sz w:val="32"/>
          <w:highlight w:val="none"/>
          <w:u w:val="none"/>
          <w:lang w:eastAsia="zh-CN"/>
        </w:rPr>
        <w:t>×17%</w:t>
      </w:r>
      <w:r>
        <w:rPr>
          <w:rFonts w:hint="eastAsia" w:ascii="仿宋_GB2312" w:hAnsi="仿宋_GB2312" w:eastAsia="仿宋_GB2312" w:cs="仿宋_GB2312"/>
          <w:b w:val="0"/>
          <w:i w:val="0"/>
          <w:color w:val="auto"/>
          <w:sz w:val="32"/>
          <w:highlight w:val="none"/>
          <w:u w:val="none"/>
          <w:lang w:val="en-US" w:eastAsia="zh-CN"/>
        </w:rPr>
        <w:t>+前2年度销量*</w:t>
      </w:r>
      <w:r>
        <w:rPr>
          <w:rFonts w:hint="default" w:ascii="仿宋_GB2312" w:hAnsi="仿宋_GB2312" w:eastAsia="仿宋_GB2312" w:cs="仿宋_GB2312"/>
          <w:b w:val="0"/>
          <w:i w:val="0"/>
          <w:color w:val="auto"/>
          <w:sz w:val="32"/>
          <w:highlight w:val="none"/>
          <w:u w:val="none"/>
          <w:lang w:eastAsia="zh-CN"/>
        </w:rPr>
        <w:t>33%</w:t>
      </w:r>
      <w:r>
        <w:rPr>
          <w:rFonts w:hint="eastAsia" w:ascii="仿宋_GB2312" w:hAnsi="仿宋_GB2312" w:eastAsia="仿宋_GB2312" w:cs="仿宋_GB2312"/>
          <w:b w:val="0"/>
          <w:i w:val="0"/>
          <w:color w:val="auto"/>
          <w:sz w:val="32"/>
          <w:highlight w:val="none"/>
          <w:u w:val="none"/>
          <w:lang w:val="en-US" w:eastAsia="zh-CN"/>
        </w:rPr>
        <w:t>+前1年度销量*</w:t>
      </w:r>
      <w:r>
        <w:rPr>
          <w:rFonts w:hint="default" w:ascii="仿宋_GB2312" w:hAnsi="仿宋_GB2312" w:eastAsia="仿宋_GB2312" w:cs="仿宋_GB2312"/>
          <w:b w:val="0"/>
          <w:i w:val="0"/>
          <w:color w:val="auto"/>
          <w:sz w:val="32"/>
          <w:highlight w:val="none"/>
          <w:u w:val="none"/>
          <w:lang w:eastAsia="zh-CN"/>
        </w:rPr>
        <w:t>50%</w:t>
      </w:r>
      <w:r>
        <w:rPr>
          <w:rFonts w:hint="eastAsia" w:ascii="仿宋_GB2312" w:hAnsi="仿宋_GB2312" w:eastAsia="仿宋_GB2312" w:cs="仿宋_GB2312"/>
          <w:b w:val="0"/>
          <w:i w:val="0"/>
          <w:color w:val="auto"/>
          <w:sz w:val="32"/>
          <w:highlight w:val="none"/>
          <w:u w:val="none"/>
          <w:lang w:val="en-US" w:eastAsia="zh-CN"/>
        </w:rPr>
        <w:t>）÷(上年度</w:t>
      </w:r>
      <w:r>
        <w:rPr>
          <w:rFonts w:hint="default" w:ascii="仿宋_GB2312" w:hAnsi="仿宋_GB2312" w:eastAsia="仿宋_GB2312" w:cs="仿宋_GB2312"/>
          <w:b w:val="0"/>
          <w:i w:val="0"/>
          <w:color w:val="auto"/>
          <w:sz w:val="32"/>
          <w:highlight w:val="none"/>
          <w:u w:val="none"/>
          <w:lang w:eastAsia="zh-CN"/>
        </w:rPr>
        <w:t>洋县</w:t>
      </w:r>
      <w:r>
        <w:rPr>
          <w:rFonts w:hint="eastAsia" w:ascii="仿宋_GB2312" w:hAnsi="仿宋_GB2312" w:eastAsia="仿宋_GB2312" w:cs="仿宋_GB2312"/>
          <w:b w:val="0"/>
          <w:i w:val="0"/>
          <w:color w:val="auto"/>
          <w:sz w:val="32"/>
          <w:highlight w:val="none"/>
          <w:u w:val="none"/>
          <w:lang w:val="en-US" w:eastAsia="zh-CN"/>
        </w:rPr>
        <w:t>全体居民人均可支配收入÷14（条均毛利）)。</w:t>
      </w:r>
      <w:r>
        <w:rPr>
          <w:rFonts w:hint="default" w:ascii="仿宋_GB2312" w:hAnsi="仿宋_GB2312" w:eastAsia="仿宋_GB2312" w:cs="仿宋_GB2312"/>
          <w:b w:val="0"/>
          <w:i w:val="0"/>
          <w:color w:val="auto"/>
          <w:sz w:val="32"/>
          <w:highlight w:val="none"/>
          <w:u w:val="none"/>
          <w:lang w:eastAsia="zh-CN"/>
        </w:rPr>
        <w:t>集镇</w:t>
      </w:r>
      <w:r>
        <w:rPr>
          <w:rFonts w:hint="eastAsia" w:ascii="仿宋_GB2312" w:hAnsi="仿宋_GB2312" w:eastAsia="仿宋_GB2312" w:cs="仿宋_GB2312"/>
          <w:b w:val="0"/>
          <w:i w:val="0"/>
          <w:color w:val="auto"/>
          <w:sz w:val="32"/>
          <w:highlight w:val="none"/>
          <w:u w:val="none"/>
          <w:lang w:val="en-US" w:eastAsia="zh-CN"/>
        </w:rPr>
        <w:t>双周订货的</w:t>
      </w:r>
      <w:r>
        <w:rPr>
          <w:rFonts w:hint="default" w:ascii="仿宋_GB2312" w:hAnsi="仿宋_GB2312" w:eastAsia="仿宋_GB2312" w:cs="仿宋_GB2312"/>
          <w:b w:val="0"/>
          <w:i w:val="0"/>
          <w:color w:val="auto"/>
          <w:sz w:val="32"/>
          <w:highlight w:val="none"/>
          <w:u w:val="none"/>
          <w:lang w:eastAsia="zh-CN"/>
        </w:rPr>
        <w:t>卷烟零售户</w:t>
      </w:r>
      <w:r>
        <w:rPr>
          <w:rFonts w:hint="eastAsia" w:ascii="仿宋_GB2312" w:hAnsi="仿宋_GB2312" w:eastAsia="仿宋_GB2312" w:cs="仿宋_GB2312"/>
          <w:b w:val="0"/>
          <w:i w:val="0"/>
          <w:color w:val="auto"/>
          <w:sz w:val="32"/>
          <w:highlight w:val="none"/>
          <w:u w:val="none"/>
          <w:lang w:val="en-US" w:eastAsia="zh-CN"/>
        </w:rPr>
        <w:t>年销量=实际销售量×2。</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行政村</w:t>
      </w:r>
      <w:r>
        <w:rPr>
          <w:rFonts w:hint="eastAsia" w:ascii="仿宋_GB2312" w:hAnsi="仿宋_GB2312" w:eastAsia="仿宋_GB2312" w:cs="仿宋_GB2312"/>
          <w:b w:val="0"/>
          <w:i w:val="0"/>
          <w:color w:val="auto"/>
          <w:sz w:val="32"/>
          <w:highlight w:val="none"/>
          <w:u w:val="none"/>
        </w:rPr>
        <w:t>采用</w:t>
      </w:r>
      <w:r>
        <w:rPr>
          <w:rFonts w:hint="eastAsia" w:ascii="仿宋_GB2312" w:hAnsi="仿宋_GB2312" w:eastAsia="仿宋_GB2312" w:cs="仿宋_GB2312"/>
          <w:b w:val="0"/>
          <w:i w:val="0"/>
          <w:strike w:val="0"/>
          <w:dstrike w:val="0"/>
          <w:color w:val="auto"/>
          <w:sz w:val="32"/>
          <w:highlight w:val="none"/>
          <w:u w:val="none"/>
        </w:rPr>
        <w:t>“</w:t>
      </w:r>
      <w:r>
        <w:rPr>
          <w:rFonts w:hint="eastAsia" w:ascii="仿宋_GB2312" w:hAnsi="仿宋_GB2312" w:eastAsia="仿宋_GB2312" w:cs="仿宋_GB2312"/>
          <w:b w:val="0"/>
          <w:i w:val="0"/>
          <w:color w:val="auto"/>
          <w:sz w:val="32"/>
          <w:highlight w:val="none"/>
          <w:u w:val="none"/>
        </w:rPr>
        <w:t>距离+总量</w:t>
      </w:r>
      <w:r>
        <w:rPr>
          <w:rFonts w:hint="eastAsia" w:ascii="仿宋_GB2312" w:hAnsi="仿宋_GB2312" w:eastAsia="仿宋_GB2312" w:cs="仿宋_GB2312"/>
          <w:b w:val="0"/>
          <w:i w:val="0"/>
          <w:strike w:val="0"/>
          <w:dstrike w:val="0"/>
          <w:color w:val="auto"/>
          <w:sz w:val="32"/>
          <w:highlight w:val="none"/>
          <w:u w:val="none"/>
        </w:rPr>
        <w:t>”</w:t>
      </w:r>
      <w:r>
        <w:rPr>
          <w:rFonts w:hint="eastAsia" w:ascii="仿宋_GB2312" w:hAnsi="仿宋_GB2312" w:eastAsia="仿宋_GB2312" w:cs="仿宋_GB2312"/>
          <w:b w:val="0"/>
          <w:i w:val="0"/>
          <w:color w:val="auto"/>
          <w:sz w:val="32"/>
          <w:highlight w:val="none"/>
          <w:u w:val="none"/>
        </w:rPr>
        <w:t>控制方式布局，按照每350人口设置1个零售点</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lang w:val="en-US" w:eastAsia="zh-CN"/>
        </w:rPr>
        <w:t>且零售点间距100米以上。</w:t>
      </w:r>
      <w:r>
        <w:rPr>
          <w:rFonts w:hint="eastAsia" w:ascii="仿宋_GB2312" w:hAnsi="仿宋_GB2312" w:eastAsia="仿宋_GB2312" w:cs="仿宋_GB2312"/>
          <w:b w:val="0"/>
          <w:i w:val="0"/>
          <w:color w:val="auto"/>
          <w:sz w:val="32"/>
          <w:highlight w:val="none"/>
          <w:u w:val="none"/>
        </w:rPr>
        <w:t>人口超过250人，但不足350人的情况可按照350人计算</w:t>
      </w:r>
      <w:r>
        <w:rPr>
          <w:rFonts w:hint="eastAsia" w:ascii="仿宋_GB2312" w:hAnsi="仿宋_GB2312" w:eastAsia="仿宋_GB2312" w:cs="仿宋_GB2312"/>
          <w:b w:val="0"/>
          <w:i w:val="0"/>
          <w:color w:val="auto"/>
          <w:sz w:val="32"/>
          <w:highlight w:val="none"/>
          <w:u w:val="none"/>
          <w:lang w:val="en-US" w:eastAsia="zh-CN"/>
        </w:rPr>
        <w:t>。行政村</w:t>
      </w:r>
      <w:r>
        <w:rPr>
          <w:rFonts w:hint="eastAsia" w:ascii="仿宋_GB2312" w:hAnsi="仿宋_GB2312" w:eastAsia="仿宋_GB2312" w:cs="仿宋_GB2312"/>
          <w:b w:val="0"/>
          <w:i w:val="0"/>
          <w:color w:val="auto"/>
          <w:sz w:val="32"/>
          <w:highlight w:val="none"/>
          <w:u w:val="none"/>
        </w:rPr>
        <w:t>的人口数量以公安机关</w:t>
      </w:r>
      <w:r>
        <w:rPr>
          <w:rFonts w:hint="default" w:ascii="仿宋_GB2312" w:hAnsi="仿宋_GB2312" w:eastAsia="仿宋_GB2312" w:cs="仿宋_GB2312"/>
          <w:b w:val="0"/>
          <w:i w:val="0"/>
          <w:color w:val="auto"/>
          <w:sz w:val="32"/>
          <w:highlight w:val="none"/>
          <w:u w:val="none"/>
        </w:rPr>
        <w:t>统计</w:t>
      </w:r>
      <w:r>
        <w:rPr>
          <w:rFonts w:hint="eastAsia" w:ascii="仿宋_GB2312" w:hAnsi="仿宋_GB2312" w:eastAsia="仿宋_GB2312" w:cs="仿宋_GB2312"/>
          <w:b w:val="0"/>
          <w:i w:val="0"/>
          <w:color w:val="auto"/>
          <w:sz w:val="32"/>
          <w:highlight w:val="none"/>
          <w:u w:val="none"/>
        </w:rPr>
        <w:t>的上一年度户籍人口数量为标准。</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rPr>
        <w:t>独立市场单元</w:t>
      </w:r>
      <w:r>
        <w:rPr>
          <w:rFonts w:hint="eastAsia" w:ascii="仿宋_GB2312" w:hAnsi="仿宋_GB2312" w:eastAsia="仿宋_GB2312" w:cs="仿宋_GB2312"/>
          <w:b w:val="0"/>
          <w:i w:val="0"/>
          <w:color w:val="auto"/>
          <w:sz w:val="32"/>
          <w:highlight w:val="none"/>
          <w:u w:val="none"/>
          <w:lang w:val="en-US" w:eastAsia="zh-CN"/>
        </w:rPr>
        <w:t>采用</w:t>
      </w:r>
      <w:r>
        <w:rPr>
          <w:rFonts w:hint="eastAsia" w:ascii="仿宋_GB2312" w:hAnsi="仿宋_GB2312" w:eastAsia="仿宋_GB2312" w:cs="仿宋_GB2312"/>
          <w:b w:val="0"/>
          <w:i w:val="0"/>
          <w:color w:val="auto"/>
          <w:sz w:val="32"/>
          <w:highlight w:val="none"/>
          <w:u w:val="none"/>
        </w:rPr>
        <w:t>总量控制方式布局</w:t>
      </w:r>
      <w:r>
        <w:rPr>
          <w:rFonts w:hint="default" w:ascii="仿宋_GB2312" w:hAnsi="仿宋_GB2312" w:eastAsia="仿宋_GB2312" w:cs="仿宋_GB2312"/>
          <w:b w:val="0"/>
          <w:i w:val="0"/>
          <w:color w:val="auto"/>
          <w:sz w:val="32"/>
          <w:highlight w:val="none"/>
          <w:u w:val="none"/>
        </w:rPr>
        <w:t>，且</w:t>
      </w:r>
      <w:r>
        <w:rPr>
          <w:rFonts w:hint="eastAsia" w:ascii="仿宋_GB2312" w:hAnsi="仿宋_GB2312" w:eastAsia="仿宋_GB2312" w:cs="仿宋_GB2312"/>
          <w:b w:val="0"/>
          <w:i w:val="0"/>
          <w:color w:val="auto"/>
          <w:sz w:val="32"/>
          <w:highlight w:val="none"/>
          <w:u w:val="none"/>
        </w:rPr>
        <w:t>在管理方允许</w:t>
      </w:r>
      <w:r>
        <w:rPr>
          <w:rFonts w:hint="default" w:ascii="仿宋_GB2312" w:hAnsi="仿宋_GB2312" w:eastAsia="仿宋_GB2312" w:cs="仿宋_GB2312"/>
          <w:b w:val="0"/>
          <w:i w:val="0"/>
          <w:color w:val="auto"/>
          <w:sz w:val="32"/>
          <w:highlight w:val="none"/>
          <w:u w:val="none"/>
        </w:rPr>
        <w:t>并</w:t>
      </w:r>
      <w:r>
        <w:rPr>
          <w:rFonts w:hint="eastAsia" w:ascii="仿宋_GB2312" w:hAnsi="仿宋_GB2312" w:eastAsia="仿宋_GB2312" w:cs="仿宋_GB2312"/>
          <w:b w:val="0"/>
          <w:i w:val="0"/>
          <w:color w:val="auto"/>
          <w:sz w:val="32"/>
          <w:highlight w:val="none"/>
          <w:u w:val="none"/>
        </w:rPr>
        <w:t>符合消防安全的情况下予以设置。沿街门店且对行人开放的营业场所不适用于此条规定，按照所在区域标准进行设置。独立市场单元零售点，不作为该区域外设置零售点间距测量的参照点。布局设置</w:t>
      </w:r>
      <w:r>
        <w:rPr>
          <w:rFonts w:hint="eastAsia" w:ascii="仿宋_GB2312" w:hAnsi="仿宋_GB2312" w:eastAsia="仿宋_GB2312" w:cs="仿宋_GB2312"/>
          <w:b w:val="0"/>
          <w:i w:val="0"/>
          <w:color w:val="auto"/>
          <w:sz w:val="32"/>
          <w:highlight w:val="none"/>
          <w:u w:val="none"/>
          <w:lang w:val="en-US" w:eastAsia="zh-CN"/>
        </w:rPr>
        <w:t>如下：</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eastAsia="zh-CN"/>
        </w:rPr>
      </w:pPr>
      <w:r>
        <w:rPr>
          <w:rFonts w:hint="eastAsia" w:ascii="仿宋_GB2312" w:hAnsi="仿宋_GB2312" w:eastAsia="仿宋_GB2312" w:cs="仿宋_GB2312"/>
          <w:b w:val="0"/>
          <w:i w:val="0"/>
          <w:color w:val="auto"/>
          <w:sz w:val="32"/>
          <w:highlight w:val="none"/>
          <w:u w:val="none"/>
        </w:rPr>
        <w:t>相对封闭的综合性（批发）市场、专业市场、贸易市场内部，每1000㎡可以设置1个零售点，最高不超过</w:t>
      </w:r>
      <w:r>
        <w:rPr>
          <w:rFonts w:hint="eastAsia" w:ascii="仿宋_GB2312" w:hAnsi="仿宋_GB2312" w:eastAsia="仿宋_GB2312" w:cs="仿宋_GB2312"/>
          <w:b w:val="0"/>
          <w:i w:val="0"/>
          <w:color w:val="auto"/>
          <w:sz w:val="32"/>
          <w:highlight w:val="none"/>
          <w:u w:val="none"/>
          <w:lang w:val="en-US" w:eastAsia="zh-CN"/>
        </w:rPr>
        <w:t>2</w:t>
      </w:r>
      <w:r>
        <w:rPr>
          <w:rFonts w:hint="eastAsia" w:ascii="仿宋_GB2312" w:hAnsi="仿宋_GB2312" w:eastAsia="仿宋_GB2312" w:cs="仿宋_GB2312"/>
          <w:b w:val="0"/>
          <w:i w:val="0"/>
          <w:color w:val="auto"/>
          <w:sz w:val="32"/>
          <w:highlight w:val="none"/>
          <w:u w:val="none"/>
        </w:rPr>
        <w:t>个</w:t>
      </w:r>
      <w:r>
        <w:rPr>
          <w:rFonts w:hint="eastAsia" w:ascii="仿宋_GB2312" w:hAnsi="仿宋_GB2312" w:eastAsia="仿宋_GB2312" w:cs="仿宋_GB2312"/>
          <w:b w:val="0"/>
          <w:i w:val="0"/>
          <w:color w:val="auto"/>
          <w:sz w:val="32"/>
          <w:highlight w:val="none"/>
          <w:u w:val="none"/>
          <w:lang w:eastAsia="zh-CN"/>
        </w:rPr>
        <w:t>。</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军队驻地、监狱</w:t>
      </w:r>
      <w:r>
        <w:rPr>
          <w:rFonts w:hint="default" w:ascii="仿宋_GB2312" w:hAnsi="仿宋_GB2312" w:eastAsia="仿宋_GB2312" w:cs="仿宋_GB2312"/>
          <w:b w:val="0"/>
          <w:i w:val="0"/>
          <w:color w:val="auto"/>
          <w:sz w:val="32"/>
          <w:highlight w:val="none"/>
          <w:u w:val="none"/>
        </w:rPr>
        <w:t>、</w:t>
      </w:r>
      <w:r>
        <w:rPr>
          <w:rFonts w:hint="eastAsia" w:ascii="仿宋_GB2312" w:hAnsi="仿宋_GB2312" w:eastAsia="仿宋_GB2312" w:cs="仿宋_GB2312"/>
          <w:b w:val="0"/>
          <w:i w:val="0"/>
          <w:color w:val="auto"/>
          <w:sz w:val="32"/>
          <w:highlight w:val="none"/>
          <w:u w:val="none"/>
        </w:rPr>
        <w:t>监所</w:t>
      </w:r>
      <w:r>
        <w:rPr>
          <w:rFonts w:hint="default" w:ascii="仿宋_GB2312" w:hAnsi="仿宋_GB2312" w:eastAsia="仿宋_GB2312" w:cs="仿宋_GB2312"/>
          <w:b w:val="0"/>
          <w:i w:val="0"/>
          <w:color w:val="auto"/>
          <w:sz w:val="32"/>
          <w:highlight w:val="none"/>
          <w:u w:val="none"/>
        </w:rPr>
        <w:t>内部</w:t>
      </w:r>
      <w:r>
        <w:rPr>
          <w:rFonts w:hint="default" w:ascii="仿宋_GB2312" w:hAnsi="仿宋_GB2312" w:eastAsia="仿宋_GB2312" w:cs="仿宋_GB2312"/>
          <w:b w:val="0"/>
          <w:i w:val="0"/>
          <w:color w:val="auto"/>
          <w:sz w:val="32"/>
          <w:highlight w:val="none"/>
          <w:u w:val="none"/>
          <w:lang w:eastAsia="zh-CN"/>
        </w:rPr>
        <w:t>销售的，且</w:t>
      </w:r>
      <w:r>
        <w:rPr>
          <w:rFonts w:hint="eastAsia" w:ascii="仿宋_GB2312" w:hAnsi="仿宋_GB2312" w:eastAsia="仿宋_GB2312" w:cs="仿宋_GB2312"/>
          <w:b w:val="0"/>
          <w:i w:val="0"/>
          <w:color w:val="auto"/>
          <w:sz w:val="32"/>
          <w:highlight w:val="none"/>
          <w:u w:val="none"/>
          <w:lang w:val="en-US" w:eastAsia="zh-CN"/>
        </w:rPr>
        <w:t>消费人群达到</w:t>
      </w:r>
      <w:r>
        <w:rPr>
          <w:rFonts w:hint="eastAsia" w:ascii="仿宋_GB2312" w:hAnsi="仿宋_GB2312" w:eastAsia="仿宋_GB2312" w:cs="仿宋_GB2312"/>
          <w:b w:val="0"/>
          <w:i w:val="0"/>
          <w:color w:val="auto"/>
          <w:sz w:val="32"/>
          <w:highlight w:val="none"/>
          <w:u w:val="none"/>
        </w:rPr>
        <w:t>500人</w:t>
      </w:r>
      <w:r>
        <w:rPr>
          <w:rFonts w:hint="eastAsia" w:ascii="仿宋_GB2312" w:hAnsi="仿宋_GB2312" w:eastAsia="仿宋_GB2312" w:cs="仿宋_GB2312"/>
          <w:b w:val="0"/>
          <w:i w:val="0"/>
          <w:color w:val="auto"/>
          <w:sz w:val="32"/>
          <w:highlight w:val="none"/>
          <w:u w:val="none"/>
          <w:lang w:val="en-US" w:eastAsia="zh-CN"/>
        </w:rPr>
        <w:t>以上的可</w:t>
      </w:r>
      <w:r>
        <w:rPr>
          <w:rFonts w:hint="eastAsia" w:ascii="仿宋_GB2312" w:hAnsi="仿宋_GB2312" w:eastAsia="仿宋_GB2312" w:cs="仿宋_GB2312"/>
          <w:b w:val="0"/>
          <w:i w:val="0"/>
          <w:color w:val="auto"/>
          <w:sz w:val="32"/>
          <w:highlight w:val="none"/>
          <w:u w:val="none"/>
        </w:rPr>
        <w:t>设置1个零售点。</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封闭管理的中、大型厂矿生活区内，按照实际人口数量每1000人设置1个零售点，且间距不低于30米，最</w:t>
      </w:r>
      <w:r>
        <w:rPr>
          <w:rFonts w:hint="default" w:ascii="仿宋_GB2312" w:hAnsi="仿宋_GB2312" w:eastAsia="仿宋_GB2312" w:cs="仿宋_GB2312"/>
          <w:b w:val="0"/>
          <w:i w:val="0"/>
          <w:color w:val="auto"/>
          <w:sz w:val="32"/>
          <w:highlight w:val="none"/>
          <w:u w:val="none"/>
        </w:rPr>
        <w:t>高</w:t>
      </w:r>
      <w:r>
        <w:rPr>
          <w:rFonts w:hint="eastAsia" w:ascii="仿宋_GB2312" w:hAnsi="仿宋_GB2312" w:eastAsia="仿宋_GB2312" w:cs="仿宋_GB2312"/>
          <w:b w:val="0"/>
          <w:i w:val="0"/>
          <w:color w:val="auto"/>
          <w:sz w:val="32"/>
          <w:highlight w:val="none"/>
          <w:u w:val="none"/>
        </w:rPr>
        <w:t>不超过</w:t>
      </w:r>
      <w:r>
        <w:rPr>
          <w:rFonts w:hint="default" w:ascii="仿宋_GB2312" w:hAnsi="仿宋_GB2312" w:eastAsia="仿宋_GB2312" w:cs="仿宋_GB2312"/>
          <w:b w:val="0"/>
          <w:i w:val="0"/>
          <w:color w:val="auto"/>
          <w:sz w:val="32"/>
          <w:highlight w:val="none"/>
          <w:u w:val="none"/>
        </w:rPr>
        <w:t>2</w:t>
      </w:r>
      <w:r>
        <w:rPr>
          <w:rFonts w:hint="eastAsia" w:ascii="仿宋_GB2312" w:hAnsi="仿宋_GB2312" w:eastAsia="仿宋_GB2312" w:cs="仿宋_GB2312"/>
          <w:b w:val="0"/>
          <w:i w:val="0"/>
          <w:color w:val="auto"/>
          <w:sz w:val="32"/>
          <w:highlight w:val="none"/>
          <w:u w:val="none"/>
        </w:rPr>
        <w:t>个。</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color w:val="auto"/>
          <w:sz w:val="32"/>
          <w:highlight w:val="none"/>
          <w:u w:val="none"/>
        </w:rPr>
        <w:t>景点封闭区域（</w:t>
      </w:r>
      <w:r>
        <w:rPr>
          <w:rFonts w:hint="default" w:ascii="仿宋_GB2312" w:hAnsi="仿宋_GB2312" w:eastAsia="仿宋_GB2312" w:cs="仿宋_GB2312"/>
          <w:color w:val="auto"/>
          <w:sz w:val="32"/>
          <w:highlight w:val="none"/>
          <w:u w:val="none"/>
        </w:rPr>
        <w:t>凭</w:t>
      </w:r>
      <w:r>
        <w:rPr>
          <w:rFonts w:hint="eastAsia" w:ascii="仿宋_GB2312" w:hAnsi="仿宋_GB2312" w:eastAsia="仿宋_GB2312" w:cs="仿宋_GB2312"/>
          <w:color w:val="auto"/>
          <w:sz w:val="32"/>
          <w:highlight w:val="none"/>
          <w:u w:val="none"/>
        </w:rPr>
        <w:t>票进入等情形）只能设置1个零售点</w:t>
      </w:r>
      <w:r>
        <w:rPr>
          <w:rFonts w:hint="eastAsia" w:ascii="仿宋_GB2312" w:hAnsi="仿宋_GB2312" w:eastAsia="仿宋_GB2312" w:cs="仿宋_GB2312"/>
          <w:b w:val="0"/>
          <w:i w:val="0"/>
          <w:color w:val="auto"/>
          <w:sz w:val="32"/>
          <w:highlight w:val="none"/>
          <w:u w:val="none"/>
        </w:rPr>
        <w:t>。</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eastAsia="zh-CN"/>
        </w:rPr>
      </w:pPr>
      <w:r>
        <w:rPr>
          <w:rFonts w:hint="eastAsia" w:ascii="仿宋_GB2312" w:hAnsi="仿宋_GB2312" w:eastAsia="仿宋_GB2312" w:cs="仿宋_GB2312"/>
          <w:b w:val="0"/>
          <w:i w:val="0"/>
          <w:color w:val="auto"/>
          <w:sz w:val="32"/>
          <w:highlight w:val="none"/>
          <w:u w:val="none"/>
        </w:rPr>
        <w:t>汽车客运站候车室内</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rPr>
        <w:t>火车站（高铁动车站）候车厅</w:t>
      </w:r>
      <w:r>
        <w:rPr>
          <w:rFonts w:hint="eastAsia" w:ascii="仿宋_GB2312" w:hAnsi="仿宋_GB2312" w:eastAsia="仿宋_GB2312" w:cs="仿宋_GB2312"/>
          <w:b w:val="0"/>
          <w:i w:val="0"/>
          <w:color w:val="auto"/>
          <w:sz w:val="32"/>
          <w:highlight w:val="none"/>
          <w:u w:val="none"/>
          <w:lang w:val="en-US" w:eastAsia="zh-CN"/>
        </w:rPr>
        <w:t>可设置</w:t>
      </w:r>
      <w:r>
        <w:rPr>
          <w:rFonts w:hint="eastAsia" w:ascii="仿宋_GB2312" w:hAnsi="仿宋_GB2312" w:eastAsia="仿宋_GB2312" w:cs="仿宋_GB2312"/>
          <w:b w:val="0"/>
          <w:i w:val="0"/>
          <w:color w:val="auto"/>
          <w:sz w:val="32"/>
          <w:highlight w:val="none"/>
          <w:u w:val="none"/>
        </w:rPr>
        <w:t>1个零售点</w:t>
      </w:r>
      <w:r>
        <w:rPr>
          <w:rFonts w:hint="eastAsia" w:ascii="仿宋_GB2312" w:hAnsi="仿宋_GB2312" w:eastAsia="仿宋_GB2312" w:cs="仿宋_GB2312"/>
          <w:b w:val="0"/>
          <w:i w:val="0"/>
          <w:color w:val="auto"/>
          <w:sz w:val="32"/>
          <w:highlight w:val="none"/>
          <w:u w:val="none"/>
          <w:lang w:eastAsia="zh-CN"/>
        </w:rPr>
        <w:t>。</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高速服务区（单侧）内可设置1个零售点。</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eastAsia="zh-CN"/>
        </w:rPr>
      </w:pPr>
      <w:r>
        <w:rPr>
          <w:rFonts w:hint="eastAsia" w:ascii="仿宋_GB2312" w:hAnsi="仿宋_GB2312" w:eastAsia="仿宋_GB2312" w:cs="仿宋_GB2312"/>
          <w:b w:val="0"/>
          <w:i w:val="0"/>
          <w:color w:val="auto"/>
          <w:sz w:val="32"/>
          <w:highlight w:val="none"/>
          <w:u w:val="none"/>
        </w:rPr>
        <w:t>加油站内零售点</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lang w:val="en-US" w:eastAsia="zh-CN"/>
        </w:rPr>
        <w:t>能够</w:t>
      </w:r>
      <w:r>
        <w:rPr>
          <w:rFonts w:hint="eastAsia" w:ascii="仿宋_GB2312" w:hAnsi="仿宋_GB2312" w:eastAsia="仿宋_GB2312" w:cs="仿宋_GB2312"/>
          <w:b w:val="0"/>
          <w:i w:val="0"/>
          <w:color w:val="auto"/>
          <w:sz w:val="32"/>
          <w:highlight w:val="none"/>
          <w:u w:val="none"/>
        </w:rPr>
        <w:t>提供安全评估证明</w:t>
      </w:r>
      <w:r>
        <w:rPr>
          <w:rFonts w:hint="eastAsia" w:ascii="仿宋_GB2312" w:hAnsi="仿宋_GB2312" w:eastAsia="仿宋_GB2312" w:cs="仿宋_GB2312"/>
          <w:b w:val="0"/>
          <w:i w:val="0"/>
          <w:color w:val="auto"/>
          <w:sz w:val="32"/>
          <w:highlight w:val="none"/>
          <w:u w:val="none"/>
          <w:lang w:val="en-US" w:eastAsia="zh-CN"/>
        </w:rPr>
        <w:t>的</w:t>
      </w:r>
      <w:r>
        <w:rPr>
          <w:rFonts w:hint="eastAsia" w:ascii="仿宋_GB2312" w:hAnsi="仿宋_GB2312" w:eastAsia="仿宋_GB2312" w:cs="仿宋_GB2312"/>
          <w:b w:val="0"/>
          <w:i w:val="0"/>
          <w:color w:val="auto"/>
          <w:sz w:val="32"/>
          <w:highlight w:val="none"/>
          <w:u w:val="none"/>
        </w:rPr>
        <w:t>可设置1个零售点</w:t>
      </w:r>
      <w:r>
        <w:rPr>
          <w:rFonts w:hint="eastAsia" w:ascii="仿宋_GB2312" w:hAnsi="仿宋_GB2312" w:eastAsia="仿宋_GB2312" w:cs="仿宋_GB2312"/>
          <w:b w:val="0"/>
          <w:i w:val="0"/>
          <w:color w:val="auto"/>
          <w:sz w:val="32"/>
          <w:highlight w:val="none"/>
          <w:u w:val="none"/>
          <w:lang w:eastAsia="zh-CN"/>
        </w:rPr>
        <w:t>。</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中大</w:t>
      </w:r>
      <w:r>
        <w:rPr>
          <w:rFonts w:hint="eastAsia" w:ascii="仿宋_GB2312" w:hAnsi="仿宋_GB2312" w:eastAsia="仿宋_GB2312" w:cs="仿宋_GB2312"/>
          <w:b w:val="0"/>
          <w:i w:val="0"/>
          <w:color w:val="auto"/>
          <w:sz w:val="32"/>
          <w:highlight w:val="none"/>
          <w:u w:val="none"/>
          <w:lang w:val="en-US" w:eastAsia="zh-CN"/>
        </w:rPr>
        <w:t>型商场营业面积在2000㎡以上的可设置1个零售点。</w:t>
      </w:r>
    </w:p>
    <w:p>
      <w:pPr>
        <w:widowControl w:val="0"/>
        <w:numPr>
          <w:ilvl w:val="0"/>
          <w:numId w:val="3"/>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rPr>
      </w:pPr>
      <w:r>
        <w:rPr>
          <w:rFonts w:hint="eastAsia" w:ascii="仿宋_GB2312" w:hAnsi="仿宋_GB2312" w:eastAsia="仿宋_GB2312" w:cs="仿宋_GB2312"/>
          <w:b w:val="0"/>
          <w:i w:val="0"/>
          <w:color w:val="auto"/>
          <w:sz w:val="32"/>
          <w:highlight w:val="none"/>
          <w:u w:val="none"/>
        </w:rPr>
        <w:t>宾馆、酒店</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lang w:val="en-US" w:eastAsia="zh-CN"/>
        </w:rPr>
        <w:t>超市</w:t>
      </w:r>
      <w:r>
        <w:rPr>
          <w:rFonts w:hint="eastAsia" w:ascii="仿宋_GB2312" w:hAnsi="仿宋_GB2312" w:eastAsia="仿宋_GB2312" w:cs="仿宋_GB2312"/>
          <w:b w:val="0"/>
          <w:i w:val="0"/>
          <w:color w:val="auto"/>
          <w:sz w:val="32"/>
          <w:highlight w:val="none"/>
          <w:u w:val="none"/>
        </w:rPr>
        <w:t>在营业场所内部设有独立的吧台和卷烟存放场所</w:t>
      </w:r>
      <w:r>
        <w:rPr>
          <w:rFonts w:hint="eastAsia"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lang w:val="en-US" w:eastAsia="zh-CN"/>
        </w:rPr>
        <w:t>且</w:t>
      </w:r>
      <w:r>
        <w:rPr>
          <w:rFonts w:hint="eastAsia" w:ascii="仿宋_GB2312" w:hAnsi="仿宋_GB2312" w:eastAsia="仿宋_GB2312" w:cs="仿宋_GB2312"/>
          <w:b w:val="0"/>
          <w:i w:val="0"/>
          <w:color w:val="auto"/>
          <w:sz w:val="32"/>
          <w:highlight w:val="none"/>
          <w:u w:val="none"/>
          <w:lang w:eastAsia="zh-CN"/>
        </w:rPr>
        <w:t>营业面积在1000㎡以上的，</w:t>
      </w:r>
      <w:r>
        <w:rPr>
          <w:rFonts w:hint="eastAsia" w:ascii="仿宋_GB2312" w:hAnsi="仿宋_GB2312" w:eastAsia="仿宋_GB2312" w:cs="仿宋_GB2312"/>
          <w:b w:val="0"/>
          <w:i w:val="0"/>
          <w:color w:val="auto"/>
          <w:sz w:val="32"/>
          <w:highlight w:val="none"/>
          <w:u w:val="none"/>
        </w:rPr>
        <w:t>可设置1个零售点</w:t>
      </w:r>
      <w:r>
        <w:rPr>
          <w:rFonts w:hint="eastAsia" w:ascii="仿宋_GB2312" w:hAnsi="仿宋_GB2312" w:eastAsia="仿宋_GB2312" w:cs="仿宋_GB2312"/>
          <w:b w:val="0"/>
          <w:i w:val="0"/>
          <w:color w:val="auto"/>
          <w:sz w:val="32"/>
          <w:highlight w:val="none"/>
          <w:u w:val="none"/>
          <w:lang w:eastAsia="zh-CN"/>
        </w:rPr>
        <w:t>。</w:t>
      </w:r>
    </w:p>
    <w:p>
      <w:pPr>
        <w:widowControl w:val="0"/>
        <w:spacing w:line="579" w:lineRule="exact"/>
        <w:ind w:left="0" w:leftChars="0" w:right="0" w:firstLine="0" w:firstLineChars="0"/>
        <w:jc w:val="center"/>
        <w:rPr>
          <w:rFonts w:hint="eastAsia" w:ascii="黑体" w:hAnsi="黑体" w:eastAsia="黑体" w:cs="黑体"/>
          <w:b w:val="0"/>
          <w:i w:val="0"/>
          <w:color w:val="auto"/>
          <w:sz w:val="32"/>
          <w:highlight w:val="none"/>
          <w:u w:val="none"/>
          <w:lang w:val="en-US" w:eastAsia="zh-CN"/>
        </w:rPr>
      </w:pPr>
      <w:r>
        <w:rPr>
          <w:rFonts w:hint="eastAsia" w:ascii="黑体" w:hAnsi="黑体" w:eastAsia="黑体" w:cs="黑体"/>
          <w:b w:val="0"/>
          <w:i w:val="0"/>
          <w:color w:val="auto"/>
          <w:sz w:val="32"/>
          <w:highlight w:val="none"/>
          <w:u w:val="none"/>
          <w:lang w:val="en-US" w:eastAsia="zh-CN"/>
        </w:rPr>
        <w:t>第四章  弱势群体及优抚对象布局标准</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default" w:ascii="仿宋_GB2312" w:hAnsi="仿宋_GB2312" w:eastAsia="仿宋_GB2312" w:cs="仿宋_GB2312"/>
          <w:b w:val="0"/>
          <w:i w:val="0"/>
          <w:color w:val="auto"/>
          <w:sz w:val="32"/>
          <w:highlight w:val="none"/>
          <w:u w:val="none"/>
          <w:lang w:eastAsia="zh-CN"/>
        </w:rPr>
        <w:t>本规划中</w:t>
      </w:r>
      <w:r>
        <w:rPr>
          <w:rFonts w:hint="eastAsia" w:ascii="仿宋_GB2312" w:hAnsi="仿宋_GB2312" w:eastAsia="仿宋_GB2312" w:cs="仿宋_GB2312"/>
          <w:b w:val="0"/>
          <w:i w:val="0"/>
          <w:color w:val="auto"/>
          <w:sz w:val="32"/>
          <w:highlight w:val="none"/>
          <w:u w:val="none"/>
          <w:lang w:val="en-US" w:eastAsia="zh-CN"/>
        </w:rPr>
        <w:t>弱势群体指城乡居民持有民政部门核发的残疾证（中国残疾人联合会网站注册登记的）</w:t>
      </w:r>
      <w:r>
        <w:rPr>
          <w:rFonts w:hint="default"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lang w:val="en-US" w:eastAsia="zh-CN"/>
        </w:rPr>
        <w:t>且未就业或家庭生活困难</w:t>
      </w:r>
      <w:r>
        <w:rPr>
          <w:rFonts w:hint="default" w:ascii="仿宋_GB2312" w:hAnsi="仿宋_GB2312" w:eastAsia="仿宋_GB2312" w:cs="仿宋_GB2312"/>
          <w:b w:val="0"/>
          <w:i w:val="0"/>
          <w:color w:val="auto"/>
          <w:sz w:val="32"/>
          <w:highlight w:val="none"/>
          <w:u w:val="none"/>
          <w:lang w:eastAsia="zh-CN"/>
        </w:rPr>
        <w:t>（相关部门出具书面证明材料）</w:t>
      </w:r>
      <w:r>
        <w:rPr>
          <w:rFonts w:hint="eastAsia" w:ascii="仿宋_GB2312" w:hAnsi="仿宋_GB2312" w:eastAsia="仿宋_GB2312" w:cs="仿宋_GB2312"/>
          <w:b w:val="0"/>
          <w:i w:val="0"/>
          <w:color w:val="auto"/>
          <w:sz w:val="32"/>
          <w:highlight w:val="none"/>
          <w:u w:val="none"/>
          <w:lang w:val="en-US" w:eastAsia="zh-CN"/>
        </w:rPr>
        <w:t>的残疾人。</w:t>
      </w:r>
      <w:r>
        <w:rPr>
          <w:rFonts w:hint="default" w:ascii="仿宋_GB2312" w:hAnsi="仿宋_GB2312" w:eastAsia="仿宋_GB2312" w:cs="仿宋_GB2312"/>
          <w:b w:val="0"/>
          <w:i w:val="0"/>
          <w:color w:val="auto"/>
          <w:sz w:val="32"/>
          <w:highlight w:val="none"/>
          <w:u w:val="none"/>
          <w:lang w:eastAsia="zh-CN"/>
        </w:rPr>
        <w:t>范围如下：</w:t>
      </w:r>
    </w:p>
    <w:p>
      <w:pPr>
        <w:widowControl w:val="0"/>
        <w:numPr>
          <w:ilvl w:val="0"/>
          <w:numId w:val="4"/>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eastAsia="zh-CN"/>
        </w:rPr>
        <w:t>视力残疾：一级盲、二级盲；</w:t>
      </w:r>
    </w:p>
    <w:p>
      <w:pPr>
        <w:widowControl w:val="0"/>
        <w:numPr>
          <w:ilvl w:val="0"/>
          <w:numId w:val="4"/>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eastAsia="zh-CN"/>
        </w:rPr>
        <w:t>听力残疾：一、二、三级；</w:t>
      </w:r>
    </w:p>
    <w:p>
      <w:pPr>
        <w:widowControl w:val="0"/>
        <w:numPr>
          <w:ilvl w:val="0"/>
          <w:numId w:val="4"/>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eastAsia="zh-CN"/>
        </w:rPr>
        <w:t>言语残疾：一、二、三级；</w:t>
      </w:r>
    </w:p>
    <w:p>
      <w:pPr>
        <w:widowControl w:val="0"/>
        <w:numPr>
          <w:ilvl w:val="0"/>
          <w:numId w:val="4"/>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eastAsia="zh-CN"/>
        </w:rPr>
        <w:t>肢体残疾：重度（一级）、中度（二级）。</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default" w:ascii="仿宋_GB2312" w:hAnsi="仿宋_GB2312" w:eastAsia="仿宋_GB2312" w:cs="仿宋_GB2312"/>
          <w:b w:val="0"/>
          <w:i w:val="0"/>
          <w:color w:val="auto"/>
          <w:sz w:val="32"/>
          <w:highlight w:val="none"/>
          <w:u w:val="none"/>
          <w:lang w:eastAsia="zh-CN"/>
        </w:rPr>
        <w:t>本规划中</w:t>
      </w:r>
      <w:r>
        <w:rPr>
          <w:rFonts w:hint="eastAsia" w:ascii="仿宋_GB2312" w:hAnsi="仿宋_GB2312" w:eastAsia="仿宋_GB2312" w:cs="仿宋_GB2312"/>
          <w:b w:val="0"/>
          <w:i w:val="0"/>
          <w:color w:val="auto"/>
          <w:sz w:val="32"/>
          <w:highlight w:val="none"/>
          <w:u w:val="none"/>
          <w:lang w:val="en-US" w:eastAsia="zh-CN"/>
        </w:rPr>
        <w:t>优抚对象指持有军队、政府及其机关部门颁发、开具的合法有效证明</w:t>
      </w:r>
      <w:r>
        <w:rPr>
          <w:rFonts w:hint="default"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lang w:val="en-US" w:eastAsia="zh-CN"/>
        </w:rPr>
        <w:t>且存在就业困难、生活困难的烈属、退伍军人</w:t>
      </w:r>
      <w:r>
        <w:rPr>
          <w:rFonts w:hint="default" w:ascii="仿宋_GB2312" w:hAnsi="仿宋_GB2312" w:eastAsia="仿宋_GB2312" w:cs="仿宋_GB2312"/>
          <w:b w:val="0"/>
          <w:i w:val="0"/>
          <w:color w:val="auto"/>
          <w:sz w:val="32"/>
          <w:highlight w:val="none"/>
          <w:u w:val="none"/>
          <w:lang w:eastAsia="zh-CN"/>
        </w:rPr>
        <w:t>。范围如下：</w:t>
      </w:r>
    </w:p>
    <w:p>
      <w:pPr>
        <w:widowControl w:val="0"/>
        <w:numPr>
          <w:ilvl w:val="0"/>
          <w:numId w:val="4"/>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烈士家属（含父母、配偶、子女）；</w:t>
      </w:r>
    </w:p>
    <w:p>
      <w:pPr>
        <w:widowControl w:val="0"/>
        <w:numPr>
          <w:ilvl w:val="0"/>
          <w:numId w:val="4"/>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因战、因公致残，残疾等级被评定为一级至十级的；</w:t>
      </w:r>
    </w:p>
    <w:p>
      <w:pPr>
        <w:widowControl w:val="0"/>
        <w:numPr>
          <w:ilvl w:val="0"/>
          <w:numId w:val="4"/>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因病致残，残疾等级被评定为一级至六级的自主择业（就业）非供养退伍军人；</w:t>
      </w:r>
    </w:p>
    <w:p>
      <w:pPr>
        <w:widowControl w:val="0"/>
        <w:numPr>
          <w:ilvl w:val="0"/>
          <w:numId w:val="4"/>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两参人员中自主择业（就业）退伍军人等。</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弱势群体在首次申领许可证时，有间距限制的区域间距执行所在区域的70%，有数量限制的区域可额外增设1个零售点。仅限办理一个烟草制品零售许可证。</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default" w:ascii="仿宋_GB2312" w:hAnsi="仿宋_GB2312" w:eastAsia="仿宋_GB2312" w:cs="仿宋_GB2312"/>
          <w:b w:val="0"/>
          <w:i w:val="0"/>
          <w:color w:val="auto"/>
          <w:sz w:val="32"/>
          <w:highlight w:val="none"/>
          <w:u w:val="none"/>
          <w:lang w:eastAsia="zh-CN"/>
        </w:rPr>
        <w:t>优抚对象中</w:t>
      </w:r>
      <w:r>
        <w:rPr>
          <w:rFonts w:hint="eastAsia" w:ascii="仿宋_GB2312" w:hAnsi="仿宋_GB2312" w:eastAsia="仿宋_GB2312" w:cs="仿宋_GB2312"/>
          <w:b w:val="0"/>
          <w:i w:val="0"/>
          <w:color w:val="auto"/>
          <w:sz w:val="32"/>
          <w:highlight w:val="none"/>
          <w:u w:val="none"/>
          <w:lang w:val="en-US" w:eastAsia="zh-CN"/>
        </w:rPr>
        <w:t>自主择业（就业）的非供养军残退伍军人和两参退伍军人，首次烟草专卖零售申领可证时，有间距限制的区域间距可放宽50%。有数量限制的区域可额外增设1个零售点。仅限办理一个烟草制品零售许可证。</w:t>
      </w:r>
    </w:p>
    <w:p>
      <w:pPr>
        <w:widowControl w:val="0"/>
        <w:numPr>
          <w:ilvl w:val="0"/>
          <w:numId w:val="1"/>
        </w:numPr>
        <w:tabs>
          <w:tab w:val="left" w:pos="2100"/>
          <w:tab w:val="clear" w:pos="420"/>
        </w:tabs>
        <w:spacing w:line="579" w:lineRule="exact"/>
        <w:ind w:left="0" w:leftChars="0" w:right="0" w:firstLine="640" w:firstLineChars="200"/>
        <w:jc w:val="both"/>
        <w:rPr>
          <w:rFonts w:hint="eastAsia" w:ascii="黑体" w:hAnsi="黑体" w:eastAsia="黑体" w:cs="黑体"/>
          <w:b w:val="0"/>
          <w:i w:val="0"/>
          <w:color w:val="auto"/>
          <w:sz w:val="32"/>
          <w:highlight w:val="none"/>
          <w:u w:val="none"/>
          <w:lang w:val="en-US" w:eastAsia="zh-CN"/>
        </w:rPr>
      </w:pPr>
      <w:r>
        <w:rPr>
          <w:rFonts w:hint="default" w:ascii="仿宋_GB2312" w:hAnsi="仿宋_GB2312" w:eastAsia="仿宋_GB2312" w:cs="仿宋_GB2312"/>
          <w:b w:val="0"/>
          <w:i w:val="0"/>
          <w:color w:val="auto"/>
          <w:sz w:val="32"/>
          <w:highlight w:val="none"/>
          <w:u w:val="none"/>
          <w:lang w:eastAsia="zh-CN"/>
        </w:rPr>
        <w:t>优抚对象中</w:t>
      </w:r>
      <w:r>
        <w:rPr>
          <w:rFonts w:hint="eastAsia" w:ascii="仿宋_GB2312" w:hAnsi="仿宋_GB2312" w:eastAsia="仿宋_GB2312" w:cs="仿宋_GB2312"/>
          <w:b w:val="0"/>
          <w:i w:val="0"/>
          <w:color w:val="auto"/>
          <w:sz w:val="32"/>
          <w:highlight w:val="none"/>
          <w:u w:val="none"/>
          <w:lang w:val="en-US" w:eastAsia="zh-CN"/>
        </w:rPr>
        <w:t>烈士家属（含父母、配偶、子女）首次申领烟草专卖零售申领可证时不受当地合理布局限制，一份烈士证明材料仅限办理一个烟草制品零售许可证。</w:t>
      </w:r>
    </w:p>
    <w:p>
      <w:pPr>
        <w:widowControl w:val="0"/>
        <w:numPr>
          <w:ilvl w:val="0"/>
          <w:numId w:val="1"/>
        </w:numPr>
        <w:tabs>
          <w:tab w:val="left" w:pos="2100"/>
          <w:tab w:val="clear" w:pos="420"/>
        </w:tabs>
        <w:spacing w:line="579" w:lineRule="exact"/>
        <w:ind w:left="0" w:leftChars="0" w:right="0" w:firstLine="640" w:firstLineChars="200"/>
        <w:jc w:val="both"/>
        <w:rPr>
          <w:rFonts w:hint="eastAsia" w:ascii="黑体" w:hAnsi="黑体" w:eastAsia="黑体" w:cs="黑体"/>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具有下列情形之一的弱势群体、优抚对象不予放宽办证条件：</w:t>
      </w:r>
    </w:p>
    <w:p>
      <w:pPr>
        <w:widowControl w:val="0"/>
        <w:numPr>
          <w:ilvl w:val="0"/>
          <w:numId w:val="5"/>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有固定职业及稳定收入来源的；</w:t>
      </w:r>
    </w:p>
    <w:p>
      <w:pPr>
        <w:widowControl w:val="0"/>
        <w:numPr>
          <w:ilvl w:val="0"/>
          <w:numId w:val="5"/>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享受退休、退职、退养、供养（因战、因公、因病的残疾军人）待遇具有稳定生活保障的；</w:t>
      </w:r>
    </w:p>
    <w:p>
      <w:pPr>
        <w:widowControl w:val="0"/>
        <w:numPr>
          <w:ilvl w:val="0"/>
          <w:numId w:val="5"/>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非本人或直系亲属（仅限配偶、父母、子女）经营的；</w:t>
      </w:r>
    </w:p>
    <w:p>
      <w:pPr>
        <w:widowControl w:val="0"/>
        <w:numPr>
          <w:ilvl w:val="0"/>
          <w:numId w:val="5"/>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较低级别的视力残疾、听力残疾、言语残疾和肢体残疾且可以从事一般社会工作的；</w:t>
      </w:r>
    </w:p>
    <w:p>
      <w:pPr>
        <w:widowControl w:val="0"/>
        <w:numPr>
          <w:ilvl w:val="0"/>
          <w:numId w:val="5"/>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已在本行政区域或其他市县内享受过一次放宽办证政策的；</w:t>
      </w:r>
    </w:p>
    <w:p>
      <w:pPr>
        <w:widowControl w:val="0"/>
        <w:numPr>
          <w:ilvl w:val="0"/>
          <w:numId w:val="5"/>
        </w:numPr>
        <w:spacing w:line="579" w:lineRule="exact"/>
        <w:ind w:left="0" w:leftChars="0" w:right="0" w:firstLine="42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法律法规及其他规范性文件规定的不予放宽的情形。</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弱势群体及优抚对象布局标准仅限于申请人本人或直系亲属（仅限配偶、父母、子女）驻店经营，不包含委托、合伙、聘用经营等情形。</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弱势群体及优抚对象申请人需具备完全民事行为能力并签署诚信经营承诺。</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学校、幼儿园周边等明令禁止的区域应当从其规定。</w:t>
      </w:r>
    </w:p>
    <w:p>
      <w:pPr>
        <w:widowControl w:val="0"/>
        <w:numPr>
          <w:ilvl w:val="0"/>
          <w:numId w:val="0"/>
        </w:numPr>
        <w:tabs>
          <w:tab w:val="left" w:pos="2100"/>
        </w:tabs>
        <w:spacing w:line="579" w:lineRule="exact"/>
        <w:ind w:left="0" w:leftChars="0" w:right="0" w:rightChars="0" w:firstLine="0" w:firstLineChars="0"/>
        <w:jc w:val="center"/>
        <w:rPr>
          <w:rFonts w:hint="eastAsia" w:ascii="黑体" w:hAnsi="黑体" w:eastAsia="黑体" w:cs="黑体"/>
          <w:b w:val="0"/>
          <w:i w:val="0"/>
          <w:color w:val="auto"/>
          <w:sz w:val="32"/>
          <w:highlight w:val="none"/>
          <w:u w:val="none"/>
          <w:lang w:val="en-US" w:eastAsia="zh-CN"/>
        </w:rPr>
      </w:pPr>
      <w:r>
        <w:rPr>
          <w:rFonts w:hint="eastAsia" w:ascii="黑体" w:hAnsi="黑体" w:eastAsia="黑体" w:cs="黑体"/>
          <w:b w:val="0"/>
          <w:i w:val="0"/>
          <w:color w:val="auto"/>
          <w:sz w:val="32"/>
          <w:highlight w:val="none"/>
          <w:u w:val="none"/>
          <w:lang w:val="en-US" w:eastAsia="zh-CN"/>
        </w:rPr>
        <w:t>第五章  特殊情形规定</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因道路规划、城市建设等客观原因造成无法在核定经营地址经营，持证人凭县（区）级以上人民政府拆迁文件（公告）,申请变更到辖区内其他地址经营的，应当符合当地合理布局要求。对于3年内无涉烟违法行为的经营主体，区域间距执行70%，有数量限制的区域可额外增设1个零售点。</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因中小学、幼儿园的新建、改造及修订合理布局中小学、幼儿园</w:t>
      </w:r>
      <w:r>
        <w:rPr>
          <w:rFonts w:hint="default" w:ascii="仿宋_GB2312" w:hAnsi="仿宋_GB2312" w:eastAsia="仿宋_GB2312" w:cs="仿宋_GB2312"/>
          <w:b w:val="0"/>
          <w:i w:val="0"/>
          <w:color w:val="auto"/>
          <w:sz w:val="32"/>
          <w:highlight w:val="none"/>
          <w:u w:val="none"/>
          <w:lang w:eastAsia="zh-CN"/>
        </w:rPr>
        <w:t>周围禁止区域</w:t>
      </w:r>
      <w:r>
        <w:rPr>
          <w:rFonts w:hint="eastAsia" w:ascii="仿宋_GB2312" w:hAnsi="仿宋_GB2312" w:eastAsia="仿宋_GB2312" w:cs="仿宋_GB2312"/>
          <w:b w:val="0"/>
          <w:i w:val="0"/>
          <w:color w:val="auto"/>
          <w:sz w:val="32"/>
          <w:highlight w:val="none"/>
          <w:u w:val="none"/>
          <w:lang w:val="en-US" w:eastAsia="zh-CN"/>
        </w:rPr>
        <w:t>标准</w:t>
      </w:r>
      <w:r>
        <w:rPr>
          <w:rFonts w:hint="default" w:ascii="仿宋_GB2312" w:hAnsi="仿宋_GB2312" w:eastAsia="仿宋_GB2312" w:cs="仿宋_GB2312"/>
          <w:b w:val="0"/>
          <w:i w:val="0"/>
          <w:color w:val="auto"/>
          <w:sz w:val="32"/>
          <w:highlight w:val="none"/>
          <w:u w:val="none"/>
          <w:lang w:eastAsia="zh-CN"/>
        </w:rPr>
        <w:t>的</w:t>
      </w:r>
      <w:r>
        <w:rPr>
          <w:rFonts w:hint="eastAsia" w:ascii="仿宋_GB2312" w:hAnsi="仿宋_GB2312" w:eastAsia="仿宋_GB2312" w:cs="仿宋_GB2312"/>
          <w:b w:val="0"/>
          <w:i w:val="0"/>
          <w:color w:val="auto"/>
          <w:sz w:val="32"/>
          <w:highlight w:val="none"/>
          <w:u w:val="none"/>
          <w:lang w:val="en-US" w:eastAsia="zh-CN"/>
        </w:rPr>
        <w:t>原因造成经营地址不符合相关法律法规规定的，持证人自收到告知书之日起3个月内，主动迁址经营办理相关手续的，并在辖区内选址重新申领许可证的或申请变更到辖区内其他地址经营的，区域间距可执行70%，有数量限制的区域可额外增设1个零售点。</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租赁事业单位房屋开展经营的主体，3年内无涉烟违法行为的经营主体，且许可证在有效期内，因租赁方原因提前终止租赁，造成持证主体无法在核定经营地址经营的，持证人凭事业单位相关文件（公告），并在原许可证注销后3个月内需要重新选址经营的，区域间距可执行80%，有数量限制的区域可额外增设1个零售点。</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租赁个人所有房屋开展经营的主体，</w:t>
      </w:r>
      <w:r>
        <w:rPr>
          <w:rFonts w:hint="default" w:ascii="仿宋_GB2312" w:hAnsi="仿宋_GB2312" w:eastAsia="仿宋_GB2312" w:cs="仿宋_GB2312"/>
          <w:b w:val="0"/>
          <w:i w:val="0"/>
          <w:color w:val="auto"/>
          <w:sz w:val="32"/>
          <w:highlight w:val="none"/>
          <w:u w:val="none"/>
          <w:lang w:eastAsia="zh-CN"/>
        </w:rPr>
        <w:t>5</w:t>
      </w:r>
      <w:r>
        <w:rPr>
          <w:rFonts w:hint="eastAsia" w:ascii="仿宋_GB2312" w:hAnsi="仿宋_GB2312" w:eastAsia="仿宋_GB2312" w:cs="仿宋_GB2312"/>
          <w:b w:val="0"/>
          <w:i w:val="0"/>
          <w:color w:val="auto"/>
          <w:sz w:val="32"/>
          <w:highlight w:val="none"/>
          <w:u w:val="none"/>
          <w:lang w:val="en-US" w:eastAsia="zh-CN"/>
        </w:rPr>
        <w:t>年内无涉烟违法行为的经营主体，且许可证在有效期内，因所租赁房屋所有权发生转移，造成持证主体无法在核定经营地址经营的，持证人凭原租赁房屋产权变更证明及停止租赁关系的证明，并在原许可证注销后3个月内需要重新选址经营的，区域间距可执行80%，有数量限制的区域可额外增设1个零售点。</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其他有政策扶持需要的情形指国务院、省、市为扩大内需、促进就业、服务民生而需要政策扶持的情况。符合新办申请条件的，在有间距限制的区域间距</w:t>
      </w:r>
      <w:r>
        <w:rPr>
          <w:rFonts w:hint="default" w:ascii="仿宋_GB2312" w:hAnsi="仿宋_GB2312" w:eastAsia="仿宋_GB2312" w:cs="仿宋_GB2312"/>
          <w:b w:val="0"/>
          <w:i w:val="0"/>
          <w:color w:val="auto"/>
          <w:sz w:val="32"/>
          <w:highlight w:val="none"/>
          <w:u w:val="none"/>
          <w:lang w:eastAsia="zh-CN"/>
        </w:rPr>
        <w:t>执行80</w:t>
      </w:r>
      <w:r>
        <w:rPr>
          <w:rFonts w:hint="eastAsia" w:ascii="仿宋_GB2312" w:hAnsi="仿宋_GB2312" w:eastAsia="仿宋_GB2312" w:cs="仿宋_GB2312"/>
          <w:b w:val="0"/>
          <w:i w:val="0"/>
          <w:color w:val="auto"/>
          <w:sz w:val="32"/>
          <w:highlight w:val="none"/>
          <w:u w:val="none"/>
          <w:lang w:val="en-US" w:eastAsia="zh-CN"/>
        </w:rPr>
        <w:t>%；有数量限制的区域可增设1个零售点。</w:t>
      </w:r>
    </w:p>
    <w:p>
      <w:pPr>
        <w:widowControl w:val="0"/>
        <w:spacing w:line="579" w:lineRule="exact"/>
        <w:ind w:left="0" w:leftChars="0" w:right="0" w:firstLine="0" w:firstLineChars="0"/>
        <w:jc w:val="center"/>
        <w:rPr>
          <w:rFonts w:hint="eastAsia" w:ascii="黑体" w:hAnsi="黑体" w:eastAsia="黑体" w:cs="黑体"/>
          <w:b w:val="0"/>
          <w:i w:val="0"/>
          <w:color w:val="auto"/>
          <w:sz w:val="32"/>
          <w:highlight w:val="none"/>
          <w:u w:val="none"/>
          <w:lang w:val="en-US" w:eastAsia="zh-CN"/>
        </w:rPr>
      </w:pPr>
      <w:r>
        <w:rPr>
          <w:rFonts w:hint="eastAsia" w:ascii="黑体" w:hAnsi="黑体" w:eastAsia="黑体" w:cs="黑体"/>
          <w:b w:val="0"/>
          <w:i w:val="0"/>
          <w:color w:val="auto"/>
          <w:sz w:val="32"/>
          <w:highlight w:val="none"/>
          <w:u w:val="none"/>
          <w:lang w:val="en-US" w:eastAsia="zh-CN"/>
        </w:rPr>
        <w:t>第六章  禁止准入情形</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具有下列情形之一的，不予发放烟草专卖零售许可证：</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（一）申请主体资格</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1.申请人为无民事行为能力人及限制民事行为能力人的；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2.取消从事烟草专卖业务资格不满三年的；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3.因申请人隐瞒有关情况或者提供虚假材料，烟草专卖行政主管部门作出不予受理或者不予发证决定后，申请人一年内再次提出申请的；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4.因申请人以欺骗、贿赂等不正当手段取得的烟草专卖许可证被撤销后，申请人三年内再次提出申请的；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5.未领取烟草专卖零售许可证经营烟草专卖品业务，并且一年内被执法机关处罚两次以上，在三年内申请领取烟草专卖零售许可证的；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6.未领取烟草专卖零售许可证经营烟草专卖品业务被追究刑事责任，在三年内申请领取烟草专卖零售许可证的；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7.外商投资的商业企业或者个体工商户，及其以特许、吸纳加盟店、其他再投资等形式变相从事烟草专卖品经营业务的；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8.被列入烟草行业专卖管理信息系统证件管理“黑名单”的或列入当地政府部门“失信人员名单”的；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9.本</w:t>
      </w:r>
      <w:r>
        <w:rPr>
          <w:rFonts w:hint="default" w:ascii="仿宋_GB2312" w:hAnsi="仿宋_GB2312" w:eastAsia="仿宋_GB2312" w:cs="仿宋_GB2312"/>
          <w:b w:val="0"/>
          <w:i w:val="0"/>
          <w:color w:val="auto"/>
          <w:sz w:val="32"/>
          <w:highlight w:val="none"/>
          <w:u w:val="none"/>
          <w:lang w:eastAsia="zh-CN"/>
        </w:rPr>
        <w:t>项</w:t>
      </w:r>
      <w:r>
        <w:rPr>
          <w:rFonts w:hint="eastAsia" w:ascii="仿宋_GB2312" w:hAnsi="仿宋_GB2312" w:eastAsia="仿宋_GB2312" w:cs="仿宋_GB2312"/>
          <w:b w:val="0"/>
          <w:i w:val="0"/>
          <w:color w:val="auto"/>
          <w:sz w:val="32"/>
          <w:highlight w:val="none"/>
          <w:u w:val="none"/>
          <w:lang w:val="en-US" w:eastAsia="zh-CN"/>
        </w:rPr>
        <w:t>规定第二到第八</w:t>
      </w:r>
      <w:r>
        <w:rPr>
          <w:rFonts w:hint="default" w:ascii="仿宋_GB2312" w:hAnsi="仿宋_GB2312" w:eastAsia="仿宋_GB2312" w:cs="仿宋_GB2312"/>
          <w:b w:val="0"/>
          <w:i w:val="0"/>
          <w:color w:val="auto"/>
          <w:sz w:val="32"/>
          <w:highlight w:val="none"/>
          <w:u w:val="none"/>
          <w:lang w:eastAsia="zh-CN"/>
        </w:rPr>
        <w:t>目</w:t>
      </w:r>
      <w:r>
        <w:rPr>
          <w:rFonts w:hint="eastAsia" w:ascii="仿宋_GB2312" w:hAnsi="仿宋_GB2312" w:eastAsia="仿宋_GB2312" w:cs="仿宋_GB2312"/>
          <w:b w:val="0"/>
          <w:i w:val="0"/>
          <w:color w:val="auto"/>
          <w:sz w:val="32"/>
          <w:highlight w:val="none"/>
          <w:u w:val="none"/>
          <w:lang w:val="en-US" w:eastAsia="zh-CN"/>
        </w:rPr>
        <w:t>规定的申请人，包含其共同经营人、合伙经营人。</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（二）经营场所</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1.无固定经营场所的：如流动摊点（车、棚）、违章建筑、临时建筑或城市规划内待拆迁建筑等。经相关行政主管部门批准设置的书报亭、扶贫专柜及其他固定设施在有效存续期内，视为固定经营场所；</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2.申请人的经营场所与住所不相独立的，包括但不限于经营场所为住所的客厅、餐厅、卧室、阳台、楼梯间、地下室、储藏室等；</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3.经营场所与容易造成卷烟污染的商品混合经营的，包括但不限于生鲜水产调料店、化妆品店、化肥农药店、理发美容店、主营洗涤护理类、办公用品及其耗材店等经营场所；</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4.不适宜经营卷烟的公共场所，包括但不限于图书馆、网吧、游乐场所等；</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5.基于安全因素不适宜经营卷烟的经营场所，包括但不限于生产、销售、存储的化工、油漆、装潢、炸药、鞭炮、散装白酒等危险品及有毒有害及易燃易爆物品的场所。具备安全保障措施的加油站便利店除外；</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6.主营业务与烟草制品零售业务没有直接或间接互补营销关系的经营场所，包括但不限于通信器材、电子商品、汽车维修、五金交电、医药卫生、医疗器材、美容美甲、洗浴、保健按摩、棋牌室、餐饮服务（第十条第十九项规定的除外）、打印店、装潢装饰、家具销售、纺织服装、丧葬用品、祭祀用品、物流快递、废品回收、美妆美发、修理修配、药妆医械等业态；</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7.同一经营场所已办理烟草专卖零售许可证且许可证还在有效期内的；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8.经营场所因政府规划待拆迁或征用，使用期限不足一年的；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9.经营场所位于办公场所、仓库，住宅公寓、居民小区内的车库、地下室、储藏室以及地面二层及以上未对消费者全开放的场所等。底层用于对外的商铺除外。</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（三）经营模式</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1.利用自动售货机（柜）、无人售卖店或者其他自动售货形式销售或者变相销售烟草制品的；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2.利用游戏、博彩等设备或利用游戏、博彩等方式变相销售烟草制品的；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3.利用信息网络渠道销售烟草制品的。</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（四）禁止设置卷烟零售点的区域</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1.城区范围内学校、幼儿园出（入）口周围50米以内；</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2.农村范围内学校、幼儿园出（入）口周围30米以内；</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3.党政机关、医疗机构内部；</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4.密切接触未成年人的单位内部；主营学生用品的文具店、母婴用品店、玩具店等以未成年人为主要营业对象的公共场所、营业场所；</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5.其他法律、法规、规章和国家烟草专卖局规定的禁止售烟的特殊区域。</w:t>
      </w:r>
    </w:p>
    <w:p>
      <w:pPr>
        <w:widowControl w:val="0"/>
        <w:spacing w:line="579" w:lineRule="exact"/>
        <w:ind w:right="0"/>
        <w:jc w:val="center"/>
        <w:rPr>
          <w:rFonts w:hint="eastAsia" w:ascii="黑体" w:hAnsi="黑体" w:eastAsia="黑体" w:cs="黑体"/>
          <w:b w:val="0"/>
          <w:i w:val="0"/>
          <w:color w:val="auto"/>
          <w:sz w:val="32"/>
          <w:highlight w:val="none"/>
          <w:u w:val="none"/>
          <w:lang w:val="en-US" w:eastAsia="zh-CN"/>
        </w:rPr>
      </w:pPr>
      <w:r>
        <w:rPr>
          <w:rFonts w:hint="eastAsia" w:ascii="黑体" w:hAnsi="黑体" w:eastAsia="黑体" w:cs="黑体"/>
          <w:b w:val="0"/>
          <w:i w:val="0"/>
          <w:color w:val="auto"/>
          <w:sz w:val="32"/>
          <w:highlight w:val="none"/>
          <w:u w:val="none"/>
          <w:lang w:val="en-US" w:eastAsia="zh-CN"/>
        </w:rPr>
        <w:t>第七章  其他规定</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本规划不溯及已合法持有烟草专卖零售许可证的零售户，其许可证有效期满后，在不违反相关法律、法规、规章的情况下予以延续。</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本规划所称中、小学校为《烟草专卖许可证管理办法实施细则》第七十六条所规定的“普通中小学、特殊教育学校、中等职业学校、专门学校。”所称幼儿园为依法取得教育部门办园许可证的幼儿园。</w:t>
      </w:r>
    </w:p>
    <w:p>
      <w:pPr>
        <w:keepNext w:val="0"/>
        <w:keepLines w:val="0"/>
        <w:widowControl w:val="0"/>
        <w:numPr>
          <w:ilvl w:val="0"/>
          <w:numId w:val="1"/>
        </w:numPr>
        <w:suppressLineNumbers w:val="0"/>
        <w:tabs>
          <w:tab w:val="left" w:pos="2100"/>
          <w:tab w:val="clear" w:pos="420"/>
        </w:tabs>
        <w:spacing w:before="0" w:beforeAutospacing="0" w:after="0" w:afterAutospacing="0"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default" w:ascii="仿宋_GB2312" w:hAnsi="Times New Roman" w:eastAsia="仿宋_GB2312" w:cs="仿宋_GB2312"/>
          <w:color w:val="auto"/>
          <w:kern w:val="2"/>
          <w:sz w:val="32"/>
          <w:szCs w:val="32"/>
          <w:highlight w:val="none"/>
          <w:lang w:val="en-US" w:eastAsia="zh-CN" w:bidi="ar"/>
        </w:rPr>
        <w:t>本</w:t>
      </w:r>
      <w:r>
        <w:rPr>
          <w:rFonts w:hint="default" w:ascii="仿宋_GB2312" w:hAnsi="Times New Roman" w:eastAsia="仿宋_GB2312" w:cs="仿宋_GB2312"/>
          <w:color w:val="auto"/>
          <w:kern w:val="2"/>
          <w:sz w:val="32"/>
          <w:szCs w:val="32"/>
          <w:highlight w:val="none"/>
          <w:lang w:eastAsia="zh-CN" w:bidi="ar"/>
        </w:rPr>
        <w:t>规划</w:t>
      </w:r>
      <w:r>
        <w:rPr>
          <w:rFonts w:hint="default" w:ascii="仿宋_GB2312" w:hAnsi="Times New Roman" w:eastAsia="仿宋_GB2312" w:cs="仿宋_GB2312"/>
          <w:color w:val="auto"/>
          <w:kern w:val="2"/>
          <w:sz w:val="32"/>
          <w:szCs w:val="32"/>
          <w:highlight w:val="none"/>
          <w:lang w:val="en-US" w:eastAsia="zh-CN" w:bidi="ar"/>
        </w:rPr>
        <w:t>所称营业面积，是指直接用于经营业务的面积，不包括经营场所内的仓储、办公等场所。</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本规划中的各零售点之间的间距，以及零售点与中小学校、幼儿园、少年宫的距离按照</w:t>
      </w:r>
      <w:r>
        <w:rPr>
          <w:rFonts w:hint="default" w:ascii="仿宋_GB2312" w:hAnsi="仿宋_GB2312" w:eastAsia="仿宋_GB2312" w:cs="仿宋_GB2312"/>
          <w:b w:val="0"/>
          <w:i w:val="0"/>
          <w:color w:val="auto"/>
          <w:sz w:val="32"/>
          <w:highlight w:val="none"/>
          <w:u w:val="none"/>
          <w:lang w:eastAsia="zh-CN"/>
        </w:rPr>
        <w:t>《</w:t>
      </w:r>
      <w:r>
        <w:rPr>
          <w:rFonts w:hint="eastAsia" w:ascii="仿宋_GB2312" w:hAnsi="仿宋_GB2312" w:eastAsia="仿宋_GB2312" w:cs="仿宋_GB2312"/>
          <w:b w:val="0"/>
          <w:i w:val="0"/>
          <w:color w:val="auto"/>
          <w:sz w:val="32"/>
          <w:highlight w:val="none"/>
          <w:u w:val="none"/>
          <w:lang w:val="en-US" w:eastAsia="zh-CN"/>
        </w:rPr>
        <w:t>洋县烟草制品零售点现场测量标准</w:t>
      </w:r>
      <w:r>
        <w:rPr>
          <w:rFonts w:hint="default" w:ascii="仿宋_GB2312" w:hAnsi="仿宋_GB2312" w:eastAsia="仿宋_GB2312" w:cs="仿宋_GB2312"/>
          <w:b w:val="0"/>
          <w:i w:val="0"/>
          <w:color w:val="auto"/>
          <w:sz w:val="32"/>
          <w:highlight w:val="none"/>
          <w:u w:val="none"/>
          <w:lang w:eastAsia="zh-CN"/>
        </w:rPr>
        <w:t>》（附件3）</w:t>
      </w:r>
      <w:r>
        <w:rPr>
          <w:rFonts w:hint="eastAsia" w:ascii="仿宋_GB2312" w:hAnsi="仿宋_GB2312" w:eastAsia="仿宋_GB2312" w:cs="仿宋_GB2312"/>
          <w:b w:val="0"/>
          <w:i w:val="0"/>
          <w:color w:val="auto"/>
          <w:sz w:val="32"/>
          <w:highlight w:val="none"/>
          <w:u w:val="none"/>
          <w:lang w:eastAsia="zh-CN"/>
        </w:rPr>
        <w:t>进行实地</w:t>
      </w:r>
      <w:r>
        <w:rPr>
          <w:rFonts w:hint="eastAsia" w:ascii="仿宋_GB2312" w:hAnsi="仿宋_GB2312" w:eastAsia="仿宋_GB2312" w:cs="仿宋_GB2312"/>
          <w:b w:val="0"/>
          <w:i w:val="0"/>
          <w:color w:val="auto"/>
          <w:sz w:val="32"/>
          <w:highlight w:val="none"/>
          <w:u w:val="none"/>
          <w:lang w:val="en-US" w:eastAsia="zh-CN"/>
        </w:rPr>
        <w:t>测量。</w:t>
      </w:r>
    </w:p>
    <w:p>
      <w:pPr>
        <w:widowControl w:val="0"/>
        <w:spacing w:line="579" w:lineRule="exact"/>
        <w:ind w:left="0" w:leftChars="0" w:right="0" w:firstLine="0" w:firstLineChars="0"/>
        <w:jc w:val="center"/>
        <w:rPr>
          <w:rFonts w:hint="eastAsia" w:ascii="黑体" w:hAnsi="黑体" w:eastAsia="黑体" w:cs="黑体"/>
          <w:b w:val="0"/>
          <w:i w:val="0"/>
          <w:color w:val="auto"/>
          <w:sz w:val="32"/>
          <w:highlight w:val="none"/>
          <w:u w:val="none"/>
          <w:lang w:val="en-US" w:eastAsia="zh-CN"/>
        </w:rPr>
      </w:pPr>
      <w:r>
        <w:rPr>
          <w:rFonts w:hint="eastAsia" w:ascii="黑体" w:hAnsi="黑体" w:eastAsia="黑体" w:cs="黑体"/>
          <w:b w:val="0"/>
          <w:i w:val="0"/>
          <w:color w:val="auto"/>
          <w:sz w:val="32"/>
          <w:highlight w:val="none"/>
          <w:u w:val="none"/>
          <w:lang w:val="en-US" w:eastAsia="zh-CN"/>
        </w:rPr>
        <w:t>第八章  附则</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本规划中的“以上”“以内”“不超过”均包含本数。</w:t>
      </w:r>
    </w:p>
    <w:p>
      <w:pPr>
        <w:widowControl w:val="0"/>
        <w:numPr>
          <w:ilvl w:val="0"/>
          <w:numId w:val="1"/>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本规划由洋县烟草专卖局负责解释。</w:t>
      </w:r>
    </w:p>
    <w:p>
      <w:pPr>
        <w:widowControl w:val="0"/>
        <w:numPr>
          <w:ilvl w:val="0"/>
          <w:numId w:val="1"/>
        </w:numPr>
        <w:pBdr>
          <w:bottom w:val="none" w:color="auto" w:sz="0" w:space="0"/>
        </w:pBd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本规划自</w:t>
      </w:r>
      <w:r>
        <w:rPr>
          <w:rFonts w:hint="default" w:ascii="仿宋_GB2312" w:hAnsi="仿宋_GB2312" w:eastAsia="仿宋_GB2312" w:cs="仿宋_GB2312"/>
          <w:b w:val="0"/>
          <w:i w:val="0"/>
          <w:color w:val="auto"/>
          <w:sz w:val="32"/>
          <w:highlight w:val="none"/>
          <w:u w:val="none"/>
          <w:lang w:eastAsia="zh-CN"/>
        </w:rPr>
        <w:t>2023</w:t>
      </w:r>
      <w:r>
        <w:rPr>
          <w:rFonts w:hint="eastAsia" w:ascii="仿宋_GB2312" w:hAnsi="仿宋_GB2312" w:eastAsia="仿宋_GB2312" w:cs="仿宋_GB2312"/>
          <w:b w:val="0"/>
          <w:i w:val="0"/>
          <w:color w:val="auto"/>
          <w:sz w:val="32"/>
          <w:highlight w:val="none"/>
          <w:u w:val="none"/>
          <w:lang w:val="en-US" w:eastAsia="zh-CN"/>
        </w:rPr>
        <w:t>年</w:t>
      </w:r>
      <w:r>
        <w:rPr>
          <w:rFonts w:hint="default" w:ascii="仿宋_GB2312" w:hAnsi="仿宋_GB2312" w:eastAsia="仿宋_GB2312" w:cs="仿宋_GB2312"/>
          <w:b w:val="0"/>
          <w:i w:val="0"/>
          <w:color w:val="auto"/>
          <w:sz w:val="32"/>
          <w:highlight w:val="none"/>
          <w:u w:val="none"/>
          <w:lang w:eastAsia="zh-CN"/>
        </w:rPr>
        <w:t>11</w:t>
      </w:r>
      <w:r>
        <w:rPr>
          <w:rFonts w:hint="eastAsia" w:ascii="仿宋_GB2312" w:hAnsi="仿宋_GB2312" w:eastAsia="仿宋_GB2312" w:cs="仿宋_GB2312"/>
          <w:b w:val="0"/>
          <w:i w:val="0"/>
          <w:color w:val="auto"/>
          <w:sz w:val="32"/>
          <w:highlight w:val="none"/>
          <w:u w:val="none"/>
          <w:lang w:val="en-US" w:eastAsia="zh-CN"/>
        </w:rPr>
        <w:t>月</w:t>
      </w:r>
      <w:r>
        <w:rPr>
          <w:rFonts w:hint="default" w:ascii="仿宋_GB2312" w:hAnsi="仿宋_GB2312" w:eastAsia="仿宋_GB2312" w:cs="仿宋_GB2312"/>
          <w:b w:val="0"/>
          <w:i w:val="0"/>
          <w:color w:val="auto"/>
          <w:sz w:val="32"/>
          <w:highlight w:val="none"/>
          <w:u w:val="none"/>
          <w:lang w:eastAsia="zh-CN"/>
        </w:rPr>
        <w:t>30</w:t>
      </w:r>
      <w:r>
        <w:rPr>
          <w:rFonts w:hint="eastAsia" w:ascii="仿宋_GB2312" w:hAnsi="仿宋_GB2312" w:eastAsia="仿宋_GB2312" w:cs="仿宋_GB2312"/>
          <w:b w:val="0"/>
          <w:i w:val="0"/>
          <w:color w:val="auto"/>
          <w:sz w:val="32"/>
          <w:highlight w:val="none"/>
          <w:u w:val="none"/>
          <w:lang w:val="en-US" w:eastAsia="zh-CN"/>
        </w:rPr>
        <w:t>日起施行。2021年9月24日印发的《洋县烟草制品零售点合理布局规划》（洋烟字〔2021〕51号）同时废止。</w:t>
      </w:r>
    </w:p>
    <w:p>
      <w:pPr>
        <w:widowControl w:val="0"/>
        <w:numPr>
          <w:ilvl w:val="0"/>
          <w:numId w:val="0"/>
        </w:numPr>
        <w:pBdr>
          <w:bottom w:val="none" w:color="auto" w:sz="0" w:space="0"/>
        </w:pBdr>
        <w:tabs>
          <w:tab w:val="left" w:pos="2100"/>
        </w:tabs>
        <w:spacing w:line="579" w:lineRule="exact"/>
        <w:ind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附件1：洋县烟草制品零售点合理布局规划主要道路</w:t>
      </w:r>
      <w:r>
        <w:rPr>
          <w:rFonts w:hint="default" w:ascii="仿宋_GB2312" w:hAnsi="仿宋_GB2312" w:eastAsia="仿宋_GB2312" w:cs="仿宋_GB2312"/>
          <w:b w:val="0"/>
          <w:i w:val="0"/>
          <w:color w:val="auto"/>
          <w:sz w:val="32"/>
          <w:highlight w:val="none"/>
          <w:u w:val="none"/>
          <w:lang w:eastAsia="zh-CN"/>
        </w:rPr>
        <w:t>范围</w:t>
      </w:r>
    </w:p>
    <w:p>
      <w:pPr>
        <w:widowControl w:val="0"/>
        <w:numPr>
          <w:ilvl w:val="0"/>
          <w:numId w:val="0"/>
        </w:numPr>
        <w:pBdr>
          <w:bottom w:val="none" w:color="auto" w:sz="0" w:space="0"/>
        </w:pBdr>
        <w:tabs>
          <w:tab w:val="left" w:pos="2100"/>
        </w:tabs>
        <w:spacing w:line="579" w:lineRule="exact"/>
        <w:ind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附件2：洋县烟草制品零售点合理布局规划集镇区域范围</w:t>
      </w:r>
    </w:p>
    <w:p>
      <w:pPr>
        <w:widowControl w:val="0"/>
        <w:numPr>
          <w:ilvl w:val="0"/>
          <w:numId w:val="0"/>
        </w:numPr>
        <w:pBdr>
          <w:bottom w:val="none" w:color="auto" w:sz="0" w:space="0"/>
        </w:pBdr>
        <w:tabs>
          <w:tab w:val="left" w:pos="2100"/>
        </w:tabs>
        <w:spacing w:line="579" w:lineRule="exact"/>
        <w:ind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sectPr>
          <w:footerReference r:id="rId3" w:type="default"/>
          <w:pgSz w:w="11906" w:h="16838"/>
          <w:pgMar w:top="2098" w:right="1474" w:bottom="1984" w:left="1588" w:header="851" w:footer="1418" w:gutter="0"/>
          <w:cols w:space="425" w:num="1"/>
          <w:docGrid w:type="lines" w:linePitch="312" w:charSpace="0"/>
        </w:sectPr>
      </w:pPr>
      <w:r>
        <w:rPr>
          <w:rFonts w:hint="eastAsia" w:ascii="仿宋_GB2312" w:hAnsi="仿宋_GB2312" w:eastAsia="仿宋_GB2312" w:cs="仿宋_GB2312"/>
          <w:b w:val="0"/>
          <w:i w:val="0"/>
          <w:color w:val="auto"/>
          <w:sz w:val="32"/>
          <w:highlight w:val="none"/>
          <w:u w:val="none"/>
          <w:lang w:val="en-US" w:eastAsia="zh-CN"/>
        </w:rPr>
        <w:t>附件3：</w:t>
      </w:r>
      <w:r>
        <w:rPr>
          <w:rFonts w:hint="eastAsia" w:ascii="仿宋_GB2312" w:hAnsi="仿宋_GB2312" w:eastAsia="仿宋_GB2312" w:cs="仿宋_GB2312"/>
          <w:color w:val="auto"/>
          <w:sz w:val="32"/>
          <w:highlight w:val="none"/>
          <w:u w:val="none"/>
        </w:rPr>
        <w:t>洋县烟草制品零售点现场测量标准</w:t>
      </w:r>
    </w:p>
    <w:p>
      <w:pPr>
        <w:widowControl w:val="0"/>
        <w:numPr>
          <w:ilvl w:val="0"/>
          <w:numId w:val="0"/>
        </w:numPr>
        <w:pBdr>
          <w:bottom w:val="none" w:color="auto" w:sz="0" w:space="0"/>
        </w:pBdr>
        <w:tabs>
          <w:tab w:val="left" w:pos="2100"/>
        </w:tabs>
        <w:spacing w:line="579" w:lineRule="exact"/>
        <w:ind w:left="0" w:right="0" w:rightChars="0" w:firstLine="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附件1：</w:t>
      </w:r>
    </w:p>
    <w:p>
      <w:pPr>
        <w:widowControl w:val="0"/>
        <w:numPr>
          <w:ilvl w:val="0"/>
          <w:numId w:val="0"/>
        </w:numPr>
        <w:pBdr>
          <w:bottom w:val="none" w:color="auto" w:sz="0" w:space="0"/>
        </w:pBdr>
        <w:tabs>
          <w:tab w:val="left" w:pos="2100"/>
        </w:tabs>
        <w:spacing w:line="579" w:lineRule="exact"/>
        <w:ind w:left="0" w:right="0" w:rightChars="0" w:firstLine="0" w:firstLineChars="0"/>
        <w:jc w:val="center"/>
        <w:rPr>
          <w:rFonts w:hint="eastAsia" w:ascii="方正小标宋简体" w:hAnsi="方正小标宋简体" w:eastAsia="方正小标宋简体" w:cs="方正小标宋简体"/>
          <w:b w:val="0"/>
          <w:i w:val="0"/>
          <w:color w:val="auto"/>
          <w:sz w:val="44"/>
          <w:highlight w:val="none"/>
          <w:u w:val="none"/>
          <w:lang w:val="en-US" w:eastAsia="zh-CN"/>
        </w:rPr>
      </w:pPr>
      <w:r>
        <w:rPr>
          <w:rFonts w:hint="eastAsia" w:ascii="方正小标宋简体" w:hAnsi="方正小标宋简体" w:eastAsia="方正小标宋简体" w:cs="方正小标宋简体"/>
          <w:b w:val="0"/>
          <w:i w:val="0"/>
          <w:color w:val="auto"/>
          <w:sz w:val="44"/>
          <w:highlight w:val="none"/>
          <w:u w:val="none"/>
          <w:lang w:val="en-US" w:eastAsia="zh-CN"/>
        </w:rPr>
        <w:t>洋县烟草制品零售点合理布局规划</w:t>
      </w:r>
    </w:p>
    <w:p>
      <w:pPr>
        <w:widowControl w:val="0"/>
        <w:numPr>
          <w:ilvl w:val="0"/>
          <w:numId w:val="0"/>
        </w:numPr>
        <w:pBdr>
          <w:bottom w:val="none" w:color="auto" w:sz="0" w:space="0"/>
        </w:pBdr>
        <w:tabs>
          <w:tab w:val="left" w:pos="2100"/>
        </w:tabs>
        <w:spacing w:line="579" w:lineRule="exact"/>
        <w:ind w:right="0" w:rightChars="0"/>
        <w:jc w:val="center"/>
        <w:rPr>
          <w:rFonts w:hint="default" w:ascii="仿宋_GB2312" w:hAnsi="仿宋_GB2312" w:eastAsia="仿宋_GB2312" w:cs="仿宋_GB2312"/>
          <w:b w:val="0"/>
          <w:i w:val="0"/>
          <w:color w:val="auto"/>
          <w:sz w:val="32"/>
          <w:highlight w:val="none"/>
          <w:u w:val="none"/>
          <w:lang w:val="en-US" w:eastAsia="zh-CN"/>
        </w:rPr>
      </w:pPr>
      <w:r>
        <w:rPr>
          <w:rFonts w:hint="eastAsia" w:ascii="方正小标宋简体" w:hAnsi="方正小标宋简体" w:eastAsia="方正小标宋简体" w:cs="方正小标宋简体"/>
          <w:b w:val="0"/>
          <w:i w:val="0"/>
          <w:color w:val="auto"/>
          <w:sz w:val="44"/>
          <w:highlight w:val="none"/>
          <w:u w:val="none"/>
          <w:lang w:val="en-US" w:eastAsia="zh-CN"/>
        </w:rPr>
        <w:t>主要道路</w:t>
      </w:r>
      <w:r>
        <w:rPr>
          <w:rFonts w:hint="default" w:ascii="方正小标宋简体" w:hAnsi="方正小标宋简体" w:eastAsia="方正小标宋简体" w:cs="方正小标宋简体"/>
          <w:b w:val="0"/>
          <w:i w:val="0"/>
          <w:color w:val="auto"/>
          <w:sz w:val="44"/>
          <w:highlight w:val="none"/>
          <w:u w:val="none"/>
          <w:lang w:eastAsia="zh-CN"/>
        </w:rPr>
        <w:t>范围</w:t>
      </w:r>
    </w:p>
    <w:tbl>
      <w:tblPr>
        <w:tblStyle w:val="4"/>
        <w:tblW w:w="493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1335"/>
        <w:gridCol w:w="68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7"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道路名称</w:t>
            </w:r>
          </w:p>
        </w:tc>
        <w:tc>
          <w:tcPr>
            <w:tcW w:w="38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划定界限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北环路</w:t>
            </w:r>
          </w:p>
        </w:tc>
        <w:tc>
          <w:tcPr>
            <w:tcW w:w="3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西起S230与北环路交叉口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东起东二环路与北环路交叉口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南环路</w:t>
            </w:r>
          </w:p>
        </w:tc>
        <w:tc>
          <w:tcPr>
            <w:tcW w:w="3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西起五路口转盘东侧与南环路接口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东起东二环路与南环路交叉口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东环路</w:t>
            </w:r>
          </w:p>
        </w:tc>
        <w:tc>
          <w:tcPr>
            <w:tcW w:w="3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Style w:val="7"/>
                <w:color w:val="auto"/>
                <w:sz w:val="24"/>
                <w:szCs w:val="24"/>
                <w:highlight w:val="none"/>
                <w:lang w:val="en-US" w:eastAsia="zh-CN" w:bidi="ar"/>
              </w:rPr>
              <w:t>北起北二环路与东环路交叉口</w:t>
            </w:r>
            <w:r>
              <w:rPr>
                <w:rStyle w:val="7"/>
                <w:color w:val="auto"/>
                <w:sz w:val="24"/>
                <w:szCs w:val="24"/>
                <w:highlight w:val="none"/>
                <w:lang w:val="en-US" w:eastAsia="zh-CN" w:bidi="ar"/>
              </w:rPr>
              <w:br w:type="textWrapping"/>
            </w:r>
            <w:r>
              <w:rPr>
                <w:rStyle w:val="7"/>
                <w:color w:val="auto"/>
                <w:sz w:val="24"/>
                <w:szCs w:val="24"/>
                <w:highlight w:val="none"/>
                <w:lang w:val="en-US" w:eastAsia="zh-CN" w:bidi="ar"/>
              </w:rPr>
              <w:t>南起</w:t>
            </w:r>
            <w:r>
              <w:rPr>
                <w:rStyle w:val="8"/>
                <w:rFonts w:hint="eastAsia"/>
                <w:color w:val="auto"/>
                <w:sz w:val="24"/>
                <w:szCs w:val="24"/>
                <w:highlight w:val="none"/>
                <w:lang w:val="en-US" w:eastAsia="zh-CN" w:bidi="ar"/>
              </w:rPr>
              <w:t>南环路</w:t>
            </w:r>
            <w:r>
              <w:rPr>
                <w:rStyle w:val="7"/>
                <w:color w:val="auto"/>
                <w:sz w:val="24"/>
                <w:szCs w:val="24"/>
                <w:highlight w:val="none"/>
                <w:lang w:val="en-US" w:eastAsia="zh-CN" w:bidi="ar"/>
              </w:rPr>
              <w:t>与东环路交叉口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西环路</w:t>
            </w:r>
          </w:p>
        </w:tc>
        <w:tc>
          <w:tcPr>
            <w:tcW w:w="3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北起北环路与西环路交叉口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南起与文明路转盘北侧与西环路接口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文明路</w:t>
            </w:r>
          </w:p>
        </w:tc>
        <w:tc>
          <w:tcPr>
            <w:tcW w:w="3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西起西环路南侧转盘东侧与文明路接口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东起东二环路与文明路交叉口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武康路</w:t>
            </w:r>
          </w:p>
        </w:tc>
        <w:tc>
          <w:tcPr>
            <w:tcW w:w="3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Style w:val="7"/>
                <w:color w:val="auto"/>
                <w:sz w:val="24"/>
                <w:szCs w:val="24"/>
                <w:highlight w:val="none"/>
                <w:lang w:val="en-US" w:eastAsia="zh-CN" w:bidi="ar"/>
              </w:rPr>
              <w:t>北起北二环路与武康路交叉口</w:t>
            </w:r>
            <w:r>
              <w:rPr>
                <w:rStyle w:val="7"/>
                <w:color w:val="auto"/>
                <w:sz w:val="24"/>
                <w:szCs w:val="24"/>
                <w:highlight w:val="none"/>
                <w:lang w:val="en-US" w:eastAsia="zh-CN" w:bidi="ar"/>
              </w:rPr>
              <w:br w:type="textWrapping"/>
            </w:r>
            <w:r>
              <w:rPr>
                <w:rStyle w:val="7"/>
                <w:color w:val="auto"/>
                <w:sz w:val="24"/>
                <w:szCs w:val="24"/>
                <w:highlight w:val="none"/>
                <w:lang w:val="en-US" w:eastAsia="zh-CN" w:bidi="ar"/>
              </w:rPr>
              <w:t>南起</w:t>
            </w:r>
            <w:r>
              <w:rPr>
                <w:rStyle w:val="8"/>
                <w:rFonts w:hint="eastAsia"/>
                <w:color w:val="auto"/>
                <w:sz w:val="24"/>
                <w:szCs w:val="24"/>
                <w:highlight w:val="none"/>
                <w:lang w:val="en-US" w:eastAsia="zh-CN" w:bidi="ar"/>
              </w:rPr>
              <w:t>南环路</w:t>
            </w:r>
            <w:r>
              <w:rPr>
                <w:rStyle w:val="7"/>
                <w:color w:val="auto"/>
                <w:sz w:val="24"/>
                <w:szCs w:val="24"/>
                <w:highlight w:val="none"/>
                <w:lang w:val="en-US" w:eastAsia="zh-CN" w:bidi="ar"/>
              </w:rPr>
              <w:t>与武康路交叉口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唐塔路</w:t>
            </w:r>
          </w:p>
        </w:tc>
        <w:tc>
          <w:tcPr>
            <w:tcW w:w="38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eastAsia" w:ascii="宋体" w:hAnsi="宋体" w:eastAsia="宋体" w:cs="宋体"/>
                <w:i w:val="0"/>
                <w:iCs w:val="0"/>
                <w:color w:val="auto"/>
                <w:sz w:val="24"/>
                <w:szCs w:val="24"/>
                <w:highlight w:val="none"/>
                <w:u w:val="none"/>
              </w:rPr>
            </w:pPr>
            <w:r>
              <w:rPr>
                <w:rStyle w:val="7"/>
                <w:color w:val="auto"/>
                <w:sz w:val="24"/>
                <w:szCs w:val="24"/>
                <w:highlight w:val="none"/>
                <w:lang w:val="en-US" w:eastAsia="zh-CN" w:bidi="ar"/>
              </w:rPr>
              <w:t>北起</w:t>
            </w:r>
            <w:r>
              <w:rPr>
                <w:rStyle w:val="8"/>
                <w:rFonts w:hint="eastAsia"/>
                <w:color w:val="auto"/>
                <w:sz w:val="24"/>
                <w:szCs w:val="24"/>
                <w:highlight w:val="none"/>
                <w:lang w:val="en-US" w:eastAsia="zh-CN" w:bidi="ar"/>
              </w:rPr>
              <w:t>北二环路</w:t>
            </w:r>
            <w:r>
              <w:rPr>
                <w:rStyle w:val="7"/>
                <w:color w:val="auto"/>
                <w:sz w:val="24"/>
                <w:szCs w:val="24"/>
                <w:highlight w:val="none"/>
                <w:lang w:val="en-US" w:eastAsia="zh-CN" w:bidi="ar"/>
              </w:rPr>
              <w:t>与唐塔路交叉口</w:t>
            </w:r>
            <w:r>
              <w:rPr>
                <w:rStyle w:val="7"/>
                <w:color w:val="auto"/>
                <w:sz w:val="24"/>
                <w:szCs w:val="24"/>
                <w:highlight w:val="none"/>
                <w:lang w:val="en-US" w:eastAsia="zh-CN" w:bidi="ar"/>
              </w:rPr>
              <w:br w:type="textWrapping"/>
            </w:r>
            <w:r>
              <w:rPr>
                <w:rStyle w:val="7"/>
                <w:color w:val="auto"/>
                <w:sz w:val="24"/>
                <w:szCs w:val="24"/>
                <w:highlight w:val="none"/>
                <w:lang w:val="en-US" w:eastAsia="zh-CN" w:bidi="ar"/>
              </w:rPr>
              <w:t>南起南环路与唐塔路交叉口</w:t>
            </w:r>
          </w:p>
        </w:tc>
      </w:tr>
    </w:tbl>
    <w:p>
      <w:pPr>
        <w:rPr>
          <w:rFonts w:hint="eastAsia" w:ascii="仿宋_GB2312" w:hAnsi="仿宋_GB2312" w:eastAsia="仿宋_GB2312" w:cs="仿宋_GB2312"/>
          <w:b w:val="0"/>
          <w:i w:val="0"/>
          <w:color w:val="auto"/>
          <w:sz w:val="32"/>
          <w:highlight w:val="none"/>
          <w:u w:val="none"/>
          <w:lang w:val="en-US" w:eastAsia="zh-CN"/>
        </w:rPr>
        <w:sectPr>
          <w:pgSz w:w="11906" w:h="16838"/>
          <w:pgMar w:top="2098" w:right="1474" w:bottom="1984" w:left="1588" w:header="851" w:footer="1418" w:gutter="0"/>
          <w:cols w:space="425" w:num="1"/>
          <w:docGrid w:type="lines" w:linePitch="312" w:charSpace="0"/>
        </w:sectPr>
      </w:pPr>
      <w:r>
        <w:rPr>
          <w:rFonts w:hint="eastAsia" w:ascii="仿宋_GB2312" w:hAnsi="仿宋_GB2312" w:eastAsia="仿宋_GB2312" w:cs="仿宋_GB2312"/>
          <w:b w:val="0"/>
          <w:i w:val="0"/>
          <w:color w:val="auto"/>
          <w:sz w:val="32"/>
          <w:highlight w:val="none"/>
          <w:u w:val="none"/>
          <w:lang w:val="en-US" w:eastAsia="zh-CN"/>
        </w:rPr>
        <w:drawing>
          <wp:inline distT="0" distB="0" distL="114300" distR="114300">
            <wp:extent cx="5615305" cy="3737610"/>
            <wp:effectExtent l="0" t="0" r="10795" b="8890"/>
            <wp:docPr id="7" name="图片 7" descr="新全景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全景图2"/>
                    <pic:cNvPicPr>
                      <a:picLocks noChangeAspect="1"/>
                    </pic:cNvPicPr>
                  </pic:nvPicPr>
                  <pic:blipFill>
                    <a:blip r:embed="rId5"/>
                    <a:srcRect l="2982" t="15694" r="16970" b="21626"/>
                    <a:stretch>
                      <a:fillRect/>
                    </a:stretch>
                  </pic:blipFill>
                  <pic:spPr>
                    <a:xfrm>
                      <a:off x="0" y="0"/>
                      <a:ext cx="5615305" cy="3737610"/>
                    </a:xfrm>
                    <a:prstGeom prst="rect">
                      <a:avLst/>
                    </a:prstGeom>
                  </pic:spPr>
                </pic:pic>
              </a:graphicData>
            </a:graphic>
          </wp:inline>
        </w:drawing>
      </w:r>
    </w:p>
    <w:p>
      <w:pPr>
        <w:widowControl w:val="0"/>
        <w:numPr>
          <w:ilvl w:val="0"/>
          <w:numId w:val="0"/>
        </w:numPr>
        <w:pBdr>
          <w:bottom w:val="none" w:color="auto" w:sz="0" w:space="0"/>
        </w:pBdr>
        <w:tabs>
          <w:tab w:val="left" w:pos="2100"/>
        </w:tabs>
        <w:spacing w:line="579" w:lineRule="exact"/>
        <w:ind w:left="0" w:right="0" w:rightChars="0" w:firstLine="0" w:firstLineChars="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附件</w:t>
      </w:r>
      <w:r>
        <w:rPr>
          <w:rFonts w:hint="default" w:ascii="仿宋_GB2312" w:hAnsi="仿宋_GB2312" w:eastAsia="仿宋_GB2312" w:cs="仿宋_GB2312"/>
          <w:b w:val="0"/>
          <w:i w:val="0"/>
          <w:color w:val="auto"/>
          <w:sz w:val="32"/>
          <w:highlight w:val="none"/>
          <w:u w:val="none"/>
          <w:lang w:eastAsia="zh-CN"/>
        </w:rPr>
        <w:t>2</w:t>
      </w:r>
      <w:r>
        <w:rPr>
          <w:rFonts w:hint="eastAsia" w:ascii="仿宋_GB2312" w:hAnsi="仿宋_GB2312" w:eastAsia="仿宋_GB2312" w:cs="仿宋_GB2312"/>
          <w:b w:val="0"/>
          <w:i w:val="0"/>
          <w:color w:val="auto"/>
          <w:sz w:val="32"/>
          <w:highlight w:val="none"/>
          <w:u w:val="none"/>
          <w:lang w:val="en-US" w:eastAsia="zh-CN"/>
        </w:rPr>
        <w:t>：</w:t>
      </w:r>
    </w:p>
    <w:p>
      <w:pPr>
        <w:widowControl w:val="0"/>
        <w:numPr>
          <w:ilvl w:val="0"/>
          <w:numId w:val="0"/>
        </w:numPr>
        <w:pBdr>
          <w:bottom w:val="none" w:color="auto" w:sz="0" w:space="0"/>
        </w:pBdr>
        <w:tabs>
          <w:tab w:val="left" w:pos="2100"/>
        </w:tabs>
        <w:spacing w:line="579" w:lineRule="exact"/>
        <w:ind w:left="0" w:right="0" w:rightChars="0" w:firstLine="0" w:firstLineChars="0"/>
        <w:jc w:val="center"/>
        <w:rPr>
          <w:rFonts w:hint="eastAsia" w:ascii="方正小标宋简体" w:hAnsi="方正小标宋简体" w:eastAsia="方正小标宋简体" w:cs="方正小标宋简体"/>
          <w:b w:val="0"/>
          <w:i w:val="0"/>
          <w:color w:val="auto"/>
          <w:sz w:val="44"/>
          <w:highlight w:val="none"/>
          <w:u w:val="none"/>
          <w:lang w:val="en-US" w:eastAsia="zh-CN"/>
        </w:rPr>
      </w:pPr>
      <w:r>
        <w:rPr>
          <w:rFonts w:hint="eastAsia" w:ascii="方正小标宋简体" w:hAnsi="方正小标宋简体" w:eastAsia="方正小标宋简体" w:cs="方正小标宋简体"/>
          <w:b w:val="0"/>
          <w:i w:val="0"/>
          <w:color w:val="auto"/>
          <w:sz w:val="44"/>
          <w:highlight w:val="none"/>
          <w:u w:val="none"/>
          <w:lang w:val="en-US" w:eastAsia="zh-CN"/>
        </w:rPr>
        <w:t>洋县烟草制品零售点合理布局规划</w:t>
      </w:r>
    </w:p>
    <w:p>
      <w:pPr>
        <w:widowControl w:val="0"/>
        <w:numPr>
          <w:ilvl w:val="0"/>
          <w:numId w:val="0"/>
        </w:numPr>
        <w:pBdr>
          <w:bottom w:val="none" w:color="auto" w:sz="0" w:space="0"/>
        </w:pBdr>
        <w:tabs>
          <w:tab w:val="left" w:pos="2100"/>
        </w:tabs>
        <w:spacing w:line="579" w:lineRule="exact"/>
        <w:ind w:left="0" w:right="0" w:rightChars="0" w:firstLine="0" w:firstLineChars="0"/>
        <w:jc w:val="center"/>
        <w:rPr>
          <w:rFonts w:hint="eastAsia" w:ascii="方正小标宋简体" w:hAnsi="方正小标宋简体" w:eastAsia="方正小标宋简体" w:cs="方正小标宋简体"/>
          <w:b/>
          <w:bCs/>
          <w:i w:val="0"/>
          <w:color w:val="auto"/>
          <w:sz w:val="44"/>
          <w:highlight w:val="none"/>
          <w:u w:val="none"/>
          <w:lang w:eastAsia="zh-CN"/>
        </w:rPr>
      </w:pPr>
      <w:r>
        <w:rPr>
          <w:rFonts w:hint="eastAsia" w:ascii="方正小标宋简体" w:hAnsi="方正小标宋简体" w:eastAsia="方正小标宋简体" w:cs="方正小标宋简体"/>
          <w:b w:val="0"/>
          <w:i w:val="0"/>
          <w:color w:val="auto"/>
          <w:sz w:val="44"/>
          <w:highlight w:val="none"/>
          <w:u w:val="none"/>
          <w:lang w:eastAsia="zh-CN"/>
        </w:rPr>
        <w:t>集镇区域范围</w:t>
      </w:r>
    </w:p>
    <w:tbl>
      <w:tblPr>
        <w:tblStyle w:val="4"/>
        <w:tblW w:w="879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77"/>
        <w:gridCol w:w="5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镇（办）名称</w:t>
            </w:r>
          </w:p>
        </w:tc>
        <w:tc>
          <w:tcPr>
            <w:tcW w:w="532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所含行政村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八里关镇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八里关村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关帝镇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白刘村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华阳镇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华阳街村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槐树关镇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槐树关村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黄安镇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黄安村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continue"/>
            <w:shd w:val="clear" w:color="auto" w:fill="auto"/>
            <w:vAlign w:val="center"/>
          </w:tcPr>
          <w:p>
            <w:pPr>
              <w:jc w:val="center"/>
              <w:rPr>
                <w:rFonts w:hint="eastAsia" w:ascii="宋体" w:hAnsi="宋体" w:eastAsia="宋体" w:cs="宋体"/>
                <w:b w:val="0"/>
                <w:bCs w:val="0"/>
                <w:i w:val="0"/>
                <w:iCs w:val="0"/>
                <w:color w:val="auto"/>
                <w:sz w:val="22"/>
                <w:szCs w:val="22"/>
                <w:highlight w:val="none"/>
                <w:u w:val="none"/>
              </w:rPr>
            </w:pP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朴树村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黄家营镇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黄家营村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黄金峡镇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新铺村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金水镇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关岭村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continue"/>
            <w:shd w:val="clear" w:color="auto" w:fill="auto"/>
            <w:vAlign w:val="center"/>
          </w:tcPr>
          <w:p>
            <w:pPr>
              <w:jc w:val="center"/>
              <w:rPr>
                <w:rFonts w:hint="eastAsia" w:ascii="宋体" w:hAnsi="宋体" w:eastAsia="宋体" w:cs="宋体"/>
                <w:b w:val="0"/>
                <w:bCs w:val="0"/>
                <w:i w:val="0"/>
                <w:iCs w:val="0"/>
                <w:color w:val="auto"/>
                <w:sz w:val="22"/>
                <w:szCs w:val="22"/>
                <w:highlight w:val="none"/>
                <w:u w:val="none"/>
              </w:rPr>
            </w:pP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金水村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龙亭镇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杜村村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continue"/>
            <w:shd w:val="clear" w:color="auto" w:fill="auto"/>
            <w:vAlign w:val="center"/>
          </w:tcPr>
          <w:p>
            <w:pPr>
              <w:jc w:val="center"/>
              <w:rPr>
                <w:rFonts w:hint="eastAsia" w:ascii="宋体" w:hAnsi="宋体" w:eastAsia="宋体" w:cs="宋体"/>
                <w:b w:val="0"/>
                <w:bCs w:val="0"/>
                <w:i w:val="0"/>
                <w:iCs w:val="0"/>
                <w:color w:val="auto"/>
                <w:sz w:val="22"/>
                <w:szCs w:val="22"/>
                <w:highlight w:val="none"/>
                <w:u w:val="none"/>
              </w:rPr>
            </w:pP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龙亭村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马畅镇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安巷村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continue"/>
            <w:shd w:val="clear" w:color="auto" w:fill="auto"/>
            <w:vAlign w:val="center"/>
          </w:tcPr>
          <w:p>
            <w:pPr>
              <w:jc w:val="center"/>
              <w:rPr>
                <w:rFonts w:hint="eastAsia" w:ascii="宋体" w:hAnsi="宋体" w:eastAsia="宋体" w:cs="宋体"/>
                <w:b w:val="0"/>
                <w:bCs w:val="0"/>
                <w:i w:val="0"/>
                <w:iCs w:val="0"/>
                <w:color w:val="auto"/>
                <w:sz w:val="22"/>
                <w:szCs w:val="22"/>
                <w:highlight w:val="none"/>
                <w:u w:val="none"/>
              </w:rPr>
            </w:pP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东社村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continue"/>
            <w:shd w:val="clear" w:color="auto" w:fill="auto"/>
            <w:vAlign w:val="center"/>
          </w:tcPr>
          <w:p>
            <w:pPr>
              <w:jc w:val="center"/>
              <w:rPr>
                <w:rFonts w:hint="eastAsia" w:ascii="宋体" w:hAnsi="宋体" w:eastAsia="宋体" w:cs="宋体"/>
                <w:b w:val="0"/>
                <w:bCs w:val="0"/>
                <w:i w:val="0"/>
                <w:iCs w:val="0"/>
                <w:color w:val="auto"/>
                <w:sz w:val="22"/>
                <w:szCs w:val="22"/>
                <w:highlight w:val="none"/>
                <w:u w:val="none"/>
              </w:rPr>
            </w:pP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高堡村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茅坪镇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茅坪村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磨子桥镇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磨子桥社区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戚氏街道办事处</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戚氏村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桑溪镇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桑溪沟村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谢村镇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谢村村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vMerge w:val="continue"/>
            <w:shd w:val="clear" w:color="auto" w:fill="auto"/>
            <w:vAlign w:val="center"/>
          </w:tcPr>
          <w:p>
            <w:pPr>
              <w:jc w:val="center"/>
              <w:rPr>
                <w:rFonts w:hint="eastAsia" w:ascii="宋体" w:hAnsi="宋体" w:eastAsia="宋体" w:cs="宋体"/>
                <w:b w:val="0"/>
                <w:bCs w:val="0"/>
                <w:i w:val="0"/>
                <w:iCs w:val="0"/>
                <w:color w:val="auto"/>
                <w:sz w:val="22"/>
                <w:szCs w:val="22"/>
                <w:highlight w:val="none"/>
                <w:u w:val="none"/>
              </w:rPr>
            </w:pP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镇江村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溢水镇</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上溢水村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4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纸坊街道办事处</w:t>
            </w:r>
          </w:p>
        </w:tc>
        <w:tc>
          <w:tcPr>
            <w:tcW w:w="5322"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草坝村</w:t>
            </w:r>
          </w:p>
        </w:tc>
      </w:tr>
    </w:tbl>
    <w:p>
      <w:pPr>
        <w:widowControl/>
        <w:numPr>
          <w:ilvl w:val="-1"/>
          <w:numId w:val="0"/>
        </w:numPr>
        <w:pBdr>
          <w:bottom w:val="none" w:color="auto" w:sz="0" w:space="0"/>
        </w:pBdr>
        <w:spacing w:line="240" w:lineRule="auto"/>
        <w:ind w:left="0" w:right="0" w:rightChars="0" w:firstLine="0" w:firstLineChars="0"/>
        <w:jc w:val="left"/>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br w:type="page"/>
      </w:r>
    </w:p>
    <w:p>
      <w:pPr>
        <w:widowControl w:val="0"/>
        <w:numPr>
          <w:ilvl w:val="0"/>
          <w:numId w:val="0"/>
        </w:numPr>
        <w:pBdr>
          <w:bottom w:val="none" w:color="auto" w:sz="0" w:space="0"/>
        </w:pBdr>
        <w:tabs>
          <w:tab w:val="left" w:pos="2100"/>
        </w:tabs>
        <w:spacing w:line="579" w:lineRule="exact"/>
        <w:ind w:left="0" w:right="0" w:rightChars="0" w:firstLine="0" w:firstLineChars="0"/>
        <w:jc w:val="both"/>
        <w:rPr>
          <w:rFonts w:hint="eastAsia" w:ascii="方正小标宋简体" w:hAnsi="方正小标宋简体" w:eastAsia="方正小标宋简体" w:cs="方正小标宋简体"/>
          <w:b w:val="0"/>
          <w:i w:val="0"/>
          <w:color w:val="auto"/>
          <w:sz w:val="44"/>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附件3：</w:t>
      </w:r>
    </w:p>
    <w:p>
      <w:pPr>
        <w:widowControl w:val="0"/>
        <w:numPr>
          <w:ilvl w:val="0"/>
          <w:numId w:val="0"/>
        </w:numPr>
        <w:pBdr>
          <w:bottom w:val="none" w:color="auto" w:sz="0" w:space="0"/>
        </w:pBdr>
        <w:tabs>
          <w:tab w:val="left" w:pos="2100"/>
        </w:tabs>
        <w:spacing w:line="579" w:lineRule="exact"/>
        <w:ind w:left="0" w:right="0" w:rightChars="0" w:firstLine="0" w:firstLineChars="0"/>
        <w:jc w:val="center"/>
        <w:rPr>
          <w:rFonts w:hint="eastAsia" w:ascii="方正小标宋简体" w:hAnsi="方正小标宋简体" w:eastAsia="方正小标宋简体" w:cs="方正小标宋简体"/>
          <w:b w:val="0"/>
          <w:i w:val="0"/>
          <w:color w:val="auto"/>
          <w:sz w:val="44"/>
          <w:highlight w:val="none"/>
          <w:u w:val="none"/>
          <w:lang w:val="en-US" w:eastAsia="zh-CN"/>
        </w:rPr>
      </w:pPr>
      <w:r>
        <w:rPr>
          <w:rFonts w:hint="eastAsia" w:ascii="方正小标宋简体" w:hAnsi="方正小标宋简体" w:eastAsia="方正小标宋简体" w:cs="方正小标宋简体"/>
          <w:b w:val="0"/>
          <w:i w:val="0"/>
          <w:color w:val="auto"/>
          <w:sz w:val="44"/>
          <w:highlight w:val="none"/>
          <w:u w:val="none"/>
          <w:lang w:val="en-US" w:eastAsia="zh-CN"/>
        </w:rPr>
        <w:t>洋县烟草制品零售点现场测量标准</w:t>
      </w:r>
    </w:p>
    <w:p>
      <w:pPr>
        <w:widowControl w:val="0"/>
        <w:numPr>
          <w:ilvl w:val="0"/>
          <w:numId w:val="0"/>
        </w:numPr>
        <w:pBdr>
          <w:bottom w:val="none" w:color="auto" w:sz="0" w:space="0"/>
        </w:pBdr>
        <w:tabs>
          <w:tab w:val="left" w:pos="2100"/>
        </w:tabs>
        <w:spacing w:line="579" w:lineRule="exact"/>
        <w:ind w:right="0" w:rightChars="0"/>
        <w:jc w:val="both"/>
        <w:rPr>
          <w:rFonts w:hint="eastAsia" w:ascii="仿宋_GB2312" w:hAnsi="仿宋_GB2312" w:eastAsia="仿宋_GB2312" w:cs="仿宋_GB2312"/>
          <w:b w:val="0"/>
          <w:i w:val="0"/>
          <w:color w:val="auto"/>
          <w:sz w:val="32"/>
          <w:highlight w:val="none"/>
          <w:u w:val="none"/>
          <w:lang w:val="en-US" w:eastAsia="zh-CN"/>
        </w:rPr>
      </w:pPr>
    </w:p>
    <w:p>
      <w:pPr>
        <w:widowControl w:val="0"/>
        <w:numPr>
          <w:ilvl w:val="0"/>
          <w:numId w:val="0"/>
        </w:numPr>
        <w:pBdr>
          <w:bottom w:val="none" w:color="auto" w:sz="0" w:space="0"/>
        </w:pBdr>
        <w:tabs>
          <w:tab w:val="left" w:pos="2100"/>
        </w:tabs>
        <w:spacing w:beforeLines="0" w:afterLines="0" w:line="579" w:lineRule="exact"/>
        <w:ind w:left="0"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为统一、规范现场测量标准，确保烟草制品零售点勘验公开、公平、公正，依据《洋县烟草制品零售点合理布局规划》（以下简称《合理布局规划》），制定本标准。</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本标准适用于洋县烟草专卖局对烟草制品零售点布局的现场测量工作。</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烟草制品零售点现场测量主要是指间距距离的测量认定。</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间距距离测量，是指申请人的经营场所营业进出通道口中心与最近零售点的经营场所营业进出通道口中心之间的无障碍最短距离。但出入口不包括员工通道、货物通道、消防通道、应急通道、垃圾通道、停车场通道等。</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中小学校、幼儿园的测量起始点为出入行人通道门中间点，有多个出入通道门的，选择距离零售点最近的出入通道门作为圆心，以限制距离为半径向外覆盖的全部区域。不包括不能正常通行的教职工通道、后勤通道、消防通道、垃圾通道、货运通道、长年关闭的门等。</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间距距离使用测量工具进行测量，申请人或利害关系人提出复核的，参与该申请初次实地测量人员应当回避，由测量单位其他执法人员参与进行二次勘验，并制作实地核查勘验表和全程视频音频记录。</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政府有关部门在街道或道路中已经设置的行人隔离带（栏）、绿化带、固定建筑物等视为障碍物，认定为不可正常安全通行。</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在通行道路上临时设置的安全设施，临时放置的建筑材料、物品，擅自设立、建造的建筑、物体，以及因阶段性施工影响通行等不视为障碍物。</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各零售点之间间距测量方式：</w:t>
      </w:r>
    </w:p>
    <w:p>
      <w:pPr>
        <w:spacing w:beforeLines="0" w:afterLines="0" w:line="579" w:lineRule="exact"/>
        <w:ind w:firstLine="640" w:firstLineChars="200"/>
        <w:rPr>
          <w:rFonts w:hint="eastAsia" w:ascii="仿宋_GB2312" w:hAnsi="仿宋_GB2312" w:eastAsia="仿宋_GB2312" w:cs="仿宋_GB2312"/>
          <w:color w:val="auto"/>
          <w:kern w:val="0"/>
          <w:sz w:val="32"/>
          <w:szCs w:val="32"/>
          <w:highlight w:val="none"/>
          <w:lang w:bidi="ug-CN"/>
        </w:rPr>
      </w:pPr>
      <w:r>
        <w:rPr>
          <w:rFonts w:hint="eastAsia" w:ascii="仿宋_GB2312" w:hAnsi="仿宋_GB2312" w:eastAsia="仿宋_GB2312" w:cs="仿宋_GB2312"/>
          <w:color w:val="auto"/>
          <w:sz w:val="32"/>
          <w:szCs w:val="32"/>
          <w:highlight w:val="none"/>
          <w:lang w:eastAsia="zh-CN" w:bidi="ug-CN"/>
        </w:rPr>
        <w:t>（一）</w:t>
      </w:r>
      <w:r>
        <w:rPr>
          <w:rFonts w:hint="eastAsia" w:ascii="仿宋_GB2312" w:hAnsi="仿宋_GB2312" w:eastAsia="仿宋_GB2312" w:cs="仿宋_GB2312"/>
          <w:color w:val="auto"/>
          <w:sz w:val="32"/>
          <w:szCs w:val="32"/>
          <w:highlight w:val="none"/>
          <w:lang w:bidi="ug-CN"/>
        </w:rPr>
        <w:t>申请人的经营场所与最近零售点的经营场所同侧无障碍物的,测量</w:t>
      </w:r>
      <w:r>
        <w:rPr>
          <w:rFonts w:hint="eastAsia" w:ascii="仿宋_GB2312" w:hAnsi="仿宋_GB2312" w:eastAsia="仿宋_GB2312" w:cs="仿宋_GB2312"/>
          <w:color w:val="auto"/>
          <w:kern w:val="0"/>
          <w:sz w:val="32"/>
          <w:szCs w:val="32"/>
          <w:highlight w:val="none"/>
          <w:lang w:bidi="ug-CN"/>
        </w:rPr>
        <w:t>最短直线距离（如图1所示）。</w:t>
      </w:r>
    </w:p>
    <w:p>
      <w:pPr>
        <w:jc w:val="center"/>
        <w:rPr>
          <w:rFonts w:ascii="仿宋_GB2312" w:hAnsi="宋体" w:eastAsia="仿宋_GB2312" w:cs="宋体"/>
          <w:color w:val="auto"/>
          <w:kern w:val="0"/>
          <w:sz w:val="32"/>
          <w:szCs w:val="32"/>
          <w:highlight w:val="none"/>
        </w:rPr>
      </w:pPr>
      <w:r>
        <w:rPr>
          <w:rFonts w:ascii="仿宋_GB2312" w:hAnsi="宋体" w:eastAsia="仿宋_GB2312" w:cs="宋体"/>
          <w:color w:val="auto"/>
          <w:kern w:val="0"/>
          <w:sz w:val="32"/>
          <w:szCs w:val="32"/>
          <w:highlight w:val="none"/>
        </w:rPr>
        <w:drawing>
          <wp:inline distT="0" distB="0" distL="114300" distR="114300">
            <wp:extent cx="5257800" cy="2025650"/>
            <wp:effectExtent l="0" t="0" r="0" b="1270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5257800" cy="2025650"/>
                    </a:xfrm>
                    <a:prstGeom prst="rect">
                      <a:avLst/>
                    </a:prstGeom>
                    <a:noFill/>
                    <a:ln>
                      <a:noFill/>
                    </a:ln>
                  </pic:spPr>
                </pic:pic>
              </a:graphicData>
            </a:graphic>
          </wp:inline>
        </w:drawing>
      </w:r>
    </w:p>
    <w:p>
      <w:pPr>
        <w:spacing w:beforeLines="0" w:afterLines="0" w:line="579" w:lineRule="exact"/>
        <w:ind w:firstLine="0" w:firstLineChars="0"/>
        <w:jc w:val="center"/>
        <w:rPr>
          <w:rFonts w:hint="eastAsia" w:ascii="仿宋_GB2312" w:hAnsi="仿宋_GB2312" w:eastAsia="仿宋_GB2312" w:cs="仿宋_GB2312"/>
          <w:color w:val="auto"/>
          <w:kern w:val="0"/>
          <w:sz w:val="32"/>
          <w:szCs w:val="32"/>
          <w:highlight w:val="none"/>
          <w:lang w:bidi="ug-CN"/>
        </w:rPr>
      </w:pPr>
      <w:r>
        <w:rPr>
          <w:rFonts w:hint="eastAsia" w:ascii="仿宋_GB2312" w:hAnsi="仿宋_GB2312" w:eastAsia="仿宋_GB2312" w:cs="仿宋_GB2312"/>
          <w:color w:val="auto"/>
          <w:kern w:val="0"/>
          <w:sz w:val="32"/>
          <w:szCs w:val="32"/>
          <w:highlight w:val="none"/>
          <w:lang w:bidi="ug-CN"/>
        </w:rPr>
        <w:t>（图1）</w:t>
      </w:r>
    </w:p>
    <w:p>
      <w:pPr>
        <w:adjustRightInd w:val="0"/>
        <w:snapToGrid w:val="0"/>
        <w:spacing w:beforeLines="0" w:afterLines="0" w:line="579" w:lineRule="exact"/>
        <w:ind w:firstLine="640" w:firstLineChars="200"/>
        <w:rPr>
          <w:rFonts w:hint="eastAsia" w:ascii="仿宋_GB2312" w:hAnsi="仿宋_GB2312" w:eastAsia="仿宋_GB2312" w:cs="仿宋_GB2312"/>
          <w:color w:val="auto"/>
          <w:sz w:val="32"/>
          <w:szCs w:val="32"/>
          <w:highlight w:val="none"/>
          <w:lang w:bidi="ug-CN"/>
        </w:rPr>
      </w:pPr>
      <w:r>
        <w:rPr>
          <w:rFonts w:hint="eastAsia" w:ascii="仿宋_GB2312" w:hAnsi="仿宋_GB2312" w:eastAsia="仿宋_GB2312" w:cs="仿宋_GB2312"/>
          <w:color w:val="auto"/>
          <w:sz w:val="32"/>
          <w:szCs w:val="32"/>
          <w:highlight w:val="none"/>
          <w:lang w:bidi="ug-CN"/>
        </w:rPr>
        <w:t>（</w:t>
      </w:r>
      <w:r>
        <w:rPr>
          <w:rFonts w:hint="eastAsia" w:ascii="仿宋_GB2312" w:hAnsi="仿宋_GB2312" w:eastAsia="仿宋_GB2312" w:cs="仿宋_GB2312"/>
          <w:color w:val="auto"/>
          <w:sz w:val="32"/>
          <w:szCs w:val="32"/>
          <w:highlight w:val="none"/>
          <w:lang w:eastAsia="zh-CN" w:bidi="ug-CN"/>
        </w:rPr>
        <w:t>二</w:t>
      </w:r>
      <w:r>
        <w:rPr>
          <w:rFonts w:hint="eastAsia" w:ascii="仿宋_GB2312" w:hAnsi="仿宋_GB2312" w:eastAsia="仿宋_GB2312" w:cs="仿宋_GB2312"/>
          <w:color w:val="auto"/>
          <w:sz w:val="32"/>
          <w:szCs w:val="32"/>
          <w:highlight w:val="none"/>
          <w:lang w:bidi="ug-CN"/>
        </w:rPr>
        <w:t>）申请人的经营场所与最近零售点的经营场所异侧无障碍物的,测量按直角分段测量，分段距离之和即为申请人的经营场所与最近零售点的经营场所的距离（如图</w:t>
      </w:r>
      <w:r>
        <w:rPr>
          <w:rFonts w:hint="eastAsia" w:ascii="仿宋_GB2312" w:hAnsi="仿宋_GB2312" w:eastAsia="仿宋_GB2312" w:cs="仿宋_GB2312"/>
          <w:color w:val="auto"/>
          <w:sz w:val="32"/>
          <w:szCs w:val="32"/>
          <w:highlight w:val="none"/>
          <w:lang w:val="en-US" w:eastAsia="zh-CN" w:bidi="ug-CN"/>
        </w:rPr>
        <w:t>2</w:t>
      </w:r>
      <w:r>
        <w:rPr>
          <w:rFonts w:hint="eastAsia" w:ascii="仿宋_GB2312" w:hAnsi="仿宋_GB2312" w:eastAsia="仿宋_GB2312" w:cs="仿宋_GB2312"/>
          <w:color w:val="auto"/>
          <w:sz w:val="32"/>
          <w:szCs w:val="32"/>
          <w:highlight w:val="none"/>
          <w:lang w:bidi="ug-CN"/>
        </w:rPr>
        <w:t xml:space="preserve">所示）。  </w:t>
      </w:r>
    </w:p>
    <w:p>
      <w:pPr>
        <w:adjustRightInd w:val="0"/>
        <w:snapToGrid w:val="0"/>
        <w:jc w:val="center"/>
        <w:rPr>
          <w:rFonts w:ascii="方正小标宋简体" w:hAnsi="黑体" w:eastAsia="方正小标宋简体" w:cs="宋体"/>
          <w:color w:val="auto"/>
          <w:szCs w:val="21"/>
          <w:highlight w:val="none"/>
          <w:lang w:bidi="ug-CN"/>
        </w:rPr>
      </w:pPr>
      <w:r>
        <w:rPr>
          <w:rFonts w:ascii="方正小标宋简体" w:hAnsi="黑体" w:eastAsia="方正小标宋简体" w:cs="宋体"/>
          <w:color w:val="auto"/>
          <w:szCs w:val="21"/>
          <w:highlight w:val="none"/>
        </w:rPr>
        <w:drawing>
          <wp:inline distT="0" distB="0" distL="114300" distR="114300">
            <wp:extent cx="5257800" cy="2633345"/>
            <wp:effectExtent l="0" t="0" r="0"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257800" cy="2633345"/>
                    </a:xfrm>
                    <a:prstGeom prst="rect">
                      <a:avLst/>
                    </a:prstGeom>
                    <a:noFill/>
                    <a:ln>
                      <a:noFill/>
                    </a:ln>
                  </pic:spPr>
                </pic:pic>
              </a:graphicData>
            </a:graphic>
          </wp:inline>
        </w:drawing>
      </w:r>
      <w:r>
        <w:rPr>
          <w:rFonts w:hint="eastAsia" w:ascii="方正小标宋简体" w:hAnsi="黑体" w:eastAsia="方正小标宋简体" w:cs="宋体"/>
          <w:color w:val="auto"/>
          <w:szCs w:val="21"/>
          <w:highlight w:val="none"/>
          <w:lang w:bidi="ug-CN"/>
        </w:rPr>
        <w:t xml:space="preserve"> </w:t>
      </w:r>
    </w:p>
    <w:p>
      <w:pPr>
        <w:adjustRightInd w:val="0"/>
        <w:snapToGrid w:val="0"/>
        <w:spacing w:beforeLines="0" w:afterLines="0" w:line="579" w:lineRule="exact"/>
        <w:ind w:firstLine="0" w:firstLineChars="0"/>
        <w:jc w:val="center"/>
        <w:rPr>
          <w:rFonts w:hint="eastAsia" w:ascii="仿宋_GB2312" w:hAnsi="仿宋_GB2312" w:eastAsia="仿宋_GB2312" w:cs="仿宋_GB2312"/>
          <w:color w:val="auto"/>
          <w:kern w:val="0"/>
          <w:sz w:val="32"/>
          <w:szCs w:val="32"/>
          <w:highlight w:val="none"/>
          <w:lang w:bidi="ug-CN"/>
        </w:rPr>
      </w:pPr>
      <w:r>
        <w:rPr>
          <w:rFonts w:hint="eastAsia" w:ascii="仿宋_GB2312" w:hAnsi="仿宋_GB2312" w:eastAsia="仿宋_GB2312" w:cs="仿宋_GB2312"/>
          <w:color w:val="auto"/>
          <w:kern w:val="0"/>
          <w:sz w:val="32"/>
          <w:szCs w:val="32"/>
          <w:highlight w:val="none"/>
          <w:lang w:bidi="ug-CN"/>
        </w:rPr>
        <w:t>（图</w:t>
      </w:r>
      <w:r>
        <w:rPr>
          <w:rFonts w:hint="eastAsia" w:ascii="仿宋_GB2312" w:hAnsi="仿宋_GB2312" w:eastAsia="仿宋_GB2312" w:cs="仿宋_GB2312"/>
          <w:color w:val="auto"/>
          <w:kern w:val="0"/>
          <w:sz w:val="32"/>
          <w:szCs w:val="32"/>
          <w:highlight w:val="none"/>
          <w:lang w:val="en-US" w:eastAsia="zh-CN" w:bidi="ug-CN"/>
        </w:rPr>
        <w:t>2</w:t>
      </w:r>
      <w:r>
        <w:rPr>
          <w:rFonts w:hint="eastAsia" w:ascii="仿宋_GB2312" w:hAnsi="仿宋_GB2312" w:eastAsia="仿宋_GB2312" w:cs="仿宋_GB2312"/>
          <w:color w:val="auto"/>
          <w:kern w:val="0"/>
          <w:sz w:val="32"/>
          <w:szCs w:val="32"/>
          <w:highlight w:val="none"/>
          <w:lang w:bidi="ug-CN"/>
        </w:rPr>
        <w:t>）</w:t>
      </w:r>
    </w:p>
    <w:p>
      <w:pPr>
        <w:numPr>
          <w:ilvl w:val="-1"/>
          <w:numId w:val="0"/>
        </w:numPr>
        <w:adjustRightInd w:val="0"/>
        <w:snapToGrid w:val="0"/>
        <w:spacing w:beforeLines="0" w:afterLines="0" w:line="579" w:lineRule="exact"/>
        <w:ind w:firstLine="640" w:firstLineChars="200"/>
        <w:rPr>
          <w:rFonts w:hint="eastAsia" w:ascii="仿宋_GB2312" w:hAnsi="仿宋_GB2312" w:eastAsia="仿宋_GB2312" w:cs="仿宋_GB2312"/>
          <w:color w:val="auto"/>
          <w:sz w:val="32"/>
          <w:szCs w:val="32"/>
          <w:highlight w:val="none"/>
          <w:lang w:bidi="ug-CN"/>
        </w:rPr>
      </w:pPr>
      <w:r>
        <w:rPr>
          <w:rFonts w:hint="eastAsia" w:ascii="仿宋_GB2312" w:hAnsi="仿宋_GB2312" w:eastAsia="仿宋_GB2312" w:cs="仿宋_GB2312"/>
          <w:color w:val="auto"/>
          <w:sz w:val="32"/>
          <w:szCs w:val="32"/>
          <w:highlight w:val="none"/>
          <w:lang w:val="en-US" w:eastAsia="zh-CN" w:bidi="ug-CN"/>
        </w:rPr>
        <w:t>（三）</w:t>
      </w:r>
      <w:r>
        <w:rPr>
          <w:rFonts w:hint="eastAsia" w:ascii="仿宋_GB2312" w:hAnsi="仿宋_GB2312" w:eastAsia="仿宋_GB2312" w:cs="仿宋_GB2312"/>
          <w:color w:val="auto"/>
          <w:sz w:val="32"/>
          <w:szCs w:val="32"/>
          <w:highlight w:val="none"/>
          <w:lang w:bidi="ug-CN"/>
        </w:rPr>
        <w:t>申请人的经营场所与最近零售点的经营场所异侧存在障碍物的，测量按直角分段绕过障碍物测量，分段距离之和即为申请人的经营场所与最近零售点的经营场所间的距离（如图</w:t>
      </w:r>
      <w:r>
        <w:rPr>
          <w:rFonts w:hint="eastAsia" w:ascii="仿宋_GB2312" w:hAnsi="仿宋_GB2312" w:eastAsia="仿宋_GB2312" w:cs="仿宋_GB2312"/>
          <w:color w:val="auto"/>
          <w:sz w:val="32"/>
          <w:szCs w:val="32"/>
          <w:highlight w:val="none"/>
          <w:lang w:val="en-US" w:eastAsia="zh-CN" w:bidi="ug-CN"/>
        </w:rPr>
        <w:t>3</w:t>
      </w:r>
      <w:r>
        <w:rPr>
          <w:rFonts w:hint="eastAsia" w:ascii="仿宋_GB2312" w:hAnsi="仿宋_GB2312" w:eastAsia="仿宋_GB2312" w:cs="仿宋_GB2312"/>
          <w:color w:val="auto"/>
          <w:sz w:val="32"/>
          <w:szCs w:val="32"/>
          <w:highlight w:val="none"/>
          <w:lang w:bidi="ug-CN"/>
        </w:rPr>
        <w:t>所示）。</w:t>
      </w:r>
    </w:p>
    <w:p>
      <w:pPr>
        <w:numPr>
          <w:ilvl w:val="-1"/>
          <w:numId w:val="0"/>
        </w:numPr>
        <w:adjustRightInd w:val="0"/>
        <w:snapToGrid w:val="0"/>
        <w:spacing w:line="240" w:lineRule="auto"/>
        <w:ind w:firstLine="0" w:firstLineChars="0"/>
        <w:jc w:val="center"/>
        <w:rPr>
          <w:rFonts w:hint="default" w:ascii="仿宋_GB2312" w:hAnsi="仿宋" w:eastAsia="仿宋_GB2312" w:cs="宋体"/>
          <w:color w:val="auto"/>
          <w:sz w:val="32"/>
          <w:szCs w:val="32"/>
          <w:highlight w:val="none"/>
          <w:lang w:eastAsia="zh-CN" w:bidi="ug-CN"/>
        </w:rPr>
      </w:pPr>
      <w:r>
        <w:rPr>
          <w:rFonts w:ascii="仿宋_GB2312" w:hAnsi="仿宋" w:eastAsia="仿宋_GB2312" w:cs="宋体"/>
          <w:color w:val="auto"/>
          <w:sz w:val="32"/>
          <w:szCs w:val="32"/>
          <w:highlight w:val="none"/>
        </w:rPr>
        <w:drawing>
          <wp:inline distT="0" distB="0" distL="114300" distR="114300">
            <wp:extent cx="5216525" cy="2541905"/>
            <wp:effectExtent l="0" t="0" r="3175"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16525" cy="2541905"/>
                    </a:xfrm>
                    <a:prstGeom prst="rect">
                      <a:avLst/>
                    </a:prstGeom>
                    <a:noFill/>
                    <a:ln>
                      <a:noFill/>
                    </a:ln>
                  </pic:spPr>
                </pic:pic>
              </a:graphicData>
            </a:graphic>
          </wp:inline>
        </w:drawing>
      </w:r>
    </w:p>
    <w:p>
      <w:pPr>
        <w:adjustRightInd w:val="0"/>
        <w:snapToGrid w:val="0"/>
        <w:jc w:val="center"/>
        <w:rPr>
          <w:rFonts w:ascii="仿宋_GB2312" w:hAnsi="仿宋" w:eastAsia="仿宋_GB2312" w:cs="宋体"/>
          <w:color w:val="auto"/>
          <w:sz w:val="32"/>
          <w:szCs w:val="32"/>
          <w:highlight w:val="none"/>
        </w:rPr>
      </w:pPr>
    </w:p>
    <w:p>
      <w:pPr>
        <w:adjustRightInd w:val="0"/>
        <w:snapToGrid w:val="0"/>
        <w:jc w:val="center"/>
        <w:rPr>
          <w:rFonts w:ascii="仿宋_GB2312" w:hAnsi="仿宋" w:eastAsia="仿宋_GB2312" w:cs="宋体"/>
          <w:color w:val="auto"/>
          <w:sz w:val="32"/>
          <w:szCs w:val="32"/>
          <w:highlight w:val="none"/>
          <w:lang w:bidi="ug-CN"/>
        </w:rPr>
      </w:pPr>
      <w:r>
        <w:rPr>
          <w:rFonts w:hint="eastAsia" w:ascii="仿宋_GB2312" w:hAnsi="仿宋" w:eastAsia="仿宋_GB2312" w:cs="宋体"/>
          <w:color w:val="auto"/>
          <w:sz w:val="32"/>
          <w:szCs w:val="32"/>
          <w:highlight w:val="none"/>
          <w:lang w:bidi="ug-CN"/>
        </w:rPr>
        <w:t xml:space="preserve"> </w:t>
      </w:r>
      <w:r>
        <w:rPr>
          <w:rFonts w:hint="eastAsia" w:ascii="仿宋_GB2312" w:hAnsi="宋体" w:eastAsia="仿宋_GB2312" w:cs="宋体"/>
          <w:color w:val="auto"/>
          <w:kern w:val="0"/>
          <w:sz w:val="32"/>
          <w:szCs w:val="32"/>
          <w:highlight w:val="none"/>
          <w:lang w:bidi="ug-CN"/>
        </w:rPr>
        <w:t>（图</w:t>
      </w:r>
      <w:r>
        <w:rPr>
          <w:rFonts w:hint="eastAsia" w:ascii="仿宋_GB2312" w:hAnsi="宋体" w:eastAsia="仿宋_GB2312" w:cs="宋体"/>
          <w:color w:val="auto"/>
          <w:kern w:val="0"/>
          <w:sz w:val="32"/>
          <w:szCs w:val="32"/>
          <w:highlight w:val="none"/>
          <w:lang w:val="en-US" w:eastAsia="zh-CN" w:bidi="ug-CN"/>
        </w:rPr>
        <w:t>3</w:t>
      </w:r>
      <w:r>
        <w:rPr>
          <w:rFonts w:hint="eastAsia" w:ascii="仿宋_GB2312" w:hAnsi="宋体" w:eastAsia="仿宋_GB2312" w:cs="宋体"/>
          <w:color w:val="auto"/>
          <w:kern w:val="0"/>
          <w:sz w:val="32"/>
          <w:szCs w:val="32"/>
          <w:highlight w:val="none"/>
          <w:lang w:bidi="ug-CN"/>
        </w:rPr>
        <w:t>）</w:t>
      </w:r>
    </w:p>
    <w:p>
      <w:pPr>
        <w:adjustRightInd w:val="0"/>
        <w:snapToGrid w:val="0"/>
        <w:spacing w:beforeLines="0" w:afterLines="0" w:line="579" w:lineRule="exact"/>
        <w:ind w:firstLine="640" w:firstLineChars="200"/>
        <w:rPr>
          <w:rFonts w:hint="eastAsia" w:ascii="仿宋_GB2312" w:hAnsi="仿宋_GB2312" w:eastAsia="仿宋_GB2312" w:cs="仿宋_GB2312"/>
          <w:color w:val="auto"/>
          <w:sz w:val="32"/>
          <w:szCs w:val="32"/>
          <w:highlight w:val="none"/>
          <w:lang w:bidi="ug-CN"/>
        </w:rPr>
      </w:pPr>
      <w:r>
        <w:rPr>
          <w:rFonts w:hint="eastAsia" w:ascii="仿宋_GB2312" w:hAnsi="仿宋_GB2312" w:eastAsia="仿宋_GB2312" w:cs="仿宋_GB2312"/>
          <w:color w:val="auto"/>
          <w:sz w:val="32"/>
          <w:szCs w:val="32"/>
          <w:highlight w:val="none"/>
          <w:lang w:bidi="ug-CN"/>
        </w:rPr>
        <w:t>（</w:t>
      </w:r>
      <w:r>
        <w:rPr>
          <w:rFonts w:hint="eastAsia" w:ascii="仿宋_GB2312" w:hAnsi="仿宋_GB2312" w:eastAsia="仿宋_GB2312" w:cs="仿宋_GB2312"/>
          <w:color w:val="auto"/>
          <w:sz w:val="32"/>
          <w:szCs w:val="32"/>
          <w:highlight w:val="none"/>
          <w:lang w:eastAsia="zh-CN" w:bidi="ug-CN"/>
        </w:rPr>
        <w:t>四</w:t>
      </w:r>
      <w:r>
        <w:rPr>
          <w:rFonts w:hint="eastAsia" w:ascii="仿宋_GB2312" w:hAnsi="仿宋_GB2312" w:eastAsia="仿宋_GB2312" w:cs="仿宋_GB2312"/>
          <w:color w:val="auto"/>
          <w:sz w:val="32"/>
          <w:szCs w:val="32"/>
          <w:highlight w:val="none"/>
          <w:lang w:bidi="ug-CN"/>
        </w:rPr>
        <w:t>）申请人的经营场所与最近零售点的经营场所之间道路存在有转角的，按直角分段测量最短距离（如图</w:t>
      </w:r>
      <w:r>
        <w:rPr>
          <w:rFonts w:hint="eastAsia" w:ascii="仿宋_GB2312" w:hAnsi="仿宋_GB2312" w:eastAsia="仿宋_GB2312" w:cs="仿宋_GB2312"/>
          <w:color w:val="auto"/>
          <w:sz w:val="32"/>
          <w:szCs w:val="32"/>
          <w:highlight w:val="none"/>
          <w:lang w:val="en-US" w:eastAsia="zh-CN" w:bidi="ug-CN"/>
        </w:rPr>
        <w:t>4</w:t>
      </w:r>
      <w:r>
        <w:rPr>
          <w:rFonts w:hint="eastAsia" w:ascii="仿宋_GB2312" w:hAnsi="仿宋_GB2312" w:eastAsia="仿宋_GB2312" w:cs="仿宋_GB2312"/>
          <w:color w:val="auto"/>
          <w:sz w:val="32"/>
          <w:szCs w:val="32"/>
          <w:highlight w:val="none"/>
          <w:lang w:bidi="ug-CN"/>
        </w:rPr>
        <w:t>所示）。</w:t>
      </w:r>
    </w:p>
    <w:p>
      <w:pPr>
        <w:adjustRightInd w:val="0"/>
        <w:snapToGrid w:val="0"/>
        <w:ind w:firstLine="0" w:firstLineChars="0"/>
        <w:jc w:val="center"/>
        <w:rPr>
          <w:rFonts w:ascii="方正小标宋简体" w:hAnsi="黑体" w:eastAsia="方正小标宋简体" w:cs="宋体"/>
          <w:color w:val="auto"/>
          <w:sz w:val="32"/>
          <w:szCs w:val="32"/>
          <w:highlight w:val="none"/>
        </w:rPr>
      </w:pPr>
      <w:r>
        <w:rPr>
          <w:rFonts w:ascii="方正小标宋简体" w:hAnsi="黑体" w:eastAsia="方正小标宋简体" w:cs="宋体"/>
          <w:color w:val="auto"/>
          <w:sz w:val="32"/>
          <w:szCs w:val="32"/>
          <w:highlight w:val="none"/>
        </w:rPr>
        <w:drawing>
          <wp:inline distT="0" distB="0" distL="114300" distR="114300">
            <wp:extent cx="3803015" cy="2708275"/>
            <wp:effectExtent l="0" t="0" r="6985" b="158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9"/>
                    <a:stretch>
                      <a:fillRect/>
                    </a:stretch>
                  </pic:blipFill>
                  <pic:spPr>
                    <a:xfrm>
                      <a:off x="0" y="0"/>
                      <a:ext cx="3803015" cy="2708275"/>
                    </a:xfrm>
                    <a:prstGeom prst="rect">
                      <a:avLst/>
                    </a:prstGeom>
                    <a:noFill/>
                    <a:ln>
                      <a:noFill/>
                    </a:ln>
                  </pic:spPr>
                </pic:pic>
              </a:graphicData>
            </a:graphic>
          </wp:inline>
        </w:drawing>
      </w:r>
    </w:p>
    <w:p>
      <w:pPr>
        <w:adjustRightInd w:val="0"/>
        <w:snapToGrid w:val="0"/>
        <w:ind w:firstLine="707" w:firstLineChars="221"/>
        <w:jc w:val="center"/>
        <w:rPr>
          <w:rFonts w:hint="eastAsia" w:ascii="仿宋_GB2312" w:hAnsi="宋体" w:eastAsia="仿宋_GB2312" w:cs="宋体"/>
          <w:color w:val="auto"/>
          <w:kern w:val="0"/>
          <w:sz w:val="32"/>
          <w:szCs w:val="32"/>
          <w:highlight w:val="none"/>
          <w:lang w:bidi="ug-CN"/>
        </w:rPr>
      </w:pPr>
      <w:r>
        <w:rPr>
          <w:rFonts w:hint="default" w:ascii="方正小标宋简体" w:hAnsi="黑体" w:eastAsia="方正小标宋简体" w:cs="宋体"/>
          <w:b w:val="0"/>
          <w:bCs w:val="0"/>
          <w:color w:val="auto"/>
          <w:sz w:val="32"/>
          <w:szCs w:val="32"/>
          <w:highlight w:val="none"/>
          <w:lang w:bidi="ug-CN"/>
        </w:rPr>
        <w:t>（</w:t>
      </w:r>
      <w:r>
        <w:rPr>
          <w:rFonts w:hint="eastAsia" w:ascii="仿宋_GB2312" w:hAnsi="宋体" w:eastAsia="仿宋_GB2312" w:cs="宋体"/>
          <w:color w:val="auto"/>
          <w:kern w:val="0"/>
          <w:sz w:val="32"/>
          <w:szCs w:val="32"/>
          <w:highlight w:val="none"/>
          <w:lang w:bidi="ug-CN"/>
        </w:rPr>
        <w:t>图</w:t>
      </w:r>
      <w:r>
        <w:rPr>
          <w:rFonts w:hint="eastAsia" w:ascii="仿宋_GB2312" w:hAnsi="宋体" w:eastAsia="仿宋_GB2312" w:cs="宋体"/>
          <w:color w:val="auto"/>
          <w:kern w:val="0"/>
          <w:sz w:val="32"/>
          <w:szCs w:val="32"/>
          <w:highlight w:val="none"/>
          <w:lang w:val="en-US" w:eastAsia="zh-CN" w:bidi="ug-CN"/>
        </w:rPr>
        <w:t>4</w:t>
      </w:r>
      <w:r>
        <w:rPr>
          <w:rFonts w:hint="default" w:ascii="方正小标宋简体" w:hAnsi="黑体" w:eastAsia="方正小标宋简体" w:cs="宋体"/>
          <w:b w:val="0"/>
          <w:bCs w:val="0"/>
          <w:color w:val="auto"/>
          <w:sz w:val="32"/>
          <w:szCs w:val="32"/>
          <w:highlight w:val="none"/>
          <w:lang w:bidi="ug-CN"/>
        </w:rPr>
        <w:t>）</w:t>
      </w:r>
    </w:p>
    <w:p>
      <w:pPr>
        <w:numPr>
          <w:ilvl w:val="-1"/>
          <w:numId w:val="0"/>
        </w:numPr>
        <w:adjustRightInd w:val="0"/>
        <w:snapToGrid w:val="0"/>
        <w:spacing w:beforeLines="0" w:afterLines="0" w:line="579" w:lineRule="exact"/>
        <w:ind w:firstLine="640" w:firstLineChars="200"/>
        <w:rPr>
          <w:rFonts w:hint="eastAsia" w:ascii="仿宋_GB2312" w:hAnsi="仿宋_GB2312" w:eastAsia="仿宋_GB2312" w:cs="仿宋_GB2312"/>
          <w:color w:val="auto"/>
          <w:sz w:val="32"/>
          <w:szCs w:val="32"/>
          <w:highlight w:val="none"/>
          <w:lang w:val="en-US" w:eastAsia="zh-CN" w:bidi="ug-CN"/>
        </w:rPr>
      </w:pPr>
      <w:r>
        <w:rPr>
          <w:rFonts w:hint="eastAsia" w:ascii="仿宋_GB2312" w:hAnsi="仿宋_GB2312" w:eastAsia="仿宋_GB2312" w:cs="仿宋_GB2312"/>
          <w:color w:val="auto"/>
          <w:sz w:val="32"/>
          <w:szCs w:val="32"/>
          <w:highlight w:val="none"/>
          <w:lang w:val="en-US" w:eastAsia="zh-CN" w:bidi="ug-CN"/>
        </w:rPr>
        <w:t>（五）在进行零售点间距测量时，申请点与零售点所在的区域执行的间距标准不同时，按照最小的间距标准执行（如图5、6所示）。</w:t>
      </w:r>
    </w:p>
    <w:p>
      <w:pPr>
        <w:numPr>
          <w:ilvl w:val="-1"/>
          <w:numId w:val="0"/>
        </w:numPr>
        <w:adjustRightInd w:val="0"/>
        <w:snapToGrid w:val="0"/>
        <w:spacing w:line="240" w:lineRule="auto"/>
        <w:ind w:firstLine="0" w:firstLineChars="0"/>
        <w:rPr>
          <w:rFonts w:hint="default" w:ascii="仿宋_GB2312" w:hAnsi="黑体" w:eastAsia="仿宋_GB2312" w:cs="宋体"/>
          <w:color w:val="auto"/>
          <w:sz w:val="32"/>
          <w:szCs w:val="32"/>
          <w:highlight w:val="none"/>
          <w:lang w:eastAsia="zh-CN" w:bidi="ug-CN"/>
        </w:rPr>
      </w:pPr>
      <w:r>
        <w:rPr>
          <w:rFonts w:hint="default" w:ascii="仿宋_GB2312" w:hAnsi="黑体" w:eastAsia="仿宋_GB2312" w:cs="宋体"/>
          <w:color w:val="auto"/>
          <w:sz w:val="32"/>
          <w:szCs w:val="32"/>
          <w:highlight w:val="none"/>
          <w:lang w:eastAsia="zh-CN" w:bidi="ug-CN"/>
        </w:rPr>
        <w:drawing>
          <wp:inline distT="0" distB="0" distL="114300" distR="114300">
            <wp:extent cx="5608320" cy="3154680"/>
            <wp:effectExtent l="0" t="0" r="11430" b="7620"/>
            <wp:docPr id="2" name="图片 2" descr="演示文稿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演示文稿1_01(1)"/>
                    <pic:cNvPicPr>
                      <a:picLocks noChangeAspect="1"/>
                    </pic:cNvPicPr>
                  </pic:nvPicPr>
                  <pic:blipFill>
                    <a:blip r:embed="rId10"/>
                    <a:stretch>
                      <a:fillRect/>
                    </a:stretch>
                  </pic:blipFill>
                  <pic:spPr>
                    <a:xfrm>
                      <a:off x="0" y="0"/>
                      <a:ext cx="5608320" cy="3154680"/>
                    </a:xfrm>
                    <a:prstGeom prst="rect">
                      <a:avLst/>
                    </a:prstGeom>
                  </pic:spPr>
                </pic:pic>
              </a:graphicData>
            </a:graphic>
          </wp:inline>
        </w:drawing>
      </w:r>
    </w:p>
    <w:p>
      <w:pPr>
        <w:widowControl w:val="0"/>
        <w:numPr>
          <w:ilvl w:val="0"/>
          <w:numId w:val="0"/>
        </w:numPr>
        <w:adjustRightInd w:val="0"/>
        <w:snapToGrid w:val="0"/>
        <w:spacing w:line="600" w:lineRule="exact"/>
        <w:jc w:val="center"/>
        <w:rPr>
          <w:rFonts w:hint="eastAsia" w:ascii="仿宋_GB2312" w:hAnsi="黑体" w:eastAsia="仿宋_GB2312" w:cs="宋体"/>
          <w:color w:val="auto"/>
          <w:sz w:val="32"/>
          <w:szCs w:val="32"/>
          <w:highlight w:val="none"/>
          <w:lang w:val="en-US" w:eastAsia="zh-CN" w:bidi="ug-CN"/>
        </w:rPr>
      </w:pPr>
      <w:r>
        <w:rPr>
          <w:rFonts w:hint="eastAsia" w:ascii="仿宋_GB2312" w:hAnsi="黑体" w:eastAsia="仿宋_GB2312" w:cs="宋体"/>
          <w:color w:val="auto"/>
          <w:sz w:val="32"/>
          <w:szCs w:val="32"/>
          <w:highlight w:val="none"/>
          <w:lang w:val="en-US" w:eastAsia="zh-CN" w:bidi="ug-CN"/>
        </w:rPr>
        <w:t>（图5）</w:t>
      </w:r>
      <w:r>
        <w:rPr>
          <w:rFonts w:hint="default" w:ascii="仿宋_GB2312" w:hAnsi="黑体" w:eastAsia="仿宋_GB2312" w:cs="宋体"/>
          <w:color w:val="auto"/>
          <w:sz w:val="32"/>
          <w:szCs w:val="32"/>
          <w:highlight w:val="none"/>
          <w:lang w:eastAsia="zh-CN" w:bidi="ug-CN"/>
        </w:rPr>
        <w:t xml:space="preserve">                      </w:t>
      </w:r>
      <w:r>
        <w:rPr>
          <w:rFonts w:hint="eastAsia" w:ascii="仿宋_GB2312" w:hAnsi="黑体" w:eastAsia="仿宋_GB2312" w:cs="宋体"/>
          <w:color w:val="auto"/>
          <w:sz w:val="32"/>
          <w:szCs w:val="32"/>
          <w:highlight w:val="none"/>
          <w:lang w:val="en-US" w:eastAsia="zh-CN" w:bidi="ug-CN"/>
        </w:rPr>
        <w:t>（图6）</w:t>
      </w:r>
    </w:p>
    <w:p>
      <w:pPr>
        <w:numPr>
          <w:ilvl w:val="-1"/>
          <w:numId w:val="0"/>
        </w:numPr>
        <w:adjustRightInd w:val="0"/>
        <w:snapToGrid w:val="0"/>
        <w:spacing w:beforeLines="0" w:afterLines="0" w:line="579" w:lineRule="exact"/>
        <w:ind w:firstLine="640" w:firstLineChars="200"/>
        <w:rPr>
          <w:rFonts w:hint="eastAsia" w:ascii="仿宋_GB2312" w:hAnsi="仿宋_GB2312" w:eastAsia="仿宋_GB2312" w:cs="仿宋_GB2312"/>
          <w:color w:val="auto"/>
          <w:sz w:val="32"/>
          <w:szCs w:val="32"/>
          <w:highlight w:val="none"/>
          <w:lang w:bidi="ug-CN"/>
        </w:rPr>
      </w:pPr>
      <w:r>
        <w:rPr>
          <w:rFonts w:hint="eastAsia" w:ascii="仿宋_GB2312" w:hAnsi="仿宋_GB2312" w:eastAsia="仿宋_GB2312" w:cs="仿宋_GB2312"/>
          <w:color w:val="auto"/>
          <w:sz w:val="32"/>
          <w:szCs w:val="32"/>
          <w:highlight w:val="none"/>
          <w:lang w:val="en-US" w:eastAsia="zh-CN" w:bidi="ug-CN"/>
        </w:rPr>
        <w:t>（六）</w:t>
      </w:r>
      <w:r>
        <w:rPr>
          <w:rFonts w:hint="eastAsia" w:ascii="仿宋_GB2312" w:hAnsi="仿宋_GB2312" w:eastAsia="仿宋_GB2312" w:cs="仿宋_GB2312"/>
          <w:color w:val="auto"/>
          <w:sz w:val="32"/>
          <w:szCs w:val="32"/>
          <w:highlight w:val="none"/>
          <w:lang w:bidi="ug-CN"/>
        </w:rPr>
        <w:t>申请人的经营场所门面多面（多间）贯通且多面经营的，取与最近零售点经营场所营业大门中心之间进行测量</w:t>
      </w:r>
      <w:r>
        <w:rPr>
          <w:rFonts w:hint="eastAsia" w:ascii="仿宋_GB2312" w:hAnsi="仿宋_GB2312" w:eastAsia="仿宋_GB2312" w:cs="仿宋_GB2312"/>
          <w:color w:val="auto"/>
          <w:sz w:val="32"/>
          <w:szCs w:val="32"/>
          <w:highlight w:val="none"/>
          <w:lang w:val="en-US" w:eastAsia="zh-CN" w:bidi="ug-CN"/>
        </w:rPr>
        <w:t>（如图7、8所示）</w:t>
      </w:r>
      <w:r>
        <w:rPr>
          <w:rFonts w:hint="eastAsia" w:ascii="仿宋_GB2312" w:hAnsi="仿宋_GB2312" w:eastAsia="仿宋_GB2312" w:cs="仿宋_GB2312"/>
          <w:color w:val="auto"/>
          <w:sz w:val="32"/>
          <w:szCs w:val="32"/>
          <w:highlight w:val="none"/>
          <w:lang w:bidi="ug-CN"/>
        </w:rPr>
        <w:t>。</w:t>
      </w: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r>
        <w:rPr>
          <w:color w:val="auto"/>
          <w:highlight w:val="none"/>
        </w:rPr>
        <w:drawing>
          <wp:anchor distT="0" distB="0" distL="114300" distR="114300" simplePos="0" relativeHeight="251659264" behindDoc="0" locked="0" layoutInCell="1" allowOverlap="1">
            <wp:simplePos x="0" y="0"/>
            <wp:positionH relativeFrom="column">
              <wp:posOffset>169545</wp:posOffset>
            </wp:positionH>
            <wp:positionV relativeFrom="paragraph">
              <wp:posOffset>172085</wp:posOffset>
            </wp:positionV>
            <wp:extent cx="5476875" cy="2071370"/>
            <wp:effectExtent l="0" t="0" r="9525" b="5080"/>
            <wp:wrapNone/>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1"/>
                    <a:srcRect l="1052" t="7864" r="1425" b="16469"/>
                    <a:stretch>
                      <a:fillRect/>
                    </a:stretch>
                  </pic:blipFill>
                  <pic:spPr>
                    <a:xfrm>
                      <a:off x="0" y="0"/>
                      <a:ext cx="5476875" cy="2071370"/>
                    </a:xfrm>
                    <a:prstGeom prst="rect">
                      <a:avLst/>
                    </a:prstGeom>
                    <a:noFill/>
                    <a:ln>
                      <a:noFill/>
                    </a:ln>
                  </pic:spPr>
                </pic:pic>
              </a:graphicData>
            </a:graphic>
          </wp:anchor>
        </w:drawing>
      </w: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center"/>
        <w:rPr>
          <w:rFonts w:hint="eastAsia" w:ascii="仿宋_GB2312" w:hAnsi="黑体" w:eastAsia="仿宋_GB2312" w:cs="宋体"/>
          <w:color w:val="auto"/>
          <w:sz w:val="32"/>
          <w:szCs w:val="32"/>
          <w:highlight w:val="none"/>
          <w:lang w:bidi="ug-CN"/>
        </w:rPr>
      </w:pPr>
      <w:r>
        <w:rPr>
          <w:rFonts w:hint="eastAsia" w:ascii="仿宋_GB2312" w:hAnsi="黑体" w:eastAsia="仿宋_GB2312" w:cs="宋体"/>
          <w:color w:val="auto"/>
          <w:sz w:val="32"/>
          <w:szCs w:val="32"/>
          <w:highlight w:val="none"/>
          <w:lang w:val="en-US" w:eastAsia="zh-CN" w:bidi="ug-CN"/>
        </w:rPr>
        <w:t>（图7）</w:t>
      </w: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r>
        <w:rPr>
          <w:color w:val="auto"/>
          <w:highlight w:val="none"/>
        </w:rPr>
        <w:drawing>
          <wp:anchor distT="0" distB="0" distL="114300" distR="114300" simplePos="0" relativeHeight="251660288" behindDoc="0" locked="0" layoutInCell="1" allowOverlap="1">
            <wp:simplePos x="0" y="0"/>
            <wp:positionH relativeFrom="column">
              <wp:posOffset>55880</wp:posOffset>
            </wp:positionH>
            <wp:positionV relativeFrom="paragraph">
              <wp:posOffset>88900</wp:posOffset>
            </wp:positionV>
            <wp:extent cx="5615305" cy="2232025"/>
            <wp:effectExtent l="0" t="0" r="4445" b="15875"/>
            <wp:wrapNone/>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2"/>
                    <a:stretch>
                      <a:fillRect/>
                    </a:stretch>
                  </pic:blipFill>
                  <pic:spPr>
                    <a:xfrm>
                      <a:off x="0" y="0"/>
                      <a:ext cx="5615305" cy="2232025"/>
                    </a:xfrm>
                    <a:prstGeom prst="rect">
                      <a:avLst/>
                    </a:prstGeom>
                    <a:noFill/>
                    <a:ln>
                      <a:noFill/>
                    </a:ln>
                  </pic:spPr>
                </pic:pic>
              </a:graphicData>
            </a:graphic>
          </wp:anchor>
        </w:drawing>
      </w: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center"/>
        <w:rPr>
          <w:rFonts w:hint="eastAsia" w:ascii="仿宋_GB2312" w:hAnsi="黑体" w:eastAsia="仿宋_GB2312" w:cs="宋体"/>
          <w:color w:val="auto"/>
          <w:sz w:val="32"/>
          <w:szCs w:val="32"/>
          <w:highlight w:val="none"/>
          <w:lang w:val="en-US" w:eastAsia="zh-CN" w:bidi="ug-CN"/>
        </w:rPr>
      </w:pP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both"/>
        <w:rPr>
          <w:rFonts w:hint="eastAsia" w:ascii="仿宋_GB2312" w:hAnsi="黑体" w:eastAsia="仿宋_GB2312" w:cs="宋体"/>
          <w:color w:val="auto"/>
          <w:sz w:val="32"/>
          <w:szCs w:val="32"/>
          <w:highlight w:val="none"/>
          <w:lang w:bidi="ug-CN"/>
        </w:rPr>
      </w:pPr>
    </w:p>
    <w:p>
      <w:pPr>
        <w:widowControl w:val="0"/>
        <w:numPr>
          <w:ilvl w:val="0"/>
          <w:numId w:val="0"/>
        </w:numPr>
        <w:adjustRightInd w:val="0"/>
        <w:snapToGrid w:val="0"/>
        <w:spacing w:line="600" w:lineRule="exact"/>
        <w:jc w:val="center"/>
        <w:rPr>
          <w:rFonts w:hint="eastAsia" w:ascii="仿宋_GB2312" w:hAnsi="黑体" w:eastAsia="仿宋_GB2312" w:cs="宋体"/>
          <w:color w:val="auto"/>
          <w:sz w:val="32"/>
          <w:szCs w:val="32"/>
          <w:highlight w:val="none"/>
          <w:lang w:bidi="ug-CN"/>
        </w:rPr>
      </w:pPr>
      <w:r>
        <w:rPr>
          <w:rFonts w:hint="eastAsia" w:ascii="仿宋_GB2312" w:hAnsi="黑体" w:eastAsia="仿宋_GB2312" w:cs="宋体"/>
          <w:color w:val="auto"/>
          <w:sz w:val="32"/>
          <w:szCs w:val="32"/>
          <w:highlight w:val="none"/>
          <w:lang w:val="en-US" w:eastAsia="zh-CN" w:bidi="ug-CN"/>
        </w:rPr>
        <w:t>（图8）</w:t>
      </w:r>
    </w:p>
    <w:p>
      <w:pPr>
        <w:widowControl w:val="0"/>
        <w:spacing w:line="579" w:lineRule="exact"/>
        <w:ind w:left="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szCs w:val="32"/>
          <w:highlight w:val="none"/>
          <w:u w:val="none"/>
          <w:lang w:val="en-US" w:eastAsia="zh-CN" w:bidi="ug-CN"/>
        </w:rPr>
        <w:t>（七）普通中小学、特殊教育学校、中等职业学校、专门学校、幼儿园周围禁止区域的测量方式以</w:t>
      </w:r>
      <w:r>
        <w:rPr>
          <w:rFonts w:hint="eastAsia" w:ascii="仿宋_GB2312" w:hAnsi="仿宋_GB2312" w:eastAsia="仿宋_GB2312" w:cs="仿宋_GB2312"/>
          <w:b w:val="0"/>
          <w:i w:val="0"/>
          <w:color w:val="auto"/>
          <w:sz w:val="32"/>
          <w:szCs w:val="32"/>
          <w:highlight w:val="none"/>
          <w:u w:val="none"/>
        </w:rPr>
        <w:t>上述机构进出通道口</w:t>
      </w:r>
      <w:r>
        <w:rPr>
          <w:rFonts w:hint="eastAsia" w:ascii="仿宋_GB2312" w:hAnsi="仿宋_GB2312" w:eastAsia="仿宋_GB2312" w:cs="仿宋_GB2312"/>
          <w:b w:val="0"/>
          <w:i w:val="0"/>
          <w:color w:val="auto"/>
          <w:sz w:val="32"/>
          <w:szCs w:val="32"/>
          <w:highlight w:val="none"/>
          <w:u w:val="none"/>
          <w:lang w:val="en-US" w:eastAsia="zh-CN"/>
        </w:rPr>
        <w:t>中心点为圆心，以规定</w:t>
      </w:r>
      <w:r>
        <w:rPr>
          <w:rFonts w:hint="eastAsia" w:ascii="仿宋_GB2312" w:hAnsi="仿宋_GB2312" w:eastAsia="仿宋_GB2312" w:cs="仿宋_GB2312"/>
          <w:b w:val="0"/>
          <w:i w:val="0"/>
          <w:color w:val="auto"/>
          <w:sz w:val="32"/>
          <w:szCs w:val="32"/>
          <w:highlight w:val="none"/>
          <w:u w:val="none"/>
        </w:rPr>
        <w:t>距离</w:t>
      </w:r>
      <w:r>
        <w:rPr>
          <w:rFonts w:hint="eastAsia" w:ascii="仿宋_GB2312" w:hAnsi="仿宋_GB2312" w:eastAsia="仿宋_GB2312" w:cs="仿宋_GB2312"/>
          <w:b w:val="0"/>
          <w:i w:val="0"/>
          <w:color w:val="auto"/>
          <w:sz w:val="32"/>
          <w:szCs w:val="32"/>
          <w:highlight w:val="none"/>
          <w:u w:val="none"/>
          <w:lang w:val="en-US" w:eastAsia="zh-CN"/>
        </w:rPr>
        <w:t>为半径的圆形</w:t>
      </w:r>
      <w:r>
        <w:rPr>
          <w:rFonts w:hint="eastAsia" w:ascii="仿宋_GB2312" w:hAnsi="仿宋_GB2312" w:eastAsia="仿宋_GB2312" w:cs="仿宋_GB2312"/>
          <w:b w:val="0"/>
          <w:i w:val="0"/>
          <w:color w:val="auto"/>
          <w:sz w:val="32"/>
          <w:szCs w:val="32"/>
          <w:highlight w:val="none"/>
          <w:u w:val="none"/>
        </w:rPr>
        <w:t>区域</w:t>
      </w:r>
      <w:r>
        <w:rPr>
          <w:rFonts w:hint="eastAsia" w:ascii="仿宋_GB2312" w:hAnsi="仿宋_GB2312" w:eastAsia="仿宋_GB2312" w:cs="仿宋_GB2312"/>
          <w:b w:val="0"/>
          <w:i w:val="0"/>
          <w:color w:val="auto"/>
          <w:sz w:val="32"/>
          <w:szCs w:val="32"/>
          <w:highlight w:val="none"/>
          <w:u w:val="none"/>
          <w:lang w:eastAsia="zh-CN"/>
        </w:rPr>
        <w:t>，</w:t>
      </w:r>
      <w:r>
        <w:rPr>
          <w:rFonts w:hint="eastAsia" w:ascii="仿宋_GB2312" w:hAnsi="仿宋_GB2312" w:eastAsia="仿宋_GB2312" w:cs="仿宋_GB2312"/>
          <w:b w:val="0"/>
          <w:i w:val="0"/>
          <w:color w:val="auto"/>
          <w:sz w:val="32"/>
          <w:szCs w:val="32"/>
          <w:highlight w:val="none"/>
          <w:u w:val="none"/>
          <w:lang w:val="en-US" w:eastAsia="zh-CN"/>
        </w:rPr>
        <w:t>该区域内禁止设立零售点。距离以《</w:t>
      </w:r>
      <w:r>
        <w:rPr>
          <w:rFonts w:hint="eastAsia" w:ascii="仿宋_GB2312" w:hAnsi="仿宋_GB2312" w:eastAsia="仿宋_GB2312" w:cs="仿宋_GB2312"/>
          <w:b w:val="0"/>
          <w:i w:val="0"/>
          <w:color w:val="auto"/>
          <w:sz w:val="32"/>
          <w:szCs w:val="32"/>
          <w:highlight w:val="none"/>
          <w:u w:val="none"/>
          <w:lang w:eastAsia="zh-CN" w:bidi="ug-CN"/>
        </w:rPr>
        <w:t>合理布局规划</w:t>
      </w:r>
      <w:r>
        <w:rPr>
          <w:rFonts w:hint="eastAsia" w:ascii="仿宋_GB2312" w:hAnsi="仿宋_GB2312" w:eastAsia="仿宋_GB2312" w:cs="仿宋_GB2312"/>
          <w:b w:val="0"/>
          <w:i w:val="0"/>
          <w:color w:val="auto"/>
          <w:sz w:val="32"/>
          <w:szCs w:val="32"/>
          <w:highlight w:val="none"/>
          <w:u w:val="none"/>
          <w:lang w:val="en-US" w:eastAsia="zh-CN"/>
        </w:rPr>
        <w:t>》规定为准，</w:t>
      </w:r>
      <w:r>
        <w:rPr>
          <w:rFonts w:hint="eastAsia" w:ascii="仿宋_GB2312" w:hAnsi="仿宋_GB2312" w:eastAsia="仿宋_GB2312" w:cs="仿宋_GB2312"/>
          <w:b w:val="0"/>
          <w:i w:val="0"/>
          <w:color w:val="auto"/>
          <w:sz w:val="32"/>
          <w:szCs w:val="32"/>
          <w:highlight w:val="none"/>
          <w:u w:val="none"/>
          <w:lang w:val="en-US" w:eastAsia="zh-CN" w:bidi="ug-CN"/>
        </w:rPr>
        <w:t>存在多个通道口的，分别按照以上方式进行计算</w:t>
      </w:r>
      <w:r>
        <w:rPr>
          <w:rFonts w:hint="eastAsia" w:ascii="仿宋_GB2312" w:hAnsi="仿宋_GB2312" w:eastAsia="仿宋_GB2312" w:cs="仿宋_GB2312"/>
          <w:b w:val="0"/>
          <w:i w:val="0"/>
          <w:color w:val="auto"/>
          <w:sz w:val="32"/>
          <w:szCs w:val="32"/>
          <w:highlight w:val="none"/>
          <w:u w:val="none"/>
          <w:lang w:bidi="ug-CN"/>
        </w:rPr>
        <w:t>。</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规划中未涉及或不明确或审核人员产生歧义的特殊区域，应当选择有利于行政当事人的许可方案。</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市场、封闭式小区内、广场等区域零售点间距测量方法均以原设计道路、人行通道行人正常安全行走的最短距离进行测量。</w:t>
      </w:r>
    </w:p>
    <w:p>
      <w:pPr>
        <w:widowControl w:val="0"/>
        <w:numPr>
          <w:ilvl w:val="0"/>
          <w:numId w:val="6"/>
        </w:numPr>
        <w:tabs>
          <w:tab w:val="left" w:pos="2100"/>
          <w:tab w:val="clear" w:pos="420"/>
        </w:tabs>
        <w:spacing w:line="579" w:lineRule="exact"/>
        <w:ind w:left="0" w:leftChars="0" w:right="0" w:firstLine="640" w:firstLineChars="200"/>
        <w:jc w:val="both"/>
        <w:rPr>
          <w:rFonts w:hint="eastAsia" w:ascii="仿宋_GB2312" w:hAnsi="仿宋_GB2312" w:eastAsia="仿宋_GB2312" w:cs="仿宋_GB2312"/>
          <w:b w:val="0"/>
          <w:i w:val="0"/>
          <w:color w:val="auto"/>
          <w:sz w:val="32"/>
          <w:highlight w:val="none"/>
          <w:u w:val="none"/>
          <w:lang w:val="en-US" w:eastAsia="zh-CN"/>
        </w:rPr>
      </w:pPr>
      <w:r>
        <w:rPr>
          <w:rFonts w:hint="eastAsia" w:ascii="仿宋_GB2312" w:hAnsi="仿宋_GB2312" w:eastAsia="仿宋_GB2312" w:cs="仿宋_GB2312"/>
          <w:b w:val="0"/>
          <w:i w:val="0"/>
          <w:color w:val="auto"/>
          <w:sz w:val="32"/>
          <w:highlight w:val="none"/>
          <w:u w:val="none"/>
          <w:lang w:val="en-US" w:eastAsia="zh-CN"/>
        </w:rPr>
        <w:t>特殊地形测量：因地形、地貌或设计等原因导致道路、通道成不规则形态，通过前述方法无法测量的，取可安全通行路径最近距离进行测量。</w:t>
      </w:r>
    </w:p>
    <w:p>
      <w:pPr>
        <w:rPr>
          <w:color w:val="auto"/>
          <w:highlight w:val="none"/>
        </w:rPr>
      </w:pPr>
    </w:p>
    <w:p>
      <w:pPr>
        <w:widowControl w:val="0"/>
        <w:numPr>
          <w:ilvl w:val="0"/>
          <w:numId w:val="0"/>
        </w:numPr>
        <w:pBdr>
          <w:bottom w:val="none" w:color="auto" w:sz="0" w:space="0"/>
        </w:pBdr>
        <w:tabs>
          <w:tab w:val="left" w:pos="2100"/>
        </w:tabs>
        <w:spacing w:line="579" w:lineRule="exact"/>
        <w:ind w:left="0"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p>
    <w:p>
      <w:pPr>
        <w:widowControl w:val="0"/>
        <w:numPr>
          <w:ilvl w:val="0"/>
          <w:numId w:val="0"/>
        </w:numPr>
        <w:pBdr>
          <w:bottom w:val="none" w:color="auto" w:sz="0" w:space="0"/>
        </w:pBdr>
        <w:tabs>
          <w:tab w:val="left" w:pos="2100"/>
        </w:tabs>
        <w:spacing w:line="579" w:lineRule="exact"/>
        <w:ind w:left="0"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p>
    <w:p>
      <w:pPr>
        <w:widowControl w:val="0"/>
        <w:numPr>
          <w:ilvl w:val="0"/>
          <w:numId w:val="0"/>
        </w:numPr>
        <w:pBdr>
          <w:bottom w:val="none" w:color="auto" w:sz="0" w:space="0"/>
        </w:pBdr>
        <w:tabs>
          <w:tab w:val="left" w:pos="2100"/>
        </w:tabs>
        <w:spacing w:line="579" w:lineRule="exact"/>
        <w:ind w:left="0"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p>
    <w:p>
      <w:pPr>
        <w:widowControl w:val="0"/>
        <w:numPr>
          <w:ilvl w:val="0"/>
          <w:numId w:val="0"/>
        </w:numPr>
        <w:pBdr>
          <w:bottom w:val="none" w:color="auto" w:sz="0" w:space="0"/>
        </w:pBdr>
        <w:tabs>
          <w:tab w:val="left" w:pos="2100"/>
        </w:tabs>
        <w:spacing w:line="579" w:lineRule="exact"/>
        <w:ind w:left="0"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p>
    <w:p>
      <w:pPr>
        <w:widowControl w:val="0"/>
        <w:numPr>
          <w:ilvl w:val="0"/>
          <w:numId w:val="0"/>
        </w:numPr>
        <w:pBdr>
          <w:bottom w:val="none" w:color="auto" w:sz="0" w:space="0"/>
        </w:pBdr>
        <w:tabs>
          <w:tab w:val="left" w:pos="2100"/>
        </w:tabs>
        <w:spacing w:line="579" w:lineRule="exact"/>
        <w:ind w:left="0"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p>
    <w:p>
      <w:pPr>
        <w:widowControl w:val="0"/>
        <w:numPr>
          <w:ilvl w:val="0"/>
          <w:numId w:val="0"/>
        </w:numPr>
        <w:pBdr>
          <w:bottom w:val="none" w:color="auto" w:sz="0" w:space="0"/>
        </w:pBdr>
        <w:tabs>
          <w:tab w:val="left" w:pos="2100"/>
        </w:tabs>
        <w:spacing w:line="579" w:lineRule="exact"/>
        <w:ind w:left="0"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p>
    <w:p>
      <w:pPr>
        <w:widowControl w:val="0"/>
        <w:numPr>
          <w:ilvl w:val="0"/>
          <w:numId w:val="0"/>
        </w:numPr>
        <w:pBdr>
          <w:bottom w:val="none" w:color="auto" w:sz="0" w:space="0"/>
        </w:pBdr>
        <w:tabs>
          <w:tab w:val="left" w:pos="2100"/>
        </w:tabs>
        <w:spacing w:line="579" w:lineRule="exact"/>
        <w:ind w:left="0" w:right="0" w:rightChars="0" w:firstLine="640" w:firstLineChars="200"/>
        <w:jc w:val="both"/>
        <w:rPr>
          <w:rFonts w:hint="eastAsia" w:ascii="仿宋_GB2312" w:hAnsi="仿宋_GB2312" w:eastAsia="仿宋_GB2312" w:cs="仿宋_GB2312"/>
          <w:b w:val="0"/>
          <w:i w:val="0"/>
          <w:color w:val="auto"/>
          <w:sz w:val="32"/>
          <w:highlight w:val="none"/>
          <w:u w:val="none"/>
          <w:lang w:val="en-US" w:eastAsia="zh-CN"/>
        </w:rPr>
      </w:pPr>
    </w:p>
    <w:sectPr>
      <w:pgSz w:w="11906" w:h="16838"/>
      <w:pgMar w:top="2098" w:right="1474" w:bottom="1984" w:left="1588" w:header="85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0000600000000000000"/>
    <w:charset w:val="86"/>
    <w:family w:val="auto"/>
    <w:pitch w:val="default"/>
    <w:sig w:usb0="800002BF" w:usb1="184F6CF8" w:usb2="00000012" w:usb3="00000000" w:csb0="00160001" w:csb1="1203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210" w:rightChars="100"/>
      <w:jc w:val="right"/>
      <w:rPr>
        <w:rFonts w:hint="eastAsia" w:ascii="宋体" w:hAnsi="宋体" w:eastAsia="宋体" w:cs="宋体"/>
        <w:b w:val="0"/>
        <w:sz w:val="28"/>
        <w:lang w:eastAsia="zh-CN"/>
      </w:rPr>
    </w:pPr>
    <w:r>
      <w:rPr>
        <w:rFonts w:hint="eastAsia" w:ascii="宋体" w:hAnsi="宋体" w:eastAsia="宋体" w:cs="宋体"/>
        <w:b w:val="0"/>
        <w:sz w:val="28"/>
        <w:lang w:eastAsia="zh-CN"/>
      </w:rPr>
      <w:t>—</w:t>
    </w:r>
    <w:r>
      <w:rPr>
        <w:rFonts w:hint="eastAsia" w:ascii="宋体" w:hAnsi="宋体" w:eastAsia="宋体" w:cs="宋体"/>
        <w:b w:val="0"/>
        <w:sz w:val="28"/>
        <w:lang w:eastAsia="zh-CN"/>
      </w:rPr>
      <w:fldChar w:fldCharType="begin"/>
    </w:r>
    <w:r>
      <w:rPr>
        <w:rFonts w:hint="eastAsia" w:ascii="宋体" w:hAnsi="宋体" w:eastAsia="宋体" w:cs="宋体"/>
        <w:b w:val="0"/>
        <w:sz w:val="28"/>
        <w:lang w:eastAsia="zh-CN"/>
      </w:rPr>
      <w:instrText xml:space="preserve"> PAGE  \* MERGEFORMAT </w:instrText>
    </w:r>
    <w:r>
      <w:rPr>
        <w:rFonts w:hint="eastAsia" w:ascii="宋体" w:hAnsi="宋体" w:eastAsia="宋体" w:cs="宋体"/>
        <w:b w:val="0"/>
        <w:sz w:val="28"/>
        <w:lang w:eastAsia="zh-CN"/>
      </w:rPr>
      <w:fldChar w:fldCharType="separate"/>
    </w:r>
    <w:r>
      <w:rPr>
        <w:rFonts w:hint="eastAsia" w:ascii="宋体" w:hAnsi="宋体" w:eastAsia="宋体" w:cs="宋体"/>
        <w:b w:val="0"/>
        <w:sz w:val="28"/>
        <w:lang w:eastAsia="zh-CN"/>
      </w:rPr>
      <w:t>1</w:t>
    </w:r>
    <w:r>
      <w:rPr>
        <w:rFonts w:hint="eastAsia" w:ascii="宋体" w:hAnsi="宋体" w:eastAsia="宋体" w:cs="宋体"/>
        <w:b w:val="0"/>
        <w:sz w:val="28"/>
        <w:lang w:eastAsia="zh-CN"/>
      </w:rPr>
      <w:fldChar w:fldCharType="end"/>
    </w:r>
    <w:r>
      <w:rPr>
        <w:rFonts w:hint="eastAsia" w:ascii="宋体" w:hAnsi="宋体" w:eastAsia="宋体" w:cs="宋体"/>
        <w:b w:val="0"/>
        <w:sz w:val="28"/>
        <w:lang w:eastAsia="zh-CN"/>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725BF"/>
    <w:multiLevelType w:val="singleLevel"/>
    <w:tmpl w:val="C57725BF"/>
    <w:lvl w:ilvl="0" w:tentative="0">
      <w:start w:val="1"/>
      <w:numFmt w:val="chineseCounting"/>
      <w:suff w:val="nothing"/>
      <w:lvlText w:val="（%1）"/>
      <w:lvlJc w:val="left"/>
      <w:pPr>
        <w:ind w:left="0" w:firstLine="420"/>
      </w:pPr>
      <w:rPr>
        <w:rFonts w:hint="eastAsia"/>
        <w:color w:val="auto"/>
      </w:rPr>
    </w:lvl>
  </w:abstractNum>
  <w:abstractNum w:abstractNumId="1">
    <w:nsid w:val="D5FE3462"/>
    <w:multiLevelType w:val="singleLevel"/>
    <w:tmpl w:val="D5FE3462"/>
    <w:lvl w:ilvl="0" w:tentative="0">
      <w:start w:val="1"/>
      <w:numFmt w:val="chineseCounting"/>
      <w:suff w:val="nothing"/>
      <w:lvlText w:val="（%1）"/>
      <w:lvlJc w:val="left"/>
      <w:pPr>
        <w:ind w:left="0" w:leftChars="0" w:firstLine="420" w:firstLineChars="0"/>
      </w:pPr>
      <w:rPr>
        <w:rFonts w:hint="eastAsia"/>
      </w:rPr>
    </w:lvl>
  </w:abstractNum>
  <w:abstractNum w:abstractNumId="2">
    <w:nsid w:val="F296BF15"/>
    <w:multiLevelType w:val="singleLevel"/>
    <w:tmpl w:val="F296BF15"/>
    <w:lvl w:ilvl="0" w:tentative="0">
      <w:start w:val="1"/>
      <w:numFmt w:val="chineseCounting"/>
      <w:suff w:val="nothing"/>
      <w:lvlText w:val="（%1）"/>
      <w:lvlJc w:val="left"/>
      <w:pPr>
        <w:ind w:left="0" w:firstLine="420"/>
      </w:pPr>
      <w:rPr>
        <w:rFonts w:hint="eastAsia"/>
      </w:rPr>
    </w:lvl>
  </w:abstractNum>
  <w:abstractNum w:abstractNumId="3">
    <w:nsid w:val="3E4EC6CE"/>
    <w:multiLevelType w:val="singleLevel"/>
    <w:tmpl w:val="3E4EC6CE"/>
    <w:lvl w:ilvl="0" w:tentative="0">
      <w:start w:val="1"/>
      <w:numFmt w:val="chineseCounting"/>
      <w:suff w:val="nothing"/>
      <w:lvlText w:val="（%1）"/>
      <w:lvlJc w:val="left"/>
      <w:pPr>
        <w:ind w:left="0" w:firstLine="420"/>
      </w:pPr>
      <w:rPr>
        <w:rFonts w:hint="eastAsia"/>
      </w:rPr>
    </w:lvl>
  </w:abstractNum>
  <w:abstractNum w:abstractNumId="4">
    <w:nsid w:val="62CBF17C"/>
    <w:multiLevelType w:val="singleLevel"/>
    <w:tmpl w:val="62CBF17C"/>
    <w:lvl w:ilvl="0" w:tentative="0">
      <w:start w:val="1"/>
      <w:numFmt w:val="chineseCounting"/>
      <w:suff w:val="space"/>
      <w:lvlText w:val="第%1条"/>
      <w:lvlJc w:val="left"/>
      <w:pPr>
        <w:tabs>
          <w:tab w:val="left" w:pos="420"/>
        </w:tabs>
        <w:ind w:left="0" w:leftChars="0" w:firstLine="40" w:firstLineChars="0"/>
      </w:pPr>
      <w:rPr>
        <w:rFonts w:hint="eastAsia" w:ascii="宋体" w:hAnsi="宋体" w:eastAsia="黑体" w:cs="黑体"/>
        <w:color w:val="auto"/>
        <w:sz w:val="32"/>
        <w:szCs w:val="32"/>
      </w:rPr>
    </w:lvl>
  </w:abstractNum>
  <w:abstractNum w:abstractNumId="5">
    <w:nsid w:val="69BB3FD4"/>
    <w:multiLevelType w:val="singleLevel"/>
    <w:tmpl w:val="69BB3FD4"/>
    <w:lvl w:ilvl="0" w:tentative="0">
      <w:start w:val="1"/>
      <w:numFmt w:val="chineseCounting"/>
      <w:suff w:val="space"/>
      <w:lvlText w:val="第%1条"/>
      <w:lvlJc w:val="left"/>
      <w:pPr>
        <w:tabs>
          <w:tab w:val="left" w:pos="420"/>
        </w:tabs>
        <w:ind w:left="0" w:leftChars="0" w:firstLine="40" w:firstLineChars="0"/>
      </w:pPr>
      <w:rPr>
        <w:rFonts w:hint="eastAsia" w:ascii="宋体" w:hAnsi="宋体" w:eastAsia="黑体" w:cs="黑体"/>
        <w:color w:val="auto"/>
        <w:sz w:val="32"/>
        <w:szCs w:val="32"/>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1YTRkN2ZjMmQ0MWE2MmM5Y2ZmNmM4ODYyNTZlOTEifQ=="/>
  </w:docVars>
  <w:rsids>
    <w:rsidRoot w:val="37297C1F"/>
    <w:rsid w:val="00F52A8D"/>
    <w:rsid w:val="0122785D"/>
    <w:rsid w:val="01D00547"/>
    <w:rsid w:val="023870D5"/>
    <w:rsid w:val="06D43123"/>
    <w:rsid w:val="07AC5ED2"/>
    <w:rsid w:val="0D7D0B9B"/>
    <w:rsid w:val="0E8C3818"/>
    <w:rsid w:val="107629C7"/>
    <w:rsid w:val="198650FC"/>
    <w:rsid w:val="1B1E70EC"/>
    <w:rsid w:val="20581222"/>
    <w:rsid w:val="230909BA"/>
    <w:rsid w:val="25FC6460"/>
    <w:rsid w:val="27D252E8"/>
    <w:rsid w:val="2A9D36CA"/>
    <w:rsid w:val="2ACFC5BE"/>
    <w:rsid w:val="2B682061"/>
    <w:rsid w:val="3078676B"/>
    <w:rsid w:val="307D1FD3"/>
    <w:rsid w:val="30C91536"/>
    <w:rsid w:val="32B7D89C"/>
    <w:rsid w:val="37297C1F"/>
    <w:rsid w:val="37E172EC"/>
    <w:rsid w:val="3A1F5EA9"/>
    <w:rsid w:val="3FEE39F7"/>
    <w:rsid w:val="42C249CB"/>
    <w:rsid w:val="487429ED"/>
    <w:rsid w:val="49F609CD"/>
    <w:rsid w:val="4D9F5D09"/>
    <w:rsid w:val="51EC2B85"/>
    <w:rsid w:val="56D81F6E"/>
    <w:rsid w:val="582157B7"/>
    <w:rsid w:val="5C0D1B5F"/>
    <w:rsid w:val="5CAD799A"/>
    <w:rsid w:val="5DADE4AA"/>
    <w:rsid w:val="5E5BC293"/>
    <w:rsid w:val="5EEA56AE"/>
    <w:rsid w:val="5FEA58F6"/>
    <w:rsid w:val="61994610"/>
    <w:rsid w:val="67FD36F6"/>
    <w:rsid w:val="686F7E78"/>
    <w:rsid w:val="6FF7FD84"/>
    <w:rsid w:val="7169742F"/>
    <w:rsid w:val="71CB766F"/>
    <w:rsid w:val="7312785B"/>
    <w:rsid w:val="73F03371"/>
    <w:rsid w:val="7577EB3F"/>
    <w:rsid w:val="7A4F1B20"/>
    <w:rsid w:val="7BCFECAB"/>
    <w:rsid w:val="7DDB32D9"/>
    <w:rsid w:val="7EFA07B0"/>
    <w:rsid w:val="7EFF3410"/>
    <w:rsid w:val="7F3CC235"/>
    <w:rsid w:val="7FEFC83A"/>
    <w:rsid w:val="7FF6EC5C"/>
    <w:rsid w:val="7FFE8435"/>
    <w:rsid w:val="7FFF013F"/>
    <w:rsid w:val="7FFF89BF"/>
    <w:rsid w:val="8EFDB645"/>
    <w:rsid w:val="98DE3CA1"/>
    <w:rsid w:val="99FF360C"/>
    <w:rsid w:val="9DEF3E8C"/>
    <w:rsid w:val="ACD22D22"/>
    <w:rsid w:val="AFD2B39E"/>
    <w:rsid w:val="B76F7C47"/>
    <w:rsid w:val="B7B6CDFC"/>
    <w:rsid w:val="C6FE4EFA"/>
    <w:rsid w:val="C7DF81C4"/>
    <w:rsid w:val="CABC015A"/>
    <w:rsid w:val="CBFD455A"/>
    <w:rsid w:val="DEAE4FB0"/>
    <w:rsid w:val="DEEE8D8D"/>
    <w:rsid w:val="EAFFD5CE"/>
    <w:rsid w:val="EBCF8C71"/>
    <w:rsid w:val="EE2C4574"/>
    <w:rsid w:val="EE5B6BEE"/>
    <w:rsid w:val="F0B950B3"/>
    <w:rsid w:val="F6D6795B"/>
    <w:rsid w:val="F7DB1253"/>
    <w:rsid w:val="F8FBE1CB"/>
    <w:rsid w:val="FABBAB4D"/>
    <w:rsid w:val="FBEE029F"/>
    <w:rsid w:val="FF2D2BEA"/>
    <w:rsid w:val="FFCF4515"/>
    <w:rsid w:val="FFDC24A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page number"/>
    <w:basedOn w:val="5"/>
    <w:qFormat/>
    <w:uiPriority w:val="0"/>
  </w:style>
  <w:style w:type="character" w:customStyle="1" w:styleId="7">
    <w:name w:val="font01"/>
    <w:basedOn w:val="5"/>
    <w:qFormat/>
    <w:uiPriority w:val="0"/>
    <w:rPr>
      <w:rFonts w:hint="eastAsia" w:ascii="宋体" w:hAnsi="宋体" w:eastAsia="宋体" w:cs="宋体"/>
      <w:color w:val="000000"/>
      <w:sz w:val="22"/>
      <w:szCs w:val="22"/>
      <w:u w:val="none"/>
    </w:rPr>
  </w:style>
  <w:style w:type="character" w:customStyle="1" w:styleId="8">
    <w:name w:val="font11"/>
    <w:basedOn w:val="5"/>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5395</Words>
  <Characters>5496</Characters>
  <Lines>1</Lines>
  <Paragraphs>1</Paragraphs>
  <TotalTime>7</TotalTime>
  <ScaleCrop>false</ScaleCrop>
  <LinksUpToDate>false</LinksUpToDate>
  <CharactersWithSpaces>5513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2023-07-05T10:36:00Z</dcterms:created>
  <dc:creator>noname</dc:creator>
  <cp:lastModifiedBy>郑照毅</cp:lastModifiedBy>
  <cp:lastPrinted>2023-10-08T07:04:55Z</cp:lastPrinted>
  <dcterms:modified xsi:type="dcterms:W3CDTF">2023-10-08T07:05:31Z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4134B4E1694C4BDCB899EF3820B6F17D_13</vt:lpwstr>
  </property>
</Properties>
</file>