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A4F08">
      <w:pPr>
        <w:rPr>
          <w:rFonts w:ascii="仿宋_GB2312" w:hAnsi="仿宋_GB2312" w:eastAsia="仿宋_GB2312" w:cs="仿宋_GB2312"/>
          <w:sz w:val="36"/>
          <w:szCs w:val="36"/>
        </w:rPr>
      </w:pPr>
      <w:r>
        <w:rPr>
          <w:rFonts w:hint="eastAsia" w:ascii="仿宋_GB2312" w:hAnsi="仿宋_GB2312" w:eastAsia="仿宋_GB2312" w:cs="仿宋_GB2312"/>
          <w:sz w:val="36"/>
          <w:szCs w:val="36"/>
        </w:rPr>
        <w:t xml:space="preserve">         </w:t>
      </w:r>
    </w:p>
    <w:p w14:paraId="3FC978CE">
      <w:pPr>
        <w:rPr>
          <w:rFonts w:ascii="仿宋_GB2312" w:hAnsi="仿宋_GB2312" w:eastAsia="仿宋_GB2312" w:cs="仿宋_GB2312"/>
          <w:color w:val="auto"/>
          <w:sz w:val="36"/>
          <w:szCs w:val="36"/>
          <w:highlight w:val="none"/>
        </w:rPr>
      </w:pPr>
    </w:p>
    <w:p w14:paraId="29BF7360">
      <w:pPr>
        <w:rPr>
          <w:rFonts w:ascii="仿宋_GB2312" w:hAnsi="仿宋_GB2312" w:eastAsia="仿宋_GB2312" w:cs="仿宋_GB2312"/>
          <w:color w:val="auto"/>
          <w:sz w:val="36"/>
          <w:szCs w:val="36"/>
          <w:highlight w:val="none"/>
        </w:rPr>
      </w:pPr>
    </w:p>
    <w:p w14:paraId="5167628E">
      <w:pPr>
        <w:rPr>
          <w:rFonts w:ascii="仿宋_GB2312" w:hAnsi="仿宋_GB2312" w:eastAsia="仿宋_GB2312" w:cs="仿宋_GB2312"/>
          <w:color w:val="auto"/>
          <w:sz w:val="36"/>
          <w:szCs w:val="36"/>
          <w:highlight w:val="none"/>
        </w:rPr>
      </w:pPr>
    </w:p>
    <w:p w14:paraId="2DB81B4D">
      <w:pPr>
        <w:rPr>
          <w:rFonts w:ascii="仿宋_GB2312" w:hAnsi="仿宋_GB2312" w:eastAsia="仿宋_GB2312" w:cs="仿宋_GB2312"/>
          <w:color w:val="auto"/>
          <w:sz w:val="36"/>
          <w:szCs w:val="36"/>
          <w:highlight w:val="none"/>
        </w:rPr>
      </w:pPr>
    </w:p>
    <w:p w14:paraId="40006113">
      <w:pPr>
        <w:adjustRightInd w:val="0"/>
        <w:snapToGrid w:val="0"/>
        <w:jc w:val="center"/>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7D9542FF">
      <w:pPr>
        <w:adjustRightInd w:val="0"/>
        <w:snapToGrid w:val="0"/>
        <w:spacing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1D531F25">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35636C1E">
      <w:pPr>
        <w:jc w:val="center"/>
        <w:rPr>
          <w:rFonts w:eastAsia="仿宋"/>
          <w:color w:val="auto"/>
          <w:sz w:val="52"/>
          <w:szCs w:val="52"/>
          <w:highlight w:val="none"/>
        </w:rPr>
      </w:pPr>
    </w:p>
    <w:p w14:paraId="2A8CE1FD">
      <w:pPr>
        <w:ind w:firstLine="1040"/>
        <w:rPr>
          <w:rFonts w:eastAsia="仿宋"/>
          <w:color w:val="auto"/>
          <w:sz w:val="44"/>
          <w:szCs w:val="44"/>
          <w:highlight w:val="none"/>
        </w:rPr>
      </w:pPr>
    </w:p>
    <w:p w14:paraId="73332065">
      <w:pPr>
        <w:ind w:firstLine="1040"/>
        <w:rPr>
          <w:rFonts w:eastAsia="仿宋"/>
          <w:color w:val="auto"/>
          <w:sz w:val="44"/>
          <w:szCs w:val="44"/>
          <w:highlight w:val="none"/>
        </w:rPr>
      </w:pPr>
    </w:p>
    <w:p w14:paraId="1F693872">
      <w:pPr>
        <w:ind w:firstLine="1040"/>
        <w:rPr>
          <w:rFonts w:eastAsia="仿宋"/>
          <w:color w:val="auto"/>
          <w:sz w:val="44"/>
          <w:szCs w:val="44"/>
          <w:highlight w:val="none"/>
        </w:rPr>
      </w:pPr>
    </w:p>
    <w:p w14:paraId="67E7896E">
      <w:pPr>
        <w:ind w:firstLine="1040"/>
        <w:rPr>
          <w:rFonts w:eastAsia="仿宋"/>
          <w:color w:val="auto"/>
          <w:sz w:val="44"/>
          <w:szCs w:val="44"/>
          <w:highlight w:val="none"/>
        </w:rPr>
      </w:pPr>
    </w:p>
    <w:p w14:paraId="2FEA1A8E">
      <w:pPr>
        <w:tabs>
          <w:tab w:val="left" w:pos="9460"/>
        </w:tabs>
        <w:adjustRightInd w:val="0"/>
        <w:snapToGrid w:val="0"/>
        <w:spacing w:line="360" w:lineRule="auto"/>
        <w:ind w:left="2151" w:leftChars="171" w:right="218" w:rightChars="104" w:hanging="1792" w:hangingChars="498"/>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30万吨天然彩砂加工项目</w:t>
      </w:r>
      <w:r>
        <w:rPr>
          <w:rFonts w:hint="eastAsia" w:ascii="仿宋_GB2312" w:eastAsia="仿宋_GB2312"/>
          <w:color w:val="auto"/>
          <w:sz w:val="36"/>
          <w:szCs w:val="36"/>
          <w:highlight w:val="none"/>
          <w:u w:val="single"/>
          <w:lang w:eastAsia="zh-CN"/>
        </w:rPr>
        <w:t>（重大变动）</w:t>
      </w:r>
      <w:r>
        <w:rPr>
          <w:rFonts w:hint="eastAsia" w:ascii="仿宋_GB2312" w:eastAsia="仿宋_GB2312"/>
          <w:color w:val="auto"/>
          <w:sz w:val="36"/>
          <w:szCs w:val="36"/>
          <w:highlight w:val="none"/>
          <w:u w:val="single"/>
        </w:rPr>
        <w:t xml:space="preserve">   </w:t>
      </w:r>
    </w:p>
    <w:p w14:paraId="529DA244">
      <w:pPr>
        <w:adjustRightInd w:val="0"/>
        <w:snapToGrid w:val="0"/>
        <w:spacing w:line="360" w:lineRule="auto"/>
        <w:ind w:left="2" w:leftChars="1"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汉中金塔矿业开发有限公司    </w:t>
      </w:r>
    </w:p>
    <w:p w14:paraId="20708E2B">
      <w:pPr>
        <w:adjustRightInd w:val="0"/>
        <w:snapToGrid w:val="0"/>
        <w:spacing w:line="360" w:lineRule="auto"/>
        <w:ind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二〇二</w:t>
      </w:r>
      <w:r>
        <w:rPr>
          <w:rFonts w:hint="eastAsia" w:ascii="仿宋_GB2312" w:eastAsia="仿宋_GB2312"/>
          <w:color w:val="auto"/>
          <w:sz w:val="36"/>
          <w:szCs w:val="36"/>
          <w:highlight w:val="none"/>
          <w:u w:val="single"/>
          <w:lang w:eastAsia="zh-CN"/>
        </w:rPr>
        <w:t>五</w:t>
      </w:r>
      <w:r>
        <w:rPr>
          <w:rFonts w:hint="eastAsia" w:ascii="仿宋_GB2312" w:eastAsia="仿宋_GB2312"/>
          <w:color w:val="auto"/>
          <w:sz w:val="36"/>
          <w:szCs w:val="36"/>
          <w:highlight w:val="none"/>
          <w:u w:val="single"/>
        </w:rPr>
        <w:t>年</w:t>
      </w:r>
      <w:r>
        <w:rPr>
          <w:rFonts w:hint="eastAsia" w:ascii="仿宋_GB2312" w:eastAsia="仿宋_GB2312"/>
          <w:color w:val="auto"/>
          <w:sz w:val="36"/>
          <w:szCs w:val="36"/>
          <w:highlight w:val="none"/>
          <w:u w:val="single"/>
          <w:lang w:eastAsia="zh-CN"/>
        </w:rPr>
        <w:t>一</w:t>
      </w:r>
      <w:bookmarkStart w:id="4" w:name="_GoBack"/>
      <w:bookmarkEnd w:id="4"/>
      <w:r>
        <w:rPr>
          <w:rFonts w:hint="eastAsia" w:ascii="仿宋_GB2312" w:eastAsia="仿宋_GB2312"/>
          <w:color w:val="auto"/>
          <w:sz w:val="36"/>
          <w:szCs w:val="36"/>
          <w:highlight w:val="none"/>
          <w:u w:val="single"/>
        </w:rPr>
        <w:t xml:space="preserve">月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 xml:space="preserve">  </w:t>
      </w:r>
    </w:p>
    <w:p w14:paraId="6E5E63C8">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23DA8C49">
      <w:pPr>
        <w:adjustRightInd w:val="0"/>
        <w:snapToGrid w:val="0"/>
        <w:spacing w:line="360" w:lineRule="auto"/>
        <w:ind w:firstLine="1040"/>
        <w:rPr>
          <w:rFonts w:ascii="仿宋_GB2312" w:eastAsia="仿宋_GB2312"/>
          <w:color w:val="auto"/>
          <w:sz w:val="36"/>
          <w:szCs w:val="36"/>
          <w:highlight w:val="none"/>
        </w:rPr>
      </w:pPr>
    </w:p>
    <w:p w14:paraId="6FC03D4F">
      <w:pPr>
        <w:adjustRightInd w:val="0"/>
        <w:snapToGrid w:val="0"/>
        <w:spacing w:line="360" w:lineRule="auto"/>
        <w:rPr>
          <w:rFonts w:ascii="仿宋_GB2312" w:eastAsia="仿宋_GB2312"/>
          <w:color w:val="auto"/>
          <w:sz w:val="36"/>
          <w:szCs w:val="36"/>
          <w:highlight w:val="none"/>
        </w:rPr>
      </w:pPr>
    </w:p>
    <w:bookmarkEnd w:id="0"/>
    <w:p w14:paraId="2A41C516">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28ECB229">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915"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BDF65C8">
      <w:pPr>
        <w:pStyle w:val="30"/>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17"/>
        <w:gridCol w:w="797"/>
        <w:gridCol w:w="2280"/>
        <w:gridCol w:w="1432"/>
        <w:gridCol w:w="3744"/>
      </w:tblGrid>
      <w:tr w14:paraId="1227A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62C07444">
            <w:pPr>
              <w:adjustRightInd w:val="0"/>
              <w:snapToGrid w:val="0"/>
              <w:jc w:val="center"/>
              <w:rPr>
                <w:color w:val="auto"/>
                <w:sz w:val="24"/>
                <w:highlight w:val="none"/>
              </w:rPr>
            </w:pPr>
            <w:r>
              <w:rPr>
                <w:color w:val="auto"/>
                <w:sz w:val="24"/>
                <w:highlight w:val="none"/>
              </w:rPr>
              <w:t>建设项目</w:t>
            </w:r>
          </w:p>
          <w:p w14:paraId="1E46B483">
            <w:pPr>
              <w:adjustRightInd w:val="0"/>
              <w:snapToGrid w:val="0"/>
              <w:jc w:val="center"/>
              <w:rPr>
                <w:color w:val="auto"/>
                <w:sz w:val="24"/>
                <w:highlight w:val="none"/>
              </w:rPr>
            </w:pPr>
            <w:r>
              <w:rPr>
                <w:color w:val="auto"/>
                <w:sz w:val="24"/>
                <w:highlight w:val="none"/>
              </w:rPr>
              <w:t>名称</w:t>
            </w:r>
          </w:p>
        </w:tc>
        <w:tc>
          <w:tcPr>
            <w:tcW w:w="7456" w:type="dxa"/>
            <w:gridSpan w:val="3"/>
            <w:vAlign w:val="center"/>
          </w:tcPr>
          <w:p w14:paraId="5B59ED13">
            <w:pPr>
              <w:adjustRightInd w:val="0"/>
              <w:snapToGrid w:val="0"/>
              <w:jc w:val="center"/>
              <w:rPr>
                <w:rFonts w:hint="eastAsia" w:eastAsia="宋体"/>
                <w:color w:val="auto"/>
                <w:sz w:val="24"/>
                <w:highlight w:val="none"/>
                <w:lang w:eastAsia="zh-CN"/>
              </w:rPr>
            </w:pPr>
            <w:r>
              <w:rPr>
                <w:rFonts w:hint="eastAsia"/>
                <w:color w:val="auto"/>
                <w:sz w:val="24"/>
                <w:highlight w:val="none"/>
              </w:rPr>
              <w:t>30万吨天然彩砂加工项目</w:t>
            </w:r>
            <w:r>
              <w:rPr>
                <w:rFonts w:hint="eastAsia"/>
                <w:color w:val="auto"/>
                <w:sz w:val="24"/>
                <w:highlight w:val="none"/>
                <w:lang w:eastAsia="zh-CN"/>
              </w:rPr>
              <w:t>（重大变动）</w:t>
            </w:r>
          </w:p>
        </w:tc>
      </w:tr>
      <w:tr w14:paraId="3AE55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3882478A">
            <w:pPr>
              <w:adjustRightInd w:val="0"/>
              <w:snapToGrid w:val="0"/>
              <w:jc w:val="center"/>
              <w:rPr>
                <w:color w:val="auto"/>
                <w:sz w:val="24"/>
                <w:highlight w:val="none"/>
              </w:rPr>
            </w:pPr>
            <w:r>
              <w:rPr>
                <w:color w:val="auto"/>
                <w:sz w:val="24"/>
                <w:highlight w:val="none"/>
              </w:rPr>
              <w:t>项目代码</w:t>
            </w:r>
          </w:p>
        </w:tc>
        <w:tc>
          <w:tcPr>
            <w:tcW w:w="7456" w:type="dxa"/>
            <w:gridSpan w:val="3"/>
            <w:vAlign w:val="center"/>
          </w:tcPr>
          <w:p w14:paraId="2B752BAC">
            <w:pPr>
              <w:adjustRightInd w:val="0"/>
              <w:snapToGrid w:val="0"/>
              <w:jc w:val="center"/>
              <w:rPr>
                <w:color w:val="auto"/>
                <w:sz w:val="24"/>
                <w:highlight w:val="none"/>
              </w:rPr>
            </w:pPr>
            <w:r>
              <w:rPr>
                <w:rFonts w:hint="eastAsia"/>
                <w:color w:val="auto"/>
                <w:sz w:val="24"/>
                <w:highlight w:val="none"/>
              </w:rPr>
              <w:t>2410-610723-04-02-333981</w:t>
            </w:r>
          </w:p>
        </w:tc>
      </w:tr>
      <w:tr w14:paraId="3FA2B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336BAF1A">
            <w:pPr>
              <w:adjustRightInd w:val="0"/>
              <w:snapToGrid w:val="0"/>
              <w:jc w:val="center"/>
              <w:rPr>
                <w:color w:val="auto"/>
                <w:sz w:val="24"/>
                <w:highlight w:val="none"/>
              </w:rPr>
            </w:pPr>
            <w:r>
              <w:rPr>
                <w:color w:val="auto"/>
                <w:sz w:val="24"/>
                <w:highlight w:val="none"/>
              </w:rPr>
              <w:t>建设单位</w:t>
            </w:r>
          </w:p>
          <w:p w14:paraId="029F8B89">
            <w:pPr>
              <w:adjustRightInd w:val="0"/>
              <w:snapToGrid w:val="0"/>
              <w:jc w:val="center"/>
              <w:rPr>
                <w:color w:val="auto"/>
                <w:sz w:val="24"/>
                <w:highlight w:val="none"/>
              </w:rPr>
            </w:pPr>
            <w:r>
              <w:rPr>
                <w:color w:val="auto"/>
                <w:sz w:val="24"/>
                <w:highlight w:val="none"/>
              </w:rPr>
              <w:t>联系人</w:t>
            </w:r>
          </w:p>
        </w:tc>
        <w:tc>
          <w:tcPr>
            <w:tcW w:w="2280" w:type="dxa"/>
            <w:vAlign w:val="center"/>
          </w:tcPr>
          <w:p w14:paraId="2E761A98">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邓兴超</w:t>
            </w:r>
          </w:p>
        </w:tc>
        <w:tc>
          <w:tcPr>
            <w:tcW w:w="1432" w:type="dxa"/>
            <w:vAlign w:val="center"/>
          </w:tcPr>
          <w:p w14:paraId="7A81FF03">
            <w:pPr>
              <w:adjustRightInd w:val="0"/>
              <w:snapToGrid w:val="0"/>
              <w:jc w:val="center"/>
              <w:rPr>
                <w:color w:val="auto"/>
                <w:sz w:val="24"/>
                <w:highlight w:val="none"/>
              </w:rPr>
            </w:pPr>
            <w:r>
              <w:rPr>
                <w:color w:val="auto"/>
                <w:sz w:val="24"/>
                <w:highlight w:val="none"/>
              </w:rPr>
              <w:t>联系方式</w:t>
            </w:r>
          </w:p>
        </w:tc>
        <w:tc>
          <w:tcPr>
            <w:tcW w:w="3744" w:type="dxa"/>
            <w:vAlign w:val="center"/>
          </w:tcPr>
          <w:p w14:paraId="2B93B2D8">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18191623568</w:t>
            </w:r>
          </w:p>
        </w:tc>
      </w:tr>
      <w:tr w14:paraId="6A695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236C09C1">
            <w:pPr>
              <w:adjustRightInd w:val="0"/>
              <w:snapToGrid w:val="0"/>
              <w:jc w:val="center"/>
              <w:rPr>
                <w:color w:val="auto"/>
                <w:sz w:val="24"/>
                <w:highlight w:val="none"/>
              </w:rPr>
            </w:pPr>
            <w:r>
              <w:rPr>
                <w:color w:val="auto"/>
                <w:sz w:val="24"/>
                <w:highlight w:val="none"/>
              </w:rPr>
              <w:t>建设地点</w:t>
            </w:r>
          </w:p>
        </w:tc>
        <w:tc>
          <w:tcPr>
            <w:tcW w:w="7456" w:type="dxa"/>
            <w:gridSpan w:val="3"/>
            <w:vAlign w:val="center"/>
          </w:tcPr>
          <w:p w14:paraId="46173275">
            <w:pPr>
              <w:adjustRightInd w:val="0"/>
              <w:snapToGrid w:val="0"/>
              <w:jc w:val="center"/>
              <w:rPr>
                <w:color w:val="auto"/>
                <w:sz w:val="24"/>
                <w:highlight w:val="none"/>
              </w:rPr>
            </w:pPr>
            <w:r>
              <w:rPr>
                <w:rFonts w:hint="eastAsia"/>
                <w:color w:val="auto"/>
                <w:sz w:val="24"/>
                <w:highlight w:val="none"/>
              </w:rPr>
              <w:t>陕西</w:t>
            </w:r>
            <w:r>
              <w:rPr>
                <w:color w:val="auto"/>
                <w:sz w:val="24"/>
                <w:highlight w:val="none"/>
              </w:rPr>
              <w:t>省</w:t>
            </w:r>
            <w:r>
              <w:rPr>
                <w:rFonts w:hint="eastAsia"/>
                <w:color w:val="auto"/>
                <w:sz w:val="24"/>
                <w:highlight w:val="none"/>
              </w:rPr>
              <w:t>汉中市洋县戚氏街道办事处戚氏村五组</w:t>
            </w:r>
          </w:p>
        </w:tc>
      </w:tr>
      <w:tr w14:paraId="1CFBC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4D23E3B4">
            <w:pPr>
              <w:adjustRightInd w:val="0"/>
              <w:snapToGrid w:val="0"/>
              <w:jc w:val="center"/>
              <w:rPr>
                <w:color w:val="auto"/>
                <w:sz w:val="24"/>
                <w:highlight w:val="none"/>
              </w:rPr>
            </w:pPr>
            <w:r>
              <w:rPr>
                <w:color w:val="auto"/>
                <w:sz w:val="24"/>
                <w:highlight w:val="none"/>
              </w:rPr>
              <w:t>地理坐标</w:t>
            </w:r>
          </w:p>
        </w:tc>
        <w:tc>
          <w:tcPr>
            <w:tcW w:w="7456" w:type="dxa"/>
            <w:gridSpan w:val="3"/>
            <w:vAlign w:val="center"/>
          </w:tcPr>
          <w:p w14:paraId="67D2ED70">
            <w:pPr>
              <w:jc w:val="center"/>
              <w:rPr>
                <w:color w:val="auto"/>
                <w:sz w:val="24"/>
                <w:highlight w:val="none"/>
              </w:rPr>
            </w:pPr>
            <w:r>
              <w:rPr>
                <w:rFonts w:hint="eastAsia"/>
                <w:color w:val="auto"/>
                <w:sz w:val="24"/>
                <w:highlight w:val="none"/>
              </w:rPr>
              <w:t xml:space="preserve">（ 107 度 </w:t>
            </w:r>
            <w:r>
              <w:rPr>
                <w:rFonts w:hint="eastAsia"/>
                <w:color w:val="auto"/>
                <w:sz w:val="24"/>
                <w:highlight w:val="none"/>
                <w:lang w:val="en-US" w:eastAsia="zh-CN"/>
              </w:rPr>
              <w:t>29</w:t>
            </w:r>
            <w:r>
              <w:rPr>
                <w:rFonts w:hint="eastAsia"/>
                <w:color w:val="auto"/>
                <w:sz w:val="24"/>
                <w:highlight w:val="none"/>
              </w:rPr>
              <w:t xml:space="preserve"> 分 2</w:t>
            </w:r>
            <w:r>
              <w:rPr>
                <w:rFonts w:hint="eastAsia"/>
                <w:color w:val="auto"/>
                <w:sz w:val="24"/>
                <w:highlight w:val="none"/>
                <w:lang w:val="en-US" w:eastAsia="zh-CN"/>
              </w:rPr>
              <w:t>5.432</w:t>
            </w:r>
            <w:r>
              <w:rPr>
                <w:rFonts w:hint="eastAsia"/>
                <w:color w:val="auto"/>
                <w:sz w:val="24"/>
                <w:highlight w:val="none"/>
              </w:rPr>
              <w:t>秒， 33 度 1</w:t>
            </w:r>
            <w:r>
              <w:rPr>
                <w:rFonts w:hint="eastAsia"/>
                <w:color w:val="auto"/>
                <w:sz w:val="24"/>
                <w:highlight w:val="none"/>
                <w:lang w:val="en-US" w:eastAsia="zh-CN"/>
              </w:rPr>
              <w:t>2</w:t>
            </w:r>
            <w:r>
              <w:rPr>
                <w:rFonts w:hint="eastAsia"/>
                <w:color w:val="auto"/>
                <w:sz w:val="24"/>
                <w:highlight w:val="none"/>
              </w:rPr>
              <w:t xml:space="preserve"> 分 5</w:t>
            </w:r>
            <w:r>
              <w:rPr>
                <w:rFonts w:hint="eastAsia"/>
                <w:color w:val="auto"/>
                <w:sz w:val="24"/>
                <w:highlight w:val="none"/>
                <w:lang w:val="en-US" w:eastAsia="zh-CN"/>
              </w:rPr>
              <w:t>1.267</w:t>
            </w:r>
            <w:r>
              <w:rPr>
                <w:rFonts w:hint="eastAsia"/>
                <w:color w:val="auto"/>
                <w:sz w:val="24"/>
                <w:highlight w:val="none"/>
              </w:rPr>
              <w:t>秒）</w:t>
            </w:r>
          </w:p>
        </w:tc>
      </w:tr>
      <w:tr w14:paraId="1980E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49F271F7">
            <w:pPr>
              <w:adjustRightInd w:val="0"/>
              <w:snapToGrid w:val="0"/>
              <w:jc w:val="center"/>
              <w:rPr>
                <w:color w:val="auto"/>
                <w:sz w:val="24"/>
                <w:highlight w:val="none"/>
              </w:rPr>
            </w:pPr>
            <w:r>
              <w:rPr>
                <w:color w:val="auto"/>
                <w:sz w:val="24"/>
                <w:highlight w:val="none"/>
              </w:rPr>
              <w:t>国民经济</w:t>
            </w:r>
          </w:p>
          <w:p w14:paraId="27591FD7">
            <w:pPr>
              <w:adjustRightInd w:val="0"/>
              <w:snapToGrid w:val="0"/>
              <w:jc w:val="center"/>
              <w:rPr>
                <w:color w:val="auto"/>
                <w:sz w:val="24"/>
                <w:highlight w:val="none"/>
              </w:rPr>
            </w:pPr>
            <w:r>
              <w:rPr>
                <w:color w:val="auto"/>
                <w:sz w:val="24"/>
                <w:highlight w:val="none"/>
              </w:rPr>
              <w:t>行业类别</w:t>
            </w:r>
          </w:p>
        </w:tc>
        <w:tc>
          <w:tcPr>
            <w:tcW w:w="2280" w:type="dxa"/>
            <w:vAlign w:val="center"/>
          </w:tcPr>
          <w:p w14:paraId="4DD87A5B">
            <w:pPr>
              <w:adjustRightInd w:val="0"/>
              <w:snapToGrid w:val="0"/>
              <w:jc w:val="center"/>
              <w:rPr>
                <w:rFonts w:hint="default"/>
                <w:color w:val="auto"/>
                <w:sz w:val="24"/>
                <w:highlight w:val="none"/>
                <w:lang w:val="en-US"/>
              </w:rPr>
            </w:pPr>
            <w:r>
              <w:rPr>
                <w:color w:val="auto"/>
                <w:sz w:val="24"/>
                <w:highlight w:val="none"/>
              </w:rPr>
              <w:t>C30</w:t>
            </w:r>
            <w:r>
              <w:rPr>
                <w:rFonts w:hint="eastAsia"/>
                <w:color w:val="auto"/>
                <w:sz w:val="24"/>
                <w:highlight w:val="none"/>
              </w:rPr>
              <w:t>39 其他建筑材料制造</w:t>
            </w:r>
          </w:p>
        </w:tc>
        <w:tc>
          <w:tcPr>
            <w:tcW w:w="1432" w:type="dxa"/>
            <w:vAlign w:val="center"/>
          </w:tcPr>
          <w:p w14:paraId="522E6843">
            <w:pPr>
              <w:adjustRightInd w:val="0"/>
              <w:snapToGrid w:val="0"/>
              <w:jc w:val="center"/>
              <w:rPr>
                <w:color w:val="auto"/>
                <w:sz w:val="24"/>
                <w:highlight w:val="none"/>
              </w:rPr>
            </w:pPr>
            <w:bookmarkStart w:id="1" w:name="_Hlk49843745"/>
            <w:r>
              <w:rPr>
                <w:color w:val="auto"/>
                <w:sz w:val="24"/>
                <w:highlight w:val="none"/>
              </w:rPr>
              <w:t>建设项目</w:t>
            </w:r>
          </w:p>
          <w:p w14:paraId="5D5358B4">
            <w:pPr>
              <w:adjustRightInd w:val="0"/>
              <w:snapToGrid w:val="0"/>
              <w:jc w:val="center"/>
              <w:rPr>
                <w:color w:val="auto"/>
                <w:sz w:val="24"/>
                <w:highlight w:val="none"/>
              </w:rPr>
            </w:pPr>
            <w:r>
              <w:rPr>
                <w:color w:val="auto"/>
                <w:sz w:val="24"/>
                <w:highlight w:val="none"/>
              </w:rPr>
              <w:t>行业类别</w:t>
            </w:r>
            <w:bookmarkEnd w:id="1"/>
          </w:p>
        </w:tc>
        <w:tc>
          <w:tcPr>
            <w:tcW w:w="3744" w:type="dxa"/>
            <w:vAlign w:val="center"/>
          </w:tcPr>
          <w:p w14:paraId="2D0283DA">
            <w:pPr>
              <w:adjustRightInd w:val="0"/>
              <w:snapToGrid w:val="0"/>
              <w:jc w:val="center"/>
              <w:rPr>
                <w:rFonts w:hint="eastAsia"/>
                <w:color w:val="auto"/>
                <w:kern w:val="21"/>
                <w:sz w:val="24"/>
                <w:highlight w:val="none"/>
                <w:lang w:val="en-US" w:eastAsia="zh-CN"/>
              </w:rPr>
            </w:pPr>
            <w:r>
              <w:rPr>
                <w:rFonts w:hint="eastAsia"/>
                <w:color w:val="auto"/>
                <w:kern w:val="21"/>
                <w:sz w:val="24"/>
                <w:highlight w:val="none"/>
              </w:rPr>
              <w:t>二十七、非金属矿物制品业</w:t>
            </w:r>
            <w:r>
              <w:rPr>
                <w:rFonts w:hint="eastAsia"/>
                <w:color w:val="auto"/>
                <w:kern w:val="21"/>
                <w:sz w:val="24"/>
                <w:highlight w:val="none"/>
                <w:lang w:val="en-US" w:eastAsia="zh-CN"/>
              </w:rPr>
              <w:t>30</w:t>
            </w:r>
          </w:p>
          <w:p w14:paraId="51169005">
            <w:pPr>
              <w:adjustRightInd w:val="0"/>
              <w:snapToGrid w:val="0"/>
              <w:jc w:val="center"/>
              <w:rPr>
                <w:color w:val="auto"/>
                <w:sz w:val="24"/>
                <w:highlight w:val="none"/>
              </w:rPr>
            </w:pPr>
            <w:r>
              <w:rPr>
                <w:rFonts w:hint="eastAsia"/>
                <w:color w:val="auto"/>
                <w:kern w:val="21"/>
                <w:sz w:val="24"/>
                <w:highlight w:val="none"/>
                <w:lang w:val="en-US" w:eastAsia="zh-CN"/>
              </w:rPr>
              <w:t>56</w:t>
            </w:r>
            <w:r>
              <w:rPr>
                <w:rFonts w:hint="eastAsia"/>
                <w:color w:val="auto"/>
                <w:kern w:val="21"/>
                <w:sz w:val="24"/>
                <w:highlight w:val="none"/>
              </w:rPr>
              <w:t>砖瓦、石材等建筑材料制造303</w:t>
            </w:r>
            <w:r>
              <w:rPr>
                <w:rFonts w:hint="eastAsia"/>
                <w:color w:val="auto"/>
                <w:kern w:val="21"/>
                <w:sz w:val="24"/>
                <w:highlight w:val="none"/>
                <w:lang w:eastAsia="zh-CN"/>
              </w:rPr>
              <w:t>—</w:t>
            </w:r>
            <w:r>
              <w:rPr>
                <w:rFonts w:hint="eastAsia"/>
                <w:color w:val="auto"/>
                <w:kern w:val="21"/>
                <w:sz w:val="24"/>
                <w:highlight w:val="none"/>
              </w:rPr>
              <w:t>其他建筑材料制造（含干粉砂浆搅拌站）</w:t>
            </w:r>
          </w:p>
        </w:tc>
      </w:tr>
      <w:tr w14:paraId="2A25C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6FAEDA04">
            <w:pPr>
              <w:adjustRightInd w:val="0"/>
              <w:snapToGrid w:val="0"/>
              <w:jc w:val="center"/>
              <w:rPr>
                <w:color w:val="auto"/>
                <w:sz w:val="24"/>
                <w:highlight w:val="none"/>
              </w:rPr>
            </w:pPr>
            <w:r>
              <w:rPr>
                <w:color w:val="auto"/>
                <w:sz w:val="24"/>
                <w:highlight w:val="none"/>
              </w:rPr>
              <w:t>建设性质</w:t>
            </w:r>
          </w:p>
        </w:tc>
        <w:tc>
          <w:tcPr>
            <w:tcW w:w="2280" w:type="dxa"/>
            <w:vAlign w:val="center"/>
          </w:tcPr>
          <w:p w14:paraId="376C565C">
            <w:pPr>
              <w:jc w:val="left"/>
              <w:rPr>
                <w:color w:val="auto"/>
                <w:sz w:val="24"/>
                <w:highlight w:val="none"/>
              </w:rPr>
            </w:pPr>
            <w:r>
              <w:rPr>
                <w:rFonts w:eastAsia="Wingdings 2"/>
                <w:color w:val="auto"/>
                <w:szCs w:val="21"/>
                <w:highlight w:val="none"/>
              </w:rPr>
              <w:sym w:font="Wingdings 2" w:char="0052"/>
            </w:r>
            <w:r>
              <w:rPr>
                <w:color w:val="auto"/>
                <w:sz w:val="24"/>
                <w:highlight w:val="none"/>
              </w:rPr>
              <w:t>新建（迁建）</w:t>
            </w:r>
          </w:p>
          <w:p w14:paraId="28A8D1B1">
            <w:pPr>
              <w:jc w:val="left"/>
              <w:rPr>
                <w:color w:val="auto"/>
                <w:sz w:val="24"/>
                <w:highlight w:val="none"/>
              </w:rPr>
            </w:pPr>
            <w:r>
              <w:rPr>
                <w:color w:val="auto"/>
                <w:sz w:val="24"/>
                <w:highlight w:val="none"/>
              </w:rPr>
              <w:sym w:font="Wingdings 2" w:char="00A3"/>
            </w:r>
            <w:r>
              <w:rPr>
                <w:color w:val="auto"/>
                <w:sz w:val="24"/>
                <w:highlight w:val="none"/>
              </w:rPr>
              <w:t>改建</w:t>
            </w:r>
          </w:p>
          <w:p w14:paraId="5CF88E83">
            <w:pPr>
              <w:jc w:val="left"/>
              <w:rPr>
                <w:color w:val="auto"/>
                <w:sz w:val="24"/>
                <w:highlight w:val="none"/>
              </w:rPr>
            </w:pPr>
            <w:r>
              <w:rPr>
                <w:color w:val="auto"/>
                <w:sz w:val="24"/>
                <w:highlight w:val="none"/>
              </w:rPr>
              <w:sym w:font="Wingdings 2" w:char="00A3"/>
            </w:r>
            <w:r>
              <w:rPr>
                <w:color w:val="auto"/>
                <w:sz w:val="24"/>
                <w:highlight w:val="none"/>
              </w:rPr>
              <w:t>扩建</w:t>
            </w:r>
          </w:p>
          <w:p w14:paraId="54F85614">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432" w:type="dxa"/>
            <w:vAlign w:val="center"/>
          </w:tcPr>
          <w:p w14:paraId="0DB0D3DE">
            <w:pPr>
              <w:adjustRightInd w:val="0"/>
              <w:snapToGrid w:val="0"/>
              <w:jc w:val="center"/>
              <w:rPr>
                <w:color w:val="auto"/>
                <w:sz w:val="24"/>
                <w:highlight w:val="none"/>
              </w:rPr>
            </w:pPr>
            <w:r>
              <w:rPr>
                <w:color w:val="auto"/>
                <w:sz w:val="24"/>
                <w:highlight w:val="none"/>
              </w:rPr>
              <w:t>建设项目</w:t>
            </w:r>
          </w:p>
          <w:p w14:paraId="5AF081B4">
            <w:pPr>
              <w:adjustRightInd w:val="0"/>
              <w:snapToGrid w:val="0"/>
              <w:jc w:val="center"/>
              <w:rPr>
                <w:color w:val="auto"/>
                <w:sz w:val="24"/>
                <w:highlight w:val="none"/>
              </w:rPr>
            </w:pPr>
            <w:r>
              <w:rPr>
                <w:color w:val="auto"/>
                <w:sz w:val="24"/>
                <w:highlight w:val="none"/>
              </w:rPr>
              <w:t>申报情形</w:t>
            </w:r>
          </w:p>
        </w:tc>
        <w:tc>
          <w:tcPr>
            <w:tcW w:w="3744" w:type="dxa"/>
            <w:vAlign w:val="center"/>
          </w:tcPr>
          <w:p w14:paraId="76FE49B0">
            <w:pPr>
              <w:jc w:val="left"/>
              <w:rPr>
                <w:color w:val="auto"/>
                <w:sz w:val="24"/>
                <w:highlight w:val="none"/>
              </w:rPr>
            </w:pPr>
            <w:r>
              <w:rPr>
                <w:rFonts w:eastAsia="Wingdings 2"/>
                <w:color w:val="auto"/>
                <w:szCs w:val="21"/>
                <w:highlight w:val="none"/>
              </w:rPr>
              <w:sym w:font="Wingdings 2" w:char="00A3"/>
            </w:r>
            <w:r>
              <w:rPr>
                <w:color w:val="auto"/>
                <w:sz w:val="24"/>
                <w:highlight w:val="none"/>
              </w:rPr>
              <w:t>首次申报项目</w:t>
            </w:r>
          </w:p>
          <w:p w14:paraId="0D4670B5">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018463D3">
            <w:pPr>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3C262C5E">
            <w:pPr>
              <w:jc w:val="left"/>
              <w:rPr>
                <w:color w:val="auto"/>
                <w:sz w:val="24"/>
                <w:highlight w:val="none"/>
              </w:rPr>
            </w:pPr>
            <w:r>
              <w:rPr>
                <w:color w:val="auto"/>
                <w:sz w:val="24"/>
                <w:highlight w:val="none"/>
              </w:rPr>
              <w:sym w:font="Wingdings 2" w:char="0052"/>
            </w:r>
            <w:r>
              <w:rPr>
                <w:color w:val="auto"/>
                <w:sz w:val="24"/>
                <w:highlight w:val="none"/>
              </w:rPr>
              <w:t>重大变动重新报批项目</w:t>
            </w:r>
          </w:p>
        </w:tc>
      </w:tr>
      <w:tr w14:paraId="03800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758DCF45">
            <w:pPr>
              <w:adjustRightInd w:val="0"/>
              <w:snapToGrid w:val="0"/>
              <w:jc w:val="center"/>
              <w:rPr>
                <w:color w:val="auto"/>
                <w:sz w:val="24"/>
                <w:highlight w:val="none"/>
              </w:rPr>
            </w:pPr>
            <w:r>
              <w:rPr>
                <w:color w:val="auto"/>
                <w:sz w:val="24"/>
                <w:highlight w:val="none"/>
              </w:rPr>
              <w:t>项目审批</w:t>
            </w:r>
          </w:p>
          <w:p w14:paraId="46C003E4">
            <w:pPr>
              <w:adjustRightInd w:val="0"/>
              <w:snapToGrid w:val="0"/>
              <w:jc w:val="center"/>
              <w:rPr>
                <w:color w:val="auto"/>
                <w:sz w:val="24"/>
                <w:highlight w:val="none"/>
              </w:rPr>
            </w:pPr>
            <w:r>
              <w:rPr>
                <w:color w:val="auto"/>
                <w:sz w:val="24"/>
                <w:highlight w:val="none"/>
              </w:rPr>
              <w:t>（核准/备案）部门</w:t>
            </w:r>
          </w:p>
          <w:p w14:paraId="1A36E155">
            <w:pPr>
              <w:adjustRightInd w:val="0"/>
              <w:snapToGrid w:val="0"/>
              <w:jc w:val="center"/>
              <w:rPr>
                <w:color w:val="auto"/>
                <w:sz w:val="24"/>
                <w:highlight w:val="none"/>
              </w:rPr>
            </w:pPr>
            <w:r>
              <w:rPr>
                <w:color w:val="auto"/>
                <w:sz w:val="24"/>
                <w:highlight w:val="none"/>
              </w:rPr>
              <w:t>（选填）</w:t>
            </w:r>
          </w:p>
        </w:tc>
        <w:tc>
          <w:tcPr>
            <w:tcW w:w="2280" w:type="dxa"/>
            <w:vAlign w:val="center"/>
          </w:tcPr>
          <w:p w14:paraId="6B5E17EB">
            <w:pPr>
              <w:adjustRightInd w:val="0"/>
              <w:snapToGrid w:val="0"/>
              <w:jc w:val="center"/>
              <w:rPr>
                <w:color w:val="auto"/>
                <w:kern w:val="0"/>
                <w:sz w:val="24"/>
                <w:highlight w:val="none"/>
              </w:rPr>
            </w:pPr>
            <w:r>
              <w:rPr>
                <w:rFonts w:hint="eastAsia"/>
                <w:color w:val="auto"/>
                <w:kern w:val="0"/>
                <w:sz w:val="24"/>
                <w:highlight w:val="none"/>
              </w:rPr>
              <w:t>洋县行政审批</w:t>
            </w:r>
          </w:p>
          <w:p w14:paraId="74499EA4">
            <w:pPr>
              <w:adjustRightInd w:val="0"/>
              <w:snapToGrid w:val="0"/>
              <w:jc w:val="center"/>
              <w:rPr>
                <w:color w:val="auto"/>
                <w:sz w:val="24"/>
                <w:highlight w:val="none"/>
              </w:rPr>
            </w:pPr>
            <w:r>
              <w:rPr>
                <w:rFonts w:hint="eastAsia"/>
                <w:color w:val="auto"/>
                <w:kern w:val="0"/>
                <w:sz w:val="24"/>
                <w:highlight w:val="none"/>
              </w:rPr>
              <w:t>服务局</w:t>
            </w:r>
          </w:p>
        </w:tc>
        <w:tc>
          <w:tcPr>
            <w:tcW w:w="1432" w:type="dxa"/>
            <w:vAlign w:val="center"/>
          </w:tcPr>
          <w:p w14:paraId="1BEFA062">
            <w:pPr>
              <w:adjustRightInd w:val="0"/>
              <w:snapToGrid w:val="0"/>
              <w:jc w:val="center"/>
              <w:rPr>
                <w:color w:val="auto"/>
                <w:sz w:val="24"/>
                <w:highlight w:val="none"/>
              </w:rPr>
            </w:pPr>
            <w:r>
              <w:rPr>
                <w:color w:val="auto"/>
                <w:sz w:val="24"/>
                <w:highlight w:val="none"/>
              </w:rPr>
              <w:t>项目审批</w:t>
            </w:r>
          </w:p>
          <w:p w14:paraId="51DFA568">
            <w:pPr>
              <w:adjustRightInd w:val="0"/>
              <w:snapToGrid w:val="0"/>
              <w:jc w:val="center"/>
              <w:rPr>
                <w:color w:val="auto"/>
                <w:sz w:val="24"/>
                <w:highlight w:val="none"/>
              </w:rPr>
            </w:pPr>
            <w:r>
              <w:rPr>
                <w:color w:val="auto"/>
                <w:sz w:val="24"/>
                <w:highlight w:val="none"/>
              </w:rPr>
              <w:t>（核准/</w:t>
            </w:r>
          </w:p>
          <w:p w14:paraId="464A8474">
            <w:pPr>
              <w:adjustRightInd w:val="0"/>
              <w:snapToGrid w:val="0"/>
              <w:jc w:val="center"/>
              <w:rPr>
                <w:color w:val="auto"/>
                <w:sz w:val="24"/>
                <w:highlight w:val="none"/>
              </w:rPr>
            </w:pPr>
            <w:r>
              <w:rPr>
                <w:color w:val="auto"/>
                <w:sz w:val="24"/>
                <w:highlight w:val="none"/>
              </w:rPr>
              <w:t>备案）文号（选填）</w:t>
            </w:r>
          </w:p>
        </w:tc>
        <w:tc>
          <w:tcPr>
            <w:tcW w:w="3744" w:type="dxa"/>
            <w:vAlign w:val="center"/>
          </w:tcPr>
          <w:p w14:paraId="2B159159">
            <w:pPr>
              <w:adjustRightInd w:val="0"/>
              <w:snapToGrid w:val="0"/>
              <w:jc w:val="center"/>
              <w:rPr>
                <w:color w:val="auto"/>
                <w:sz w:val="24"/>
                <w:highlight w:val="none"/>
              </w:rPr>
            </w:pPr>
            <w:r>
              <w:rPr>
                <w:rFonts w:hint="eastAsia"/>
                <w:color w:val="auto"/>
                <w:sz w:val="24"/>
                <w:highlight w:val="none"/>
              </w:rPr>
              <w:t>2410-610723-04-02-333981</w:t>
            </w:r>
          </w:p>
        </w:tc>
      </w:tr>
      <w:tr w14:paraId="18090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67E47B9C">
            <w:pPr>
              <w:adjustRightInd w:val="0"/>
              <w:snapToGrid w:val="0"/>
              <w:jc w:val="center"/>
              <w:rPr>
                <w:color w:val="auto"/>
                <w:sz w:val="24"/>
                <w:highlight w:val="none"/>
              </w:rPr>
            </w:pPr>
            <w:r>
              <w:rPr>
                <w:color w:val="auto"/>
                <w:sz w:val="24"/>
                <w:highlight w:val="none"/>
              </w:rPr>
              <w:t>总投资</w:t>
            </w:r>
          </w:p>
          <w:p w14:paraId="5300B900">
            <w:pPr>
              <w:adjustRightInd w:val="0"/>
              <w:snapToGrid w:val="0"/>
              <w:jc w:val="center"/>
              <w:rPr>
                <w:color w:val="auto"/>
                <w:sz w:val="24"/>
                <w:highlight w:val="none"/>
              </w:rPr>
            </w:pPr>
            <w:r>
              <w:rPr>
                <w:color w:val="auto"/>
                <w:sz w:val="24"/>
                <w:highlight w:val="none"/>
              </w:rPr>
              <w:t>（万元）</w:t>
            </w:r>
          </w:p>
        </w:tc>
        <w:tc>
          <w:tcPr>
            <w:tcW w:w="2280" w:type="dxa"/>
            <w:vAlign w:val="center"/>
          </w:tcPr>
          <w:p w14:paraId="087E7FC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3140</w:t>
            </w:r>
          </w:p>
        </w:tc>
        <w:tc>
          <w:tcPr>
            <w:tcW w:w="1432" w:type="dxa"/>
            <w:tcMar>
              <w:top w:w="16" w:type="dxa"/>
              <w:left w:w="16" w:type="dxa"/>
              <w:right w:w="16" w:type="dxa"/>
            </w:tcMar>
            <w:vAlign w:val="center"/>
          </w:tcPr>
          <w:p w14:paraId="30581107">
            <w:pPr>
              <w:adjustRightInd w:val="0"/>
              <w:snapToGrid w:val="0"/>
              <w:jc w:val="center"/>
              <w:rPr>
                <w:color w:val="auto"/>
                <w:sz w:val="24"/>
                <w:highlight w:val="none"/>
              </w:rPr>
            </w:pPr>
            <w:r>
              <w:rPr>
                <w:color w:val="auto"/>
                <w:sz w:val="24"/>
                <w:highlight w:val="none"/>
              </w:rPr>
              <w:t>环保投资</w:t>
            </w:r>
          </w:p>
          <w:p w14:paraId="7887D93B">
            <w:pPr>
              <w:adjustRightInd w:val="0"/>
              <w:snapToGrid w:val="0"/>
              <w:jc w:val="center"/>
              <w:rPr>
                <w:color w:val="auto"/>
                <w:sz w:val="24"/>
                <w:highlight w:val="none"/>
              </w:rPr>
            </w:pPr>
            <w:r>
              <w:rPr>
                <w:color w:val="auto"/>
                <w:sz w:val="24"/>
                <w:highlight w:val="none"/>
              </w:rPr>
              <w:t>（万元）</w:t>
            </w:r>
          </w:p>
        </w:tc>
        <w:tc>
          <w:tcPr>
            <w:tcW w:w="3744" w:type="dxa"/>
            <w:vAlign w:val="center"/>
          </w:tcPr>
          <w:p w14:paraId="50CFC42A">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40</w:t>
            </w:r>
          </w:p>
        </w:tc>
      </w:tr>
      <w:tr w14:paraId="03424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35F7A7F9">
            <w:pPr>
              <w:adjustRightInd w:val="0"/>
              <w:snapToGrid w:val="0"/>
              <w:jc w:val="center"/>
              <w:rPr>
                <w:color w:val="auto"/>
                <w:sz w:val="24"/>
                <w:highlight w:val="none"/>
              </w:rPr>
            </w:pPr>
            <w:r>
              <w:rPr>
                <w:color w:val="auto"/>
                <w:sz w:val="24"/>
                <w:highlight w:val="none"/>
              </w:rPr>
              <w:t>环保投资占比（%）</w:t>
            </w:r>
          </w:p>
        </w:tc>
        <w:tc>
          <w:tcPr>
            <w:tcW w:w="2280" w:type="dxa"/>
            <w:vAlign w:val="center"/>
          </w:tcPr>
          <w:p w14:paraId="383120CB">
            <w:pPr>
              <w:adjustRightInd w:val="0"/>
              <w:snapToGrid w:val="0"/>
              <w:jc w:val="center"/>
              <w:rPr>
                <w:rFonts w:hint="default" w:eastAsia="宋体"/>
                <w:color w:val="auto"/>
                <w:sz w:val="24"/>
                <w:highlight w:val="none"/>
                <w:lang w:val="en-US" w:eastAsia="zh-CN"/>
              </w:rPr>
            </w:pPr>
            <w:r>
              <w:rPr>
                <w:rFonts w:hint="eastAsia"/>
                <w:color w:val="auto"/>
                <w:sz w:val="24"/>
                <w:highlight w:val="none"/>
              </w:rPr>
              <w:t>1</w:t>
            </w:r>
            <w:r>
              <w:rPr>
                <w:rFonts w:hint="eastAsia"/>
                <w:color w:val="auto"/>
                <w:sz w:val="24"/>
                <w:highlight w:val="none"/>
                <w:lang w:val="en-US" w:eastAsia="zh-CN"/>
              </w:rPr>
              <w:t>.27</w:t>
            </w:r>
          </w:p>
        </w:tc>
        <w:tc>
          <w:tcPr>
            <w:tcW w:w="1432" w:type="dxa"/>
            <w:tcMar>
              <w:top w:w="16" w:type="dxa"/>
              <w:left w:w="16" w:type="dxa"/>
              <w:right w:w="16" w:type="dxa"/>
            </w:tcMar>
            <w:vAlign w:val="center"/>
          </w:tcPr>
          <w:p w14:paraId="52FFB1CC">
            <w:pPr>
              <w:adjustRightInd w:val="0"/>
              <w:snapToGrid w:val="0"/>
              <w:jc w:val="center"/>
              <w:rPr>
                <w:color w:val="auto"/>
                <w:sz w:val="24"/>
                <w:highlight w:val="none"/>
              </w:rPr>
            </w:pPr>
            <w:r>
              <w:rPr>
                <w:color w:val="auto"/>
                <w:sz w:val="24"/>
                <w:highlight w:val="none"/>
              </w:rPr>
              <w:t>施工工期</w:t>
            </w:r>
          </w:p>
        </w:tc>
        <w:tc>
          <w:tcPr>
            <w:tcW w:w="3744" w:type="dxa"/>
            <w:vAlign w:val="center"/>
          </w:tcPr>
          <w:p w14:paraId="245628EE">
            <w:pPr>
              <w:adjustRightInd w:val="0"/>
              <w:snapToGrid w:val="0"/>
              <w:jc w:val="center"/>
              <w:rPr>
                <w:rFonts w:hint="default" w:eastAsia="宋体"/>
                <w:color w:val="auto"/>
                <w:sz w:val="24"/>
                <w:highlight w:val="none"/>
                <w:lang w:val="en-US" w:eastAsia="zh-CN"/>
              </w:rPr>
            </w:pPr>
            <w:r>
              <w:rPr>
                <w:rFonts w:hint="eastAsia"/>
                <w:color w:val="auto"/>
                <w:sz w:val="24"/>
                <w:highlight w:val="none"/>
                <w:lang w:eastAsia="zh-CN"/>
              </w:rPr>
              <w:t>计划</w:t>
            </w:r>
            <w:r>
              <w:rPr>
                <w:rFonts w:hint="eastAsia"/>
                <w:color w:val="auto"/>
                <w:sz w:val="24"/>
                <w:highlight w:val="none"/>
                <w:lang w:val="en-US" w:eastAsia="zh-CN"/>
              </w:rPr>
              <w:t>2周</w:t>
            </w:r>
          </w:p>
        </w:tc>
      </w:tr>
      <w:tr w14:paraId="5ED90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14" w:type="dxa"/>
            <w:gridSpan w:val="2"/>
            <w:tcMar>
              <w:top w:w="16" w:type="dxa"/>
              <w:left w:w="16" w:type="dxa"/>
              <w:right w:w="16" w:type="dxa"/>
            </w:tcMar>
            <w:vAlign w:val="center"/>
          </w:tcPr>
          <w:p w14:paraId="0A5B253F">
            <w:pPr>
              <w:adjustRightInd w:val="0"/>
              <w:snapToGrid w:val="0"/>
              <w:jc w:val="center"/>
              <w:rPr>
                <w:color w:val="auto"/>
                <w:sz w:val="24"/>
                <w:highlight w:val="none"/>
              </w:rPr>
            </w:pPr>
            <w:r>
              <w:rPr>
                <w:color w:val="auto"/>
                <w:sz w:val="24"/>
                <w:highlight w:val="none"/>
              </w:rPr>
              <w:t>是否开工</w:t>
            </w:r>
          </w:p>
          <w:p w14:paraId="4FD1D58C">
            <w:pPr>
              <w:adjustRightInd w:val="0"/>
              <w:snapToGrid w:val="0"/>
              <w:jc w:val="center"/>
              <w:rPr>
                <w:color w:val="auto"/>
                <w:sz w:val="24"/>
                <w:highlight w:val="none"/>
              </w:rPr>
            </w:pPr>
            <w:r>
              <w:rPr>
                <w:color w:val="auto"/>
                <w:sz w:val="24"/>
                <w:highlight w:val="none"/>
              </w:rPr>
              <w:t>建设</w:t>
            </w:r>
          </w:p>
        </w:tc>
        <w:tc>
          <w:tcPr>
            <w:tcW w:w="2280" w:type="dxa"/>
            <w:vAlign w:val="center"/>
          </w:tcPr>
          <w:p w14:paraId="3882F471">
            <w:pPr>
              <w:adjustRightInd w:val="0"/>
              <w:snapToGrid w:val="0"/>
              <w:rPr>
                <w:color w:val="auto"/>
                <w:sz w:val="24"/>
                <w:highlight w:val="none"/>
              </w:rPr>
            </w:pPr>
            <w:r>
              <w:rPr>
                <w:rFonts w:eastAsia="Wingdings 2"/>
                <w:color w:val="auto"/>
                <w:szCs w:val="21"/>
                <w:highlight w:val="none"/>
              </w:rPr>
              <w:sym w:font="Wingdings 2" w:char="00A3"/>
            </w:r>
            <w:r>
              <w:rPr>
                <w:color w:val="auto"/>
                <w:sz w:val="24"/>
                <w:highlight w:val="none"/>
              </w:rPr>
              <w:t>否</w:t>
            </w:r>
          </w:p>
          <w:p w14:paraId="19CC029A">
            <w:pPr>
              <w:adjustRightInd w:val="0"/>
              <w:snapToGrid w:val="0"/>
              <w:rPr>
                <w:color w:val="auto"/>
                <w:sz w:val="24"/>
                <w:highlight w:val="none"/>
              </w:rPr>
            </w:pPr>
            <w:r>
              <w:rPr>
                <w:color w:val="auto"/>
                <w:sz w:val="24"/>
                <w:highlight w:val="none"/>
              </w:rPr>
              <w:sym w:font="Wingdings 2" w:char="0052"/>
            </w:r>
            <w:r>
              <w:rPr>
                <w:color w:val="auto"/>
                <w:sz w:val="24"/>
                <w:highlight w:val="none"/>
              </w:rPr>
              <w:t>是：</w:t>
            </w:r>
            <w:r>
              <w:rPr>
                <w:rFonts w:hint="eastAsia"/>
                <w:color w:val="auto"/>
                <w:sz w:val="24"/>
                <w:highlight w:val="none"/>
                <w:u w:val="single"/>
                <w:lang w:eastAsia="zh-CN"/>
              </w:rPr>
              <w:t>现有工程于</w:t>
            </w:r>
            <w:r>
              <w:rPr>
                <w:rFonts w:hint="eastAsia"/>
                <w:color w:val="auto"/>
                <w:sz w:val="24"/>
                <w:highlight w:val="none"/>
                <w:u w:val="single"/>
                <w:lang w:val="en-US" w:eastAsia="zh-CN"/>
              </w:rPr>
              <w:t>2021年6月开始建设，2021年8月建成并投运至今；本次新增工程目前未建设。</w:t>
            </w:r>
          </w:p>
        </w:tc>
        <w:tc>
          <w:tcPr>
            <w:tcW w:w="1432" w:type="dxa"/>
            <w:tcMar>
              <w:top w:w="16" w:type="dxa"/>
              <w:left w:w="16" w:type="dxa"/>
              <w:right w:w="16" w:type="dxa"/>
            </w:tcMar>
            <w:vAlign w:val="center"/>
          </w:tcPr>
          <w:p w14:paraId="58A9CAC3">
            <w:pPr>
              <w:adjustRightInd w:val="0"/>
              <w:snapToGrid w:val="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3744" w:type="dxa"/>
            <w:vAlign w:val="center"/>
          </w:tcPr>
          <w:p w14:paraId="0F904EA5">
            <w:pPr>
              <w:adjustRightInd w:val="0"/>
              <w:snapToGrid w:val="0"/>
              <w:jc w:val="center"/>
              <w:rPr>
                <w:color w:val="auto"/>
                <w:sz w:val="24"/>
                <w:highlight w:val="none"/>
              </w:rPr>
            </w:pPr>
            <w:r>
              <w:rPr>
                <w:rFonts w:hint="eastAsia"/>
                <w:color w:val="auto"/>
                <w:sz w:val="24"/>
                <w:highlight w:val="none"/>
                <w:lang w:eastAsia="zh-CN"/>
              </w:rPr>
              <w:t>厂区总面积</w:t>
            </w:r>
            <w:r>
              <w:rPr>
                <w:rFonts w:hint="eastAsia"/>
                <w:color w:val="auto"/>
                <w:sz w:val="24"/>
                <w:highlight w:val="none"/>
                <w:lang w:val="en-US" w:eastAsia="zh-CN"/>
              </w:rPr>
              <w:t>18866.478m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r>
              <w:rPr>
                <w:rFonts w:hint="eastAsia"/>
                <w:color w:val="auto"/>
                <w:sz w:val="24"/>
                <w:highlight w:val="none"/>
                <w:lang w:val="en-US" w:eastAsia="zh-CN"/>
              </w:rPr>
              <w:t>本次变动在</w:t>
            </w:r>
            <w:r>
              <w:rPr>
                <w:rFonts w:hint="eastAsia"/>
                <w:color w:val="auto"/>
                <w:sz w:val="24"/>
                <w:highlight w:val="none"/>
              </w:rPr>
              <w:t>厂区预留区域内进行，</w:t>
            </w:r>
            <w:r>
              <w:rPr>
                <w:rFonts w:hint="eastAsia"/>
                <w:color w:val="auto"/>
                <w:sz w:val="24"/>
                <w:highlight w:val="none"/>
                <w:lang w:eastAsia="zh-CN"/>
              </w:rPr>
              <w:t>无</w:t>
            </w:r>
            <w:r>
              <w:rPr>
                <w:rFonts w:hint="eastAsia"/>
                <w:color w:val="auto"/>
                <w:sz w:val="24"/>
                <w:highlight w:val="none"/>
              </w:rPr>
              <w:t>新增占地</w:t>
            </w:r>
          </w:p>
        </w:tc>
      </w:tr>
      <w:tr w14:paraId="2895C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4" w:type="dxa"/>
            <w:gridSpan w:val="2"/>
            <w:vAlign w:val="center"/>
          </w:tcPr>
          <w:p w14:paraId="6274048C">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456" w:type="dxa"/>
            <w:gridSpan w:val="3"/>
            <w:vAlign w:val="center"/>
          </w:tcPr>
          <w:p w14:paraId="7929553C">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553E5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4" w:type="dxa"/>
            <w:gridSpan w:val="2"/>
            <w:vAlign w:val="center"/>
          </w:tcPr>
          <w:p w14:paraId="0EBBCCEA">
            <w:pPr>
              <w:autoSpaceDE w:val="0"/>
              <w:autoSpaceDN w:val="0"/>
              <w:adjustRightInd w:val="0"/>
              <w:snapToGrid w:val="0"/>
              <w:jc w:val="center"/>
              <w:rPr>
                <w:color w:val="auto"/>
                <w:kern w:val="0"/>
                <w:sz w:val="24"/>
                <w:highlight w:val="none"/>
              </w:rPr>
            </w:pPr>
            <w:r>
              <w:rPr>
                <w:color w:val="auto"/>
                <w:sz w:val="24"/>
                <w:highlight w:val="none"/>
              </w:rPr>
              <w:t>规划情况</w:t>
            </w:r>
          </w:p>
        </w:tc>
        <w:tc>
          <w:tcPr>
            <w:tcW w:w="7456" w:type="dxa"/>
            <w:gridSpan w:val="3"/>
            <w:vAlign w:val="center"/>
          </w:tcPr>
          <w:p w14:paraId="2EEFBC24">
            <w:pPr>
              <w:autoSpaceDE w:val="0"/>
              <w:autoSpaceDN w:val="0"/>
              <w:adjustRightInd w:val="0"/>
              <w:snapToGrid w:val="0"/>
              <w:rPr>
                <w:color w:val="auto"/>
                <w:kern w:val="0"/>
                <w:sz w:val="24"/>
                <w:highlight w:val="none"/>
              </w:rPr>
            </w:pPr>
            <w:r>
              <w:rPr>
                <w:rFonts w:hint="eastAsia"/>
                <w:color w:val="auto"/>
                <w:kern w:val="0"/>
                <w:sz w:val="24"/>
                <w:highlight w:val="none"/>
              </w:rPr>
              <w:t>规划名称：</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color w:val="auto"/>
                <w:spacing w:val="6"/>
                <w:sz w:val="24"/>
                <w:highlight w:val="none"/>
              </w:rPr>
              <w:t>洋县现代材料工业园区建设规划（2014-2025年）</w:t>
            </w:r>
            <w:r>
              <w:rPr>
                <w:rFonts w:hint="eastAsia" w:ascii="Times New Roman" w:hAnsi="Times New Roman" w:eastAsia="宋体" w:cs="Times New Roman"/>
                <w:color w:val="auto"/>
                <w:kern w:val="0"/>
                <w:sz w:val="24"/>
                <w:szCs w:val="24"/>
                <w:highlight w:val="none"/>
                <w:lang w:eastAsia="zh-CN"/>
              </w:rPr>
              <w:t>》</w:t>
            </w:r>
            <w:r>
              <w:rPr>
                <w:rFonts w:hint="eastAsia"/>
                <w:color w:val="auto"/>
                <w:kern w:val="0"/>
                <w:sz w:val="24"/>
                <w:highlight w:val="none"/>
              </w:rPr>
              <w:t>审查机关：</w:t>
            </w:r>
            <w:r>
              <w:rPr>
                <w:rFonts w:hint="eastAsia"/>
                <w:color w:val="auto"/>
                <w:kern w:val="0"/>
                <w:sz w:val="24"/>
                <w:highlight w:val="none"/>
                <w:lang w:eastAsia="zh-CN"/>
              </w:rPr>
              <w:t>洋县</w:t>
            </w:r>
            <w:r>
              <w:rPr>
                <w:rFonts w:hint="eastAsia"/>
                <w:color w:val="auto"/>
                <w:kern w:val="0"/>
                <w:sz w:val="24"/>
                <w:highlight w:val="none"/>
              </w:rPr>
              <w:t>人民政府</w:t>
            </w:r>
          </w:p>
          <w:p w14:paraId="2B47ACF6">
            <w:pPr>
              <w:autoSpaceDE w:val="0"/>
              <w:autoSpaceDN w:val="0"/>
              <w:adjustRightInd w:val="0"/>
              <w:snapToGrid w:val="0"/>
              <w:jc w:val="left"/>
              <w:rPr>
                <w:color w:val="auto"/>
                <w:highlight w:val="none"/>
              </w:rPr>
            </w:pPr>
            <w:r>
              <w:rPr>
                <w:rFonts w:hint="eastAsia"/>
                <w:color w:val="auto"/>
                <w:kern w:val="0"/>
                <w:sz w:val="24"/>
                <w:highlight w:val="none"/>
              </w:rPr>
              <w:t>审查文件名称及文号：《</w:t>
            </w:r>
            <w:r>
              <w:rPr>
                <w:rFonts w:hint="eastAsia"/>
                <w:color w:val="auto"/>
                <w:kern w:val="0"/>
                <w:sz w:val="24"/>
                <w:highlight w:val="none"/>
                <w:lang w:eastAsia="zh-CN"/>
              </w:rPr>
              <w:t>洋县</w:t>
            </w:r>
            <w:r>
              <w:rPr>
                <w:rFonts w:hint="eastAsia"/>
                <w:color w:val="auto"/>
                <w:kern w:val="0"/>
                <w:sz w:val="24"/>
                <w:highlight w:val="none"/>
              </w:rPr>
              <w:t>人民政府关于</w:t>
            </w:r>
            <w:r>
              <w:rPr>
                <w:rFonts w:hint="default" w:ascii="Times New Roman" w:hAnsi="Times New Roman" w:cs="Times New Roman"/>
                <w:color w:val="auto"/>
                <w:spacing w:val="6"/>
                <w:sz w:val="24"/>
                <w:highlight w:val="none"/>
              </w:rPr>
              <w:t>洋县现代材料工业园区建设规划（2014-2025年）</w:t>
            </w:r>
            <w:r>
              <w:rPr>
                <w:rFonts w:hint="eastAsia"/>
                <w:color w:val="auto"/>
                <w:kern w:val="0"/>
                <w:sz w:val="24"/>
                <w:highlight w:val="none"/>
              </w:rPr>
              <w:t>的批复》（</w:t>
            </w:r>
            <w:r>
              <w:rPr>
                <w:rFonts w:hint="eastAsia"/>
                <w:color w:val="auto"/>
                <w:kern w:val="0"/>
                <w:sz w:val="24"/>
                <w:highlight w:val="none"/>
                <w:lang w:eastAsia="zh-CN"/>
              </w:rPr>
              <w:t>洋</w:t>
            </w:r>
            <w:r>
              <w:rPr>
                <w:rFonts w:hint="eastAsia"/>
                <w:color w:val="auto"/>
                <w:kern w:val="0"/>
                <w:sz w:val="24"/>
                <w:highlight w:val="none"/>
              </w:rPr>
              <w:t>政</w:t>
            </w:r>
            <w:r>
              <w:rPr>
                <w:rFonts w:hint="eastAsia"/>
                <w:color w:val="auto"/>
                <w:kern w:val="0"/>
                <w:sz w:val="24"/>
                <w:highlight w:val="none"/>
                <w:lang w:eastAsia="zh-CN"/>
              </w:rPr>
              <w:t>发</w:t>
            </w:r>
            <w:r>
              <w:rPr>
                <w:rFonts w:hint="eastAsia"/>
                <w:color w:val="auto"/>
                <w:kern w:val="0"/>
                <w:sz w:val="24"/>
                <w:highlight w:val="none"/>
              </w:rPr>
              <w:t>[201</w:t>
            </w:r>
            <w:r>
              <w:rPr>
                <w:rFonts w:hint="eastAsia"/>
                <w:color w:val="auto"/>
                <w:kern w:val="0"/>
                <w:sz w:val="24"/>
                <w:highlight w:val="none"/>
                <w:lang w:val="en-US" w:eastAsia="zh-CN"/>
              </w:rPr>
              <w:t>5</w:t>
            </w:r>
            <w:r>
              <w:rPr>
                <w:rFonts w:hint="eastAsia"/>
                <w:color w:val="auto"/>
                <w:kern w:val="0"/>
                <w:sz w:val="24"/>
                <w:highlight w:val="none"/>
              </w:rPr>
              <w:t>]7号）</w:t>
            </w:r>
          </w:p>
        </w:tc>
      </w:tr>
      <w:tr w14:paraId="35A88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gridSpan w:val="2"/>
            <w:vAlign w:val="center"/>
          </w:tcPr>
          <w:p w14:paraId="55681AAC">
            <w:pPr>
              <w:adjustRightInd w:val="0"/>
              <w:snapToGrid w:val="0"/>
              <w:jc w:val="center"/>
              <w:rPr>
                <w:color w:val="auto"/>
                <w:sz w:val="24"/>
                <w:highlight w:val="none"/>
              </w:rPr>
            </w:pPr>
            <w:r>
              <w:rPr>
                <w:color w:val="auto"/>
                <w:sz w:val="24"/>
                <w:highlight w:val="none"/>
              </w:rPr>
              <w:t>规划环境影响</w:t>
            </w:r>
          </w:p>
          <w:p w14:paraId="018F8772">
            <w:pPr>
              <w:adjustRightInd w:val="0"/>
              <w:snapToGrid w:val="0"/>
              <w:jc w:val="center"/>
              <w:rPr>
                <w:color w:val="auto"/>
                <w:kern w:val="0"/>
                <w:sz w:val="24"/>
                <w:highlight w:val="none"/>
              </w:rPr>
            </w:pPr>
            <w:r>
              <w:rPr>
                <w:color w:val="auto"/>
                <w:sz w:val="24"/>
                <w:highlight w:val="none"/>
              </w:rPr>
              <w:t>评价情况</w:t>
            </w:r>
          </w:p>
        </w:tc>
        <w:tc>
          <w:tcPr>
            <w:tcW w:w="7456" w:type="dxa"/>
            <w:gridSpan w:val="3"/>
            <w:vAlign w:val="center"/>
          </w:tcPr>
          <w:p w14:paraId="5C69F051">
            <w:pPr>
              <w:autoSpaceDE w:val="0"/>
              <w:autoSpaceDN w:val="0"/>
              <w:adjustRightInd w:val="0"/>
              <w:snapToGrid w:val="0"/>
              <w:rPr>
                <w:rFonts w:hint="default" w:ascii="Times New Roman" w:hAnsi="Times New Roman" w:cs="Times New Roman"/>
                <w:color w:val="auto"/>
                <w:spacing w:val="6"/>
                <w:sz w:val="24"/>
                <w:highlight w:val="none"/>
                <w:lang w:val="en-US" w:eastAsia="zh-CN"/>
              </w:rPr>
            </w:pPr>
            <w:r>
              <w:rPr>
                <w:rFonts w:hint="eastAsia"/>
                <w:color w:val="auto"/>
                <w:kern w:val="0"/>
                <w:sz w:val="24"/>
                <w:highlight w:val="none"/>
              </w:rPr>
              <w:t>规划环境影响评价文件名称：</w:t>
            </w:r>
            <w:r>
              <w:rPr>
                <w:rFonts w:hint="default" w:ascii="Times New Roman" w:hAnsi="Times New Roman" w:cs="Times New Roman"/>
                <w:color w:val="auto"/>
                <w:spacing w:val="6"/>
                <w:sz w:val="24"/>
                <w:highlight w:val="none"/>
                <w:lang w:val="en-US" w:eastAsia="zh-CN"/>
              </w:rPr>
              <w:t>《</w:t>
            </w:r>
            <w:r>
              <w:rPr>
                <w:rFonts w:hint="default" w:ascii="Times New Roman" w:hAnsi="Times New Roman" w:cs="Times New Roman"/>
                <w:color w:val="auto"/>
                <w:spacing w:val="6"/>
                <w:sz w:val="24"/>
                <w:highlight w:val="none"/>
              </w:rPr>
              <w:t>洋县现代材料工业园区建设规划（2014-2025年）环境影响报告书</w:t>
            </w:r>
            <w:r>
              <w:rPr>
                <w:rFonts w:hint="default" w:ascii="Times New Roman" w:hAnsi="Times New Roman" w:cs="Times New Roman"/>
                <w:color w:val="auto"/>
                <w:spacing w:val="6"/>
                <w:sz w:val="24"/>
                <w:highlight w:val="none"/>
                <w:lang w:val="en-US" w:eastAsia="zh-CN"/>
              </w:rPr>
              <w:t>》</w:t>
            </w:r>
          </w:p>
          <w:p w14:paraId="766096F9">
            <w:pPr>
              <w:autoSpaceDE w:val="0"/>
              <w:autoSpaceDN w:val="0"/>
              <w:adjustRightInd w:val="0"/>
              <w:snapToGrid w:val="0"/>
              <w:rPr>
                <w:rFonts w:hint="eastAsia" w:eastAsia="宋体"/>
                <w:color w:val="auto"/>
                <w:kern w:val="0"/>
                <w:sz w:val="24"/>
                <w:highlight w:val="none"/>
                <w:lang w:eastAsia="zh-CN"/>
              </w:rPr>
            </w:pPr>
            <w:r>
              <w:rPr>
                <w:rFonts w:hint="eastAsia"/>
                <w:color w:val="auto"/>
                <w:kern w:val="0"/>
                <w:sz w:val="24"/>
                <w:highlight w:val="none"/>
              </w:rPr>
              <w:t>召集审查机关：汉中市</w:t>
            </w:r>
            <w:r>
              <w:rPr>
                <w:rFonts w:hint="eastAsia"/>
                <w:color w:val="auto"/>
                <w:kern w:val="0"/>
                <w:sz w:val="24"/>
                <w:highlight w:val="none"/>
                <w:lang w:eastAsia="zh-CN"/>
              </w:rPr>
              <w:t>环境保护</w:t>
            </w:r>
            <w:r>
              <w:rPr>
                <w:rFonts w:hint="eastAsia"/>
                <w:color w:val="auto"/>
                <w:kern w:val="0"/>
                <w:sz w:val="24"/>
                <w:highlight w:val="none"/>
              </w:rPr>
              <w:t>局</w:t>
            </w:r>
            <w:r>
              <w:rPr>
                <w:rFonts w:hint="eastAsia"/>
                <w:color w:val="auto"/>
                <w:kern w:val="0"/>
                <w:sz w:val="24"/>
                <w:highlight w:val="none"/>
                <w:lang w:eastAsia="zh-CN"/>
              </w:rPr>
              <w:t>（现为汉中市生态环境局）</w:t>
            </w:r>
          </w:p>
          <w:p w14:paraId="25C71716">
            <w:pPr>
              <w:autoSpaceDE w:val="0"/>
              <w:autoSpaceDN w:val="0"/>
              <w:adjustRightInd w:val="0"/>
              <w:snapToGrid w:val="0"/>
              <w:rPr>
                <w:color w:val="auto"/>
                <w:kern w:val="0"/>
                <w:highlight w:val="none"/>
              </w:rPr>
            </w:pPr>
            <w:r>
              <w:rPr>
                <w:rFonts w:hint="eastAsia"/>
                <w:color w:val="auto"/>
                <w:kern w:val="0"/>
                <w:sz w:val="24"/>
                <w:highlight w:val="none"/>
              </w:rPr>
              <w:t>审查文件名称及文号：《汉中市</w:t>
            </w:r>
            <w:r>
              <w:rPr>
                <w:rFonts w:hint="eastAsia"/>
                <w:color w:val="auto"/>
                <w:kern w:val="0"/>
                <w:sz w:val="24"/>
                <w:highlight w:val="none"/>
                <w:lang w:eastAsia="zh-CN"/>
              </w:rPr>
              <w:t>环境保护</w:t>
            </w:r>
            <w:r>
              <w:rPr>
                <w:rFonts w:hint="eastAsia"/>
                <w:color w:val="auto"/>
                <w:kern w:val="0"/>
                <w:sz w:val="24"/>
                <w:highlight w:val="none"/>
              </w:rPr>
              <w:t>局关于</w:t>
            </w:r>
            <w:r>
              <w:rPr>
                <w:rFonts w:hint="default" w:ascii="Times New Roman" w:hAnsi="Times New Roman" w:cs="Times New Roman"/>
                <w:color w:val="auto"/>
                <w:spacing w:val="6"/>
                <w:sz w:val="24"/>
                <w:highlight w:val="none"/>
              </w:rPr>
              <w:t>洋县现代材料工业园区建设规划（2014-2025年）</w:t>
            </w:r>
            <w:r>
              <w:rPr>
                <w:rFonts w:hint="eastAsia"/>
                <w:color w:val="auto"/>
                <w:kern w:val="0"/>
                <w:sz w:val="24"/>
                <w:highlight w:val="none"/>
              </w:rPr>
              <w:t>环境影响报告书审查意见的函》（</w:t>
            </w:r>
            <w:r>
              <w:rPr>
                <w:rFonts w:hint="eastAsia"/>
                <w:color w:val="auto"/>
                <w:kern w:val="0"/>
                <w:sz w:val="24"/>
                <w:highlight w:val="none"/>
                <w:lang w:val="en-US" w:eastAsia="zh-CN"/>
              </w:rPr>
              <w:t>汉环函[2018]254号</w:t>
            </w:r>
            <w:r>
              <w:rPr>
                <w:rFonts w:hint="eastAsia"/>
                <w:color w:val="auto"/>
                <w:kern w:val="0"/>
                <w:sz w:val="24"/>
                <w:highlight w:val="none"/>
              </w:rPr>
              <w:t>）</w:t>
            </w:r>
          </w:p>
        </w:tc>
      </w:tr>
      <w:tr w14:paraId="37CB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8" w:hRule="atLeast"/>
          <w:jc w:val="center"/>
        </w:trPr>
        <w:tc>
          <w:tcPr>
            <w:tcW w:w="1414" w:type="dxa"/>
            <w:gridSpan w:val="2"/>
            <w:vAlign w:val="center"/>
          </w:tcPr>
          <w:p w14:paraId="318E6FD8">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456" w:type="dxa"/>
            <w:gridSpan w:val="3"/>
            <w:vAlign w:val="center"/>
          </w:tcPr>
          <w:p w14:paraId="26F73ED8">
            <w:pPr>
              <w:widowControl/>
              <w:adjustRightInd w:val="0"/>
              <w:snapToGrid w:val="0"/>
              <w:jc w:val="center"/>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lang w:val="en-US" w:eastAsia="zh-CN"/>
              </w:rPr>
              <w:t>1-1</w:t>
            </w:r>
            <w:r>
              <w:rPr>
                <w:rFonts w:hint="eastAsia" w:ascii="Times New Roman" w:hAnsi="Times New Roman" w:eastAsia="宋体" w:cs="Times New Roman"/>
                <w:b/>
                <w:bCs/>
                <w:color w:val="auto"/>
                <w:highlight w:val="none"/>
              </w:rPr>
              <w:t xml:space="preserve">  本项目与工业园区规划及规划环评符合性分析</w:t>
            </w:r>
          </w:p>
          <w:tbl>
            <w:tblPr>
              <w:tblStyle w:val="36"/>
              <w:tblW w:w="7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406"/>
              <w:gridCol w:w="3717"/>
              <w:gridCol w:w="1346"/>
              <w:gridCol w:w="698"/>
            </w:tblGrid>
            <w:tr w14:paraId="6D181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1131" w:type="dxa"/>
                  <w:tcBorders>
                    <w:tl2br w:val="nil"/>
                    <w:tr2bl w:val="nil"/>
                  </w:tcBorders>
                  <w:noWrap w:val="0"/>
                  <w:vAlign w:val="center"/>
                </w:tcPr>
                <w:p w14:paraId="7FF04379">
                  <w:pPr>
                    <w:pStyle w:val="45"/>
                    <w:snapToGrid w:val="0"/>
                    <w:ind w:firstLine="210" w:firstLineChars="1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4123" w:type="dxa"/>
                  <w:gridSpan w:val="2"/>
                  <w:tcBorders>
                    <w:tl2br w:val="nil"/>
                    <w:tr2bl w:val="nil"/>
                  </w:tcBorders>
                  <w:noWrap w:val="0"/>
                  <w:vAlign w:val="center"/>
                </w:tcPr>
                <w:p w14:paraId="5FFE9504">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相关要求</w:t>
                  </w:r>
                </w:p>
              </w:tc>
              <w:tc>
                <w:tcPr>
                  <w:tcW w:w="1346" w:type="dxa"/>
                  <w:tcBorders>
                    <w:tl2br w:val="nil"/>
                    <w:tr2bl w:val="nil"/>
                  </w:tcBorders>
                  <w:noWrap w:val="0"/>
                  <w:vAlign w:val="center"/>
                </w:tcPr>
                <w:p w14:paraId="5BB2F42E">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698" w:type="dxa"/>
                  <w:tcBorders>
                    <w:tl2br w:val="nil"/>
                    <w:tr2bl w:val="nil"/>
                  </w:tcBorders>
                  <w:noWrap w:val="0"/>
                  <w:vAlign w:val="center"/>
                </w:tcPr>
                <w:p w14:paraId="11B5F071">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6085F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31" w:type="dxa"/>
                  <w:vMerge w:val="restart"/>
                  <w:tcBorders>
                    <w:tl2br w:val="nil"/>
                    <w:tr2bl w:val="nil"/>
                  </w:tcBorders>
                  <w:noWrap w:val="0"/>
                  <w:vAlign w:val="center"/>
                </w:tcPr>
                <w:p w14:paraId="30AC06F0">
                  <w:pPr>
                    <w:pStyle w:val="45"/>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洋县现代材料工业园区建设规划（2014-2025年）</w:t>
                  </w:r>
                  <w:r>
                    <w:rPr>
                      <w:rFonts w:hint="default" w:ascii="Times New Roman" w:hAnsi="Times New Roman" w:eastAsia="宋体" w:cs="Times New Roman"/>
                      <w:color w:val="auto"/>
                      <w:sz w:val="21"/>
                      <w:szCs w:val="21"/>
                      <w:highlight w:val="none"/>
                      <w:lang w:eastAsia="zh-CN"/>
                    </w:rPr>
                    <w:t>》</w:t>
                  </w:r>
                </w:p>
              </w:tc>
              <w:tc>
                <w:tcPr>
                  <w:tcW w:w="4123" w:type="dxa"/>
                  <w:gridSpan w:val="2"/>
                  <w:tcBorders>
                    <w:tl2br w:val="nil"/>
                    <w:tr2bl w:val="nil"/>
                  </w:tcBorders>
                  <w:noWrap w:val="0"/>
                  <w:vAlign w:val="center"/>
                </w:tcPr>
                <w:p w14:paraId="7643ABD6">
                  <w:pPr>
                    <w:pStyle w:val="45"/>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规划范围：东起戚氏村五里垣，西至谢村镇东韩村东部，沿国道108向两侧扩展，向南扩展约400m，向北至溢水镇溢水河桥，总面积约13.90km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园区主要发展有色金属新材料下游产业、新型建筑材料产业、非金属新材料产业、电子信息材料产业、生物基材料产业，以谢村镇新型城镇化及村镇建设为基础，配套建设园区综合服务中心及科技研发中心，打造产城融合示范区。规划围绕争创陕南循环经济发展、生态宜居示范县目标，实施工业强县战略，做出重点扶持和推进现代材料工业园区建设的重大决策，以积极推动产城互动，建立“产城园融合、人居业一体”的发展新格局，将洋县现代材料工业园区建设成为“两心、一轴、两带、四片区”的空间结构。</w:t>
                  </w:r>
                </w:p>
              </w:tc>
              <w:tc>
                <w:tcPr>
                  <w:tcW w:w="1346" w:type="dxa"/>
                  <w:vMerge w:val="restart"/>
                  <w:tcBorders>
                    <w:tl2br w:val="nil"/>
                    <w:tr2bl w:val="nil"/>
                  </w:tcBorders>
                  <w:noWrap w:val="0"/>
                  <w:vAlign w:val="center"/>
                </w:tcPr>
                <w:p w14:paraId="316FD41D">
                  <w:pPr>
                    <w:pStyle w:val="45"/>
                    <w:snapToGrid w:val="0"/>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通过对比可知，</w:t>
                  </w:r>
                  <w:r>
                    <w:rPr>
                      <w:rFonts w:hint="default" w:ascii="Times New Roman" w:hAnsi="Times New Roman" w:eastAsia="宋体" w:cs="Times New Roman"/>
                      <w:color w:val="auto"/>
                      <w:sz w:val="21"/>
                      <w:szCs w:val="21"/>
                      <w:highlight w:val="none"/>
                    </w:rPr>
                    <w:t>本项目位于“洋县现代材料工业园区”东部工业发展片区</w:t>
                  </w:r>
                  <w:r>
                    <w:rPr>
                      <w:rFonts w:hint="eastAsia" w:ascii="Times New Roman" w:hAnsi="Times New Roman" w:eastAsia="宋体" w:cs="Times New Roman"/>
                      <w:color w:val="auto"/>
                      <w:sz w:val="21"/>
                      <w:szCs w:val="21"/>
                      <w:highlight w:val="none"/>
                      <w:lang w:eastAsia="zh-CN"/>
                    </w:rPr>
                    <w:t>—生物基材料产业板块</w:t>
                  </w:r>
                  <w:r>
                    <w:rPr>
                      <w:rFonts w:hint="eastAsia" w:ascii="Times New Roman" w:cs="Times New Roman"/>
                      <w:color w:val="auto"/>
                      <w:sz w:val="21"/>
                      <w:szCs w:val="21"/>
                      <w:highlight w:val="none"/>
                      <w:lang w:eastAsia="zh-CN"/>
                    </w:rPr>
                    <w:t>（附图</w:t>
                  </w:r>
                  <w:r>
                    <w:rPr>
                      <w:rFonts w:hint="eastAsia" w:ascii="Times New Roman" w:cs="Times New Roman"/>
                      <w:color w:val="auto"/>
                      <w:sz w:val="21"/>
                      <w:szCs w:val="21"/>
                      <w:highlight w:val="none"/>
                      <w:lang w:val="en-US" w:eastAsia="zh-CN"/>
                    </w:rPr>
                    <w:t>1</w:t>
                  </w:r>
                  <w:r>
                    <w:rPr>
                      <w:rFonts w:hint="eastAsia" w:asci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。根据洋县绿色（有机）循环产业园区管理委员会关于本项目的回复可知，本项目符合园区整体发展方向，考虑到园区土地紧缺等原因，原则同意企业利用现有生物基材料产业板块内场地进行生产。</w:t>
                  </w:r>
                </w:p>
              </w:tc>
              <w:tc>
                <w:tcPr>
                  <w:tcW w:w="698" w:type="dxa"/>
                  <w:tcBorders>
                    <w:tl2br w:val="nil"/>
                    <w:tr2bl w:val="nil"/>
                  </w:tcBorders>
                  <w:noWrap w:val="0"/>
                  <w:vAlign w:val="center"/>
                </w:tcPr>
                <w:p w14:paraId="0E57CA3A">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C005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32" w:hRule="atLeast"/>
                <w:jc w:val="center"/>
              </w:trPr>
              <w:tc>
                <w:tcPr>
                  <w:tcW w:w="1131" w:type="dxa"/>
                  <w:vMerge w:val="continue"/>
                  <w:tcBorders>
                    <w:tl2br w:val="nil"/>
                    <w:tr2bl w:val="nil"/>
                  </w:tcBorders>
                  <w:noWrap w:val="0"/>
                  <w:vAlign w:val="center"/>
                </w:tcPr>
                <w:p w14:paraId="015A3AF1">
                  <w:pPr>
                    <w:pStyle w:val="45"/>
                    <w:snapToGrid w:val="0"/>
                    <w:jc w:val="center"/>
                    <w:rPr>
                      <w:rFonts w:hint="default" w:ascii="Times New Roman" w:hAnsi="Times New Roman" w:eastAsia="宋体" w:cs="Times New Roman"/>
                      <w:color w:val="auto"/>
                      <w:sz w:val="21"/>
                      <w:szCs w:val="21"/>
                      <w:highlight w:val="none"/>
                    </w:rPr>
                  </w:pPr>
                </w:p>
              </w:tc>
              <w:tc>
                <w:tcPr>
                  <w:tcW w:w="4123" w:type="dxa"/>
                  <w:gridSpan w:val="2"/>
                  <w:tcBorders>
                    <w:tl2br w:val="nil"/>
                    <w:tr2bl w:val="nil"/>
                  </w:tcBorders>
                  <w:noWrap w:val="0"/>
                  <w:vAlign w:val="center"/>
                </w:tcPr>
                <w:p w14:paraId="69ACE431">
                  <w:pPr>
                    <w:pStyle w:val="45"/>
                    <w:snapToGrid w:val="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形成“两心、一轴、两带、四片区”的空间结构。“两心”分别指园区科技研发中心、综合服务中心。科技研发中心包括科技、研发、管理、服务等设施；综合服务中心包括行政办公、商业金融、市政设施等。“一轴”指沿国道108形成园区发展主轴，在发展主轴两侧布置公共服务设施用地，为园区的发展起到很好的导向作用。“两带”分别指汉江滨河景观带和溢水河滨河景观带。打造优美和具有吸引力的滨水景观环境。“四片区”指园区内部的四个功能片区，即西部科技研发及配套服务片区、北部工业发展片区、南部综合发展片区、东部工业发展片区。</w:t>
                  </w:r>
                </w:p>
              </w:tc>
              <w:tc>
                <w:tcPr>
                  <w:tcW w:w="1346" w:type="dxa"/>
                  <w:vMerge w:val="continue"/>
                  <w:tcBorders>
                    <w:tl2br w:val="nil"/>
                    <w:tr2bl w:val="nil"/>
                  </w:tcBorders>
                  <w:noWrap w:val="0"/>
                  <w:vAlign w:val="center"/>
                </w:tcPr>
                <w:p w14:paraId="501854D5">
                  <w:pPr>
                    <w:pStyle w:val="45"/>
                    <w:snapToGrid w:val="0"/>
                    <w:jc w:val="both"/>
                    <w:rPr>
                      <w:rFonts w:hint="default" w:ascii="Times New Roman" w:hAnsi="Times New Roman" w:eastAsia="宋体" w:cs="Times New Roman"/>
                      <w:color w:val="auto"/>
                      <w:sz w:val="21"/>
                      <w:szCs w:val="21"/>
                      <w:highlight w:val="none"/>
                    </w:rPr>
                  </w:pPr>
                </w:p>
              </w:tc>
              <w:tc>
                <w:tcPr>
                  <w:tcW w:w="698" w:type="dxa"/>
                  <w:tcBorders>
                    <w:tl2br w:val="nil"/>
                    <w:tr2bl w:val="nil"/>
                  </w:tcBorders>
                  <w:noWrap w:val="0"/>
                  <w:vAlign w:val="center"/>
                </w:tcPr>
                <w:p w14:paraId="2B66BE10">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84D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1131" w:type="dxa"/>
                  <w:tcBorders>
                    <w:tl2br w:val="nil"/>
                    <w:tr2bl w:val="nil"/>
                  </w:tcBorders>
                  <w:noWrap w:val="0"/>
                  <w:vAlign w:val="center"/>
                </w:tcPr>
                <w:p w14:paraId="45A73445">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洋县现代材料工业园区建设规划（2014-2025年）环境影响报告书</w:t>
                  </w:r>
                  <w:r>
                    <w:rPr>
                      <w:rFonts w:hint="default" w:ascii="Times New Roman" w:hAnsi="Times New Roman" w:eastAsia="宋体" w:cs="Times New Roman"/>
                      <w:color w:val="auto"/>
                      <w:sz w:val="21"/>
                      <w:szCs w:val="21"/>
                      <w:highlight w:val="none"/>
                      <w:lang w:val="en-US" w:eastAsia="zh-CN"/>
                    </w:rPr>
                    <w:t>》</w:t>
                  </w:r>
                </w:p>
              </w:tc>
              <w:tc>
                <w:tcPr>
                  <w:tcW w:w="406" w:type="dxa"/>
                  <w:tcBorders>
                    <w:tl2br w:val="nil"/>
                    <w:tr2bl w:val="nil"/>
                  </w:tcBorders>
                  <w:noWrap w:val="0"/>
                  <w:vAlign w:val="center"/>
                </w:tcPr>
                <w:p w14:paraId="19582827">
                  <w:pPr>
                    <w:pStyle w:val="45"/>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入区项目环境准入条件</w:t>
                  </w:r>
                </w:p>
              </w:tc>
              <w:tc>
                <w:tcPr>
                  <w:tcW w:w="3717" w:type="dxa"/>
                  <w:tcBorders>
                    <w:tl2br w:val="nil"/>
                    <w:tr2bl w:val="nil"/>
                  </w:tcBorders>
                  <w:noWrap w:val="0"/>
                  <w:vAlign w:val="center"/>
                </w:tcPr>
                <w:p w14:paraId="79C448C9">
                  <w:pPr>
                    <w:pStyle w:val="45"/>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列入《陕西省汉中市洋县国家重点生态功能区产业准入负面清单》的项目；(2)新建安全风险大、工艺设施落后、安全水平低的项目；(3)新建使用剧毒化学品、有毒气体的项目；(4)排放“三致”（致癌、致畸、致突变）、光气、恶臭污染物等严重影响人身健康和环境质量的项目；(5)禁止新建、扩建技术装备、污染排放、能耗达不到相关行业先进水平的项目；(6)新建和扩建水泥熟料生产线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)新建溶剂提取类、有机废气排放突出的生物基材料项目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)对于能耗总量大于10万吨标煤每年的项目须经节能管理部门批准后方可准入；(</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)综合能耗须符合《陕西省固定资产投资项目节能评估和审查实施暂行办法》要求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)位于汉江干流及主要支流岸线1km范围内的新建危化品码头项目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)新建冶炼烟气排放量项目</w:t>
                  </w:r>
                </w:p>
              </w:tc>
              <w:tc>
                <w:tcPr>
                  <w:tcW w:w="1346" w:type="dxa"/>
                  <w:tcBorders>
                    <w:tl2br w:val="nil"/>
                    <w:tr2bl w:val="nil"/>
                  </w:tcBorders>
                  <w:noWrap w:val="0"/>
                  <w:vAlign w:val="center"/>
                </w:tcPr>
                <w:p w14:paraId="7EFDC63A">
                  <w:pPr>
                    <w:pStyle w:val="45"/>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主要进行</w:t>
                  </w:r>
                  <w:r>
                    <w:rPr>
                      <w:rFonts w:hint="eastAsia" w:ascii="Times New Roman" w:cs="Times New Roman"/>
                      <w:color w:val="auto"/>
                      <w:sz w:val="21"/>
                      <w:szCs w:val="21"/>
                      <w:highlight w:val="none"/>
                      <w:lang w:eastAsia="zh-CN"/>
                    </w:rPr>
                    <w:t>建筑材料</w:t>
                  </w:r>
                  <w:r>
                    <w:rPr>
                      <w:rFonts w:hint="eastAsia" w:ascii="Times New Roman" w:hAnsi="Times New Roman" w:eastAsia="宋体" w:cs="Times New Roman"/>
                      <w:color w:val="auto"/>
                      <w:sz w:val="21"/>
                      <w:szCs w:val="21"/>
                      <w:highlight w:val="none"/>
                      <w:lang w:eastAsia="zh-CN"/>
                    </w:rPr>
                    <w:t>的生产加工，采用目前成熟的生产工艺和设备，不属于高能耗高污染类，并且对各污染物均按照环保要求进行治理，不涉及左侧禁止或限制类目。</w:t>
                  </w:r>
                </w:p>
              </w:tc>
              <w:tc>
                <w:tcPr>
                  <w:tcW w:w="698" w:type="dxa"/>
                  <w:tcBorders>
                    <w:tl2br w:val="nil"/>
                    <w:tr2bl w:val="nil"/>
                  </w:tcBorders>
                  <w:noWrap w:val="0"/>
                  <w:vAlign w:val="center"/>
                </w:tcPr>
                <w:p w14:paraId="19DB8452">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E16E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02" w:hRule="atLeast"/>
                <w:jc w:val="center"/>
              </w:trPr>
              <w:tc>
                <w:tcPr>
                  <w:tcW w:w="1131" w:type="dxa"/>
                  <w:tcBorders>
                    <w:tl2br w:val="nil"/>
                    <w:tr2bl w:val="nil"/>
                  </w:tcBorders>
                  <w:noWrap w:val="0"/>
                  <w:vAlign w:val="center"/>
                </w:tcPr>
                <w:p w14:paraId="405C206F">
                  <w:pPr>
                    <w:pStyle w:val="30"/>
                    <w:adjustRightInd w:val="0"/>
                    <w:snapToGrid w:val="0"/>
                    <w:spacing w:beforeAutospacing="0" w:afterAutospacing="0" w:line="240" w:lineRule="auto"/>
                    <w:ind w:firstLine="0" w:firstLineChars="0"/>
                    <w:jc w:val="center"/>
                    <w:outlineLvl w:val="1"/>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《汉中市</w:t>
                  </w:r>
                  <w:r>
                    <w:rPr>
                      <w:rFonts w:hint="default" w:ascii="Times New Roman" w:hAnsi="Times New Roman" w:eastAsia="宋体" w:cs="Times New Roman"/>
                      <w:color w:val="auto"/>
                      <w:kern w:val="2"/>
                      <w:sz w:val="21"/>
                      <w:szCs w:val="21"/>
                      <w:highlight w:val="none"/>
                      <w:lang w:eastAsia="zh-CN"/>
                    </w:rPr>
                    <w:t>环境保护</w:t>
                  </w:r>
                  <w:r>
                    <w:rPr>
                      <w:rFonts w:hint="default" w:ascii="Times New Roman" w:hAnsi="Times New Roman" w:eastAsia="宋体" w:cs="Times New Roman"/>
                      <w:color w:val="auto"/>
                      <w:kern w:val="2"/>
                      <w:sz w:val="21"/>
                      <w:szCs w:val="21"/>
                      <w:highlight w:val="none"/>
                    </w:rPr>
                    <w:t>局关于洋县现代材料工业园区建设规划（2014-2025年）环境影响报告书审查意见的函》（</w:t>
                  </w:r>
                  <w:r>
                    <w:rPr>
                      <w:rFonts w:hint="default" w:ascii="Times New Roman" w:hAnsi="Times New Roman" w:eastAsia="宋体" w:cs="Times New Roman"/>
                      <w:color w:val="auto"/>
                      <w:kern w:val="2"/>
                      <w:sz w:val="21"/>
                      <w:szCs w:val="21"/>
                      <w:highlight w:val="none"/>
                      <w:lang w:val="en-US" w:eastAsia="zh-CN"/>
                    </w:rPr>
                    <w:t>汉环函[2018]254号</w:t>
                  </w:r>
                  <w:r>
                    <w:rPr>
                      <w:rFonts w:hint="default" w:ascii="Times New Roman" w:hAnsi="Times New Roman" w:eastAsia="宋体" w:cs="Times New Roman"/>
                      <w:color w:val="auto"/>
                      <w:kern w:val="2"/>
                      <w:sz w:val="21"/>
                      <w:szCs w:val="21"/>
                      <w:highlight w:val="none"/>
                    </w:rPr>
                    <w:t>）</w:t>
                  </w:r>
                </w:p>
              </w:tc>
              <w:tc>
                <w:tcPr>
                  <w:tcW w:w="4123" w:type="dxa"/>
                  <w:gridSpan w:val="2"/>
                  <w:tcBorders>
                    <w:tl2br w:val="nil"/>
                    <w:tr2bl w:val="nil"/>
                  </w:tcBorders>
                  <w:noWrap w:val="0"/>
                  <w:vAlign w:val="center"/>
                </w:tcPr>
                <w:p w14:paraId="17E021E4">
                  <w:pPr>
                    <w:adjustRightInd w:val="0"/>
                    <w:snapToGrid w:val="0"/>
                    <w:spacing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加强规划引导，坚持绿色发展和协调发展理念。②优化工业园区的产业定位和结构布局、用地类型，统筹园区现有企业布局。结合区域大气、地表水环境质量改善目标得要求，进一步优化区内能源结构、提升清洁能源使用率、循环利用水平。规划区应明确园区污水处理厂建设计划，同步规划中水回用系统，污废水经处理后尽量综合利用。③严守生态保护红线，加强空间管控。</w:t>
                  </w:r>
                </w:p>
              </w:tc>
              <w:tc>
                <w:tcPr>
                  <w:tcW w:w="1346" w:type="dxa"/>
                  <w:tcBorders>
                    <w:tl2br w:val="nil"/>
                    <w:tr2bl w:val="nil"/>
                  </w:tcBorders>
                  <w:noWrap w:val="0"/>
                  <w:vAlign w:val="center"/>
                </w:tcPr>
                <w:p w14:paraId="0F534088">
                  <w:pPr>
                    <w:adjustRightInd w:val="0"/>
                    <w:snapToGrid w:val="0"/>
                    <w:spacing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r>
                    <w:rPr>
                      <w:rFonts w:hint="eastAsia" w:ascii="Times New Roman" w:hAnsi="Times New Roman" w:eastAsia="宋体" w:cs="Times New Roman"/>
                      <w:color w:val="auto"/>
                      <w:sz w:val="21"/>
                      <w:szCs w:val="21"/>
                      <w:highlight w:val="none"/>
                      <w:lang w:eastAsia="zh-CN"/>
                    </w:rPr>
                    <w:t>厂址不在生态保护红线范围内，运营期</w:t>
                  </w:r>
                  <w:r>
                    <w:rPr>
                      <w:rFonts w:hint="eastAsia" w:ascii="Times New Roman" w:cs="Times New Roman"/>
                      <w:color w:val="auto"/>
                      <w:sz w:val="21"/>
                      <w:szCs w:val="21"/>
                      <w:highlight w:val="none"/>
                    </w:rPr>
                    <w:t>生活污水经化粪池处理后，用于周边农田施肥</w:t>
                  </w:r>
                  <w:r>
                    <w:rPr>
                      <w:rFonts w:hint="eastAsia" w:ascii="Times New Roman" w:cs="Times New Roman"/>
                      <w:color w:val="auto"/>
                      <w:sz w:val="21"/>
                      <w:szCs w:val="21"/>
                      <w:highlight w:val="none"/>
                      <w:lang w:eastAsia="zh-CN"/>
                    </w:rPr>
                    <w:t>，不外排</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eastAsia="zh-CN"/>
                    </w:rPr>
                    <w:t>洗车废水经沉淀池处理后回用。</w:t>
                  </w:r>
                </w:p>
              </w:tc>
              <w:tc>
                <w:tcPr>
                  <w:tcW w:w="698" w:type="dxa"/>
                  <w:tcBorders>
                    <w:tl2br w:val="nil"/>
                    <w:tr2bl w:val="nil"/>
                  </w:tcBorders>
                  <w:noWrap w:val="0"/>
                  <w:vAlign w:val="center"/>
                </w:tcPr>
                <w:p w14:paraId="4F9B3CF6">
                  <w:pPr>
                    <w:pStyle w:val="45"/>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3560116E">
            <w:pPr>
              <w:autoSpaceDE w:val="0"/>
              <w:autoSpaceDN w:val="0"/>
              <w:adjustRightInd w:val="0"/>
              <w:snapToGrid w:val="0"/>
              <w:jc w:val="center"/>
              <w:rPr>
                <w:color w:val="auto"/>
                <w:kern w:val="0"/>
                <w:sz w:val="24"/>
                <w:highlight w:val="none"/>
              </w:rPr>
            </w:pPr>
          </w:p>
        </w:tc>
      </w:tr>
      <w:tr w14:paraId="07575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7" w:type="dxa"/>
            <w:vAlign w:val="center"/>
          </w:tcPr>
          <w:p w14:paraId="184384F6">
            <w:pPr>
              <w:autoSpaceDE w:val="0"/>
              <w:autoSpaceDN w:val="0"/>
              <w:adjustRightInd w:val="0"/>
              <w:snapToGrid w:val="0"/>
              <w:jc w:val="center"/>
              <w:rPr>
                <w:color w:val="auto"/>
                <w:kern w:val="0"/>
                <w:sz w:val="24"/>
                <w:highlight w:val="none"/>
              </w:rPr>
            </w:pPr>
          </w:p>
          <w:p w14:paraId="0567DBCA">
            <w:pPr>
              <w:autoSpaceDE w:val="0"/>
              <w:autoSpaceDN w:val="0"/>
              <w:adjustRightInd w:val="0"/>
              <w:snapToGrid w:val="0"/>
              <w:jc w:val="center"/>
              <w:rPr>
                <w:color w:val="auto"/>
                <w:kern w:val="0"/>
                <w:sz w:val="24"/>
                <w:highlight w:val="none"/>
              </w:rPr>
            </w:pPr>
          </w:p>
          <w:p w14:paraId="39B3A61C">
            <w:pPr>
              <w:autoSpaceDE w:val="0"/>
              <w:autoSpaceDN w:val="0"/>
              <w:adjustRightInd w:val="0"/>
              <w:snapToGrid w:val="0"/>
              <w:jc w:val="center"/>
              <w:rPr>
                <w:color w:val="auto"/>
                <w:kern w:val="0"/>
                <w:sz w:val="24"/>
                <w:highlight w:val="none"/>
              </w:rPr>
            </w:pPr>
          </w:p>
          <w:p w14:paraId="1DF0CD9C">
            <w:pPr>
              <w:autoSpaceDE w:val="0"/>
              <w:autoSpaceDN w:val="0"/>
              <w:adjustRightInd w:val="0"/>
              <w:snapToGrid w:val="0"/>
              <w:jc w:val="center"/>
              <w:rPr>
                <w:color w:val="auto"/>
                <w:kern w:val="0"/>
                <w:sz w:val="24"/>
                <w:highlight w:val="none"/>
              </w:rPr>
            </w:pPr>
          </w:p>
          <w:p w14:paraId="0A4E72CF">
            <w:pPr>
              <w:autoSpaceDE w:val="0"/>
              <w:autoSpaceDN w:val="0"/>
              <w:adjustRightInd w:val="0"/>
              <w:snapToGrid w:val="0"/>
              <w:jc w:val="center"/>
              <w:rPr>
                <w:color w:val="auto"/>
                <w:kern w:val="0"/>
                <w:sz w:val="24"/>
                <w:highlight w:val="none"/>
              </w:rPr>
            </w:pPr>
          </w:p>
          <w:p w14:paraId="39E362D4">
            <w:pPr>
              <w:autoSpaceDE w:val="0"/>
              <w:autoSpaceDN w:val="0"/>
              <w:adjustRightInd w:val="0"/>
              <w:snapToGrid w:val="0"/>
              <w:jc w:val="center"/>
              <w:rPr>
                <w:color w:val="auto"/>
                <w:kern w:val="0"/>
                <w:sz w:val="24"/>
                <w:highlight w:val="none"/>
              </w:rPr>
            </w:pPr>
          </w:p>
          <w:p w14:paraId="2274831F">
            <w:pPr>
              <w:autoSpaceDE w:val="0"/>
              <w:autoSpaceDN w:val="0"/>
              <w:adjustRightInd w:val="0"/>
              <w:snapToGrid w:val="0"/>
              <w:jc w:val="center"/>
              <w:rPr>
                <w:color w:val="auto"/>
                <w:kern w:val="0"/>
                <w:sz w:val="24"/>
                <w:highlight w:val="none"/>
              </w:rPr>
            </w:pPr>
          </w:p>
          <w:p w14:paraId="4D854C8C">
            <w:pPr>
              <w:autoSpaceDE w:val="0"/>
              <w:autoSpaceDN w:val="0"/>
              <w:adjustRightInd w:val="0"/>
              <w:snapToGrid w:val="0"/>
              <w:jc w:val="center"/>
              <w:rPr>
                <w:color w:val="auto"/>
                <w:kern w:val="0"/>
                <w:sz w:val="24"/>
                <w:highlight w:val="none"/>
              </w:rPr>
            </w:pPr>
          </w:p>
          <w:p w14:paraId="2BB96C89">
            <w:pPr>
              <w:autoSpaceDE w:val="0"/>
              <w:autoSpaceDN w:val="0"/>
              <w:adjustRightInd w:val="0"/>
              <w:snapToGrid w:val="0"/>
              <w:jc w:val="center"/>
              <w:rPr>
                <w:color w:val="auto"/>
                <w:kern w:val="0"/>
                <w:sz w:val="24"/>
                <w:highlight w:val="none"/>
              </w:rPr>
            </w:pPr>
          </w:p>
          <w:p w14:paraId="4CA88632">
            <w:pPr>
              <w:autoSpaceDE w:val="0"/>
              <w:autoSpaceDN w:val="0"/>
              <w:adjustRightInd w:val="0"/>
              <w:snapToGrid w:val="0"/>
              <w:jc w:val="both"/>
              <w:rPr>
                <w:color w:val="auto"/>
                <w:kern w:val="0"/>
                <w:sz w:val="24"/>
                <w:highlight w:val="none"/>
              </w:rPr>
            </w:pPr>
          </w:p>
          <w:p w14:paraId="398E124C">
            <w:pPr>
              <w:pStyle w:val="2"/>
              <w:rPr>
                <w:color w:val="auto"/>
                <w:kern w:val="0"/>
                <w:sz w:val="24"/>
                <w:highlight w:val="none"/>
              </w:rPr>
            </w:pPr>
          </w:p>
          <w:p w14:paraId="7836B378">
            <w:pPr>
              <w:pStyle w:val="2"/>
              <w:rPr>
                <w:color w:val="auto"/>
                <w:kern w:val="0"/>
                <w:sz w:val="24"/>
                <w:highlight w:val="none"/>
              </w:rPr>
            </w:pPr>
          </w:p>
          <w:p w14:paraId="2856D5EF">
            <w:pPr>
              <w:pStyle w:val="2"/>
              <w:rPr>
                <w:color w:val="auto"/>
                <w:kern w:val="0"/>
                <w:sz w:val="24"/>
                <w:highlight w:val="none"/>
              </w:rPr>
            </w:pPr>
          </w:p>
          <w:p w14:paraId="67D092AF">
            <w:pPr>
              <w:pStyle w:val="2"/>
              <w:rPr>
                <w:color w:val="auto"/>
                <w:kern w:val="0"/>
                <w:sz w:val="24"/>
                <w:highlight w:val="none"/>
              </w:rPr>
            </w:pPr>
          </w:p>
          <w:p w14:paraId="30FAA58D">
            <w:pPr>
              <w:autoSpaceDE w:val="0"/>
              <w:autoSpaceDN w:val="0"/>
              <w:adjustRightInd w:val="0"/>
              <w:snapToGrid w:val="0"/>
              <w:jc w:val="center"/>
              <w:rPr>
                <w:color w:val="auto"/>
                <w:kern w:val="0"/>
                <w:sz w:val="24"/>
                <w:highlight w:val="none"/>
              </w:rPr>
            </w:pPr>
            <w:r>
              <w:rPr>
                <w:color w:val="auto"/>
                <w:kern w:val="0"/>
                <w:sz w:val="24"/>
                <w:highlight w:val="none"/>
              </w:rPr>
              <w:t>其</w:t>
            </w:r>
          </w:p>
          <w:p w14:paraId="145FAF77">
            <w:pPr>
              <w:autoSpaceDE w:val="0"/>
              <w:autoSpaceDN w:val="0"/>
              <w:adjustRightInd w:val="0"/>
              <w:snapToGrid w:val="0"/>
              <w:jc w:val="center"/>
              <w:rPr>
                <w:color w:val="auto"/>
                <w:kern w:val="0"/>
                <w:sz w:val="24"/>
                <w:highlight w:val="none"/>
              </w:rPr>
            </w:pPr>
            <w:r>
              <w:rPr>
                <w:color w:val="auto"/>
                <w:kern w:val="0"/>
                <w:sz w:val="24"/>
                <w:highlight w:val="none"/>
              </w:rPr>
              <w:t>他</w:t>
            </w:r>
          </w:p>
          <w:p w14:paraId="29F44FD9">
            <w:pPr>
              <w:autoSpaceDE w:val="0"/>
              <w:autoSpaceDN w:val="0"/>
              <w:adjustRightInd w:val="0"/>
              <w:snapToGrid w:val="0"/>
              <w:jc w:val="center"/>
              <w:rPr>
                <w:color w:val="auto"/>
                <w:kern w:val="0"/>
                <w:sz w:val="24"/>
                <w:highlight w:val="none"/>
              </w:rPr>
            </w:pPr>
            <w:r>
              <w:rPr>
                <w:color w:val="auto"/>
                <w:kern w:val="0"/>
                <w:sz w:val="24"/>
                <w:highlight w:val="none"/>
              </w:rPr>
              <w:t>符</w:t>
            </w:r>
          </w:p>
          <w:p w14:paraId="451288B4">
            <w:pPr>
              <w:autoSpaceDE w:val="0"/>
              <w:autoSpaceDN w:val="0"/>
              <w:adjustRightInd w:val="0"/>
              <w:snapToGrid w:val="0"/>
              <w:jc w:val="center"/>
              <w:rPr>
                <w:color w:val="auto"/>
                <w:kern w:val="0"/>
                <w:sz w:val="24"/>
                <w:highlight w:val="none"/>
              </w:rPr>
            </w:pPr>
            <w:r>
              <w:rPr>
                <w:color w:val="auto"/>
                <w:kern w:val="0"/>
                <w:sz w:val="24"/>
                <w:highlight w:val="none"/>
              </w:rPr>
              <w:t>合</w:t>
            </w:r>
          </w:p>
          <w:p w14:paraId="17A268B4">
            <w:pPr>
              <w:autoSpaceDE w:val="0"/>
              <w:autoSpaceDN w:val="0"/>
              <w:adjustRightInd w:val="0"/>
              <w:snapToGrid w:val="0"/>
              <w:jc w:val="center"/>
              <w:rPr>
                <w:color w:val="auto"/>
                <w:kern w:val="0"/>
                <w:sz w:val="24"/>
                <w:highlight w:val="none"/>
              </w:rPr>
            </w:pPr>
            <w:r>
              <w:rPr>
                <w:color w:val="auto"/>
                <w:kern w:val="0"/>
                <w:sz w:val="24"/>
                <w:highlight w:val="none"/>
              </w:rPr>
              <w:t>性</w:t>
            </w:r>
          </w:p>
          <w:p w14:paraId="55C84193">
            <w:pPr>
              <w:autoSpaceDE w:val="0"/>
              <w:autoSpaceDN w:val="0"/>
              <w:adjustRightInd w:val="0"/>
              <w:snapToGrid w:val="0"/>
              <w:jc w:val="center"/>
              <w:rPr>
                <w:color w:val="auto"/>
                <w:kern w:val="0"/>
                <w:sz w:val="24"/>
                <w:highlight w:val="none"/>
              </w:rPr>
            </w:pPr>
            <w:r>
              <w:rPr>
                <w:color w:val="auto"/>
                <w:kern w:val="0"/>
                <w:sz w:val="24"/>
                <w:highlight w:val="none"/>
              </w:rPr>
              <w:t>分</w:t>
            </w:r>
          </w:p>
          <w:p w14:paraId="182D64C6">
            <w:pPr>
              <w:autoSpaceDE w:val="0"/>
              <w:autoSpaceDN w:val="0"/>
              <w:adjustRightInd w:val="0"/>
              <w:snapToGrid w:val="0"/>
              <w:jc w:val="center"/>
              <w:rPr>
                <w:color w:val="auto"/>
                <w:kern w:val="0"/>
                <w:sz w:val="24"/>
                <w:highlight w:val="none"/>
              </w:rPr>
            </w:pPr>
            <w:r>
              <w:rPr>
                <w:color w:val="auto"/>
                <w:kern w:val="0"/>
                <w:sz w:val="24"/>
                <w:highlight w:val="none"/>
              </w:rPr>
              <w:t>析</w:t>
            </w:r>
          </w:p>
          <w:p w14:paraId="51042201">
            <w:pPr>
              <w:autoSpaceDE w:val="0"/>
              <w:autoSpaceDN w:val="0"/>
              <w:adjustRightInd w:val="0"/>
              <w:snapToGrid w:val="0"/>
              <w:jc w:val="center"/>
              <w:rPr>
                <w:color w:val="auto"/>
                <w:kern w:val="0"/>
                <w:sz w:val="24"/>
                <w:highlight w:val="none"/>
              </w:rPr>
            </w:pPr>
          </w:p>
          <w:p w14:paraId="6769E00A">
            <w:pPr>
              <w:autoSpaceDE w:val="0"/>
              <w:autoSpaceDN w:val="0"/>
              <w:adjustRightInd w:val="0"/>
              <w:snapToGrid w:val="0"/>
              <w:jc w:val="center"/>
              <w:rPr>
                <w:color w:val="auto"/>
                <w:kern w:val="0"/>
                <w:sz w:val="24"/>
                <w:highlight w:val="none"/>
              </w:rPr>
            </w:pPr>
          </w:p>
          <w:p w14:paraId="70002DFE">
            <w:pPr>
              <w:autoSpaceDE w:val="0"/>
              <w:autoSpaceDN w:val="0"/>
              <w:adjustRightInd w:val="0"/>
              <w:snapToGrid w:val="0"/>
              <w:jc w:val="center"/>
              <w:rPr>
                <w:color w:val="auto"/>
                <w:kern w:val="0"/>
                <w:sz w:val="24"/>
                <w:highlight w:val="none"/>
              </w:rPr>
            </w:pPr>
          </w:p>
          <w:p w14:paraId="7F3C10C6">
            <w:pPr>
              <w:autoSpaceDE w:val="0"/>
              <w:autoSpaceDN w:val="0"/>
              <w:adjustRightInd w:val="0"/>
              <w:snapToGrid w:val="0"/>
              <w:jc w:val="center"/>
              <w:rPr>
                <w:color w:val="auto"/>
                <w:kern w:val="0"/>
                <w:sz w:val="24"/>
                <w:highlight w:val="none"/>
              </w:rPr>
            </w:pPr>
          </w:p>
          <w:p w14:paraId="1FD2E6B4">
            <w:pPr>
              <w:autoSpaceDE w:val="0"/>
              <w:autoSpaceDN w:val="0"/>
              <w:adjustRightInd w:val="0"/>
              <w:snapToGrid w:val="0"/>
              <w:jc w:val="center"/>
              <w:rPr>
                <w:color w:val="auto"/>
                <w:kern w:val="0"/>
                <w:sz w:val="24"/>
                <w:highlight w:val="none"/>
              </w:rPr>
            </w:pPr>
          </w:p>
          <w:p w14:paraId="5227D135">
            <w:pPr>
              <w:autoSpaceDE w:val="0"/>
              <w:autoSpaceDN w:val="0"/>
              <w:adjustRightInd w:val="0"/>
              <w:snapToGrid w:val="0"/>
              <w:jc w:val="center"/>
              <w:rPr>
                <w:color w:val="auto"/>
                <w:kern w:val="0"/>
                <w:sz w:val="24"/>
                <w:highlight w:val="none"/>
              </w:rPr>
            </w:pPr>
          </w:p>
          <w:p w14:paraId="2CEAA403">
            <w:pPr>
              <w:autoSpaceDE w:val="0"/>
              <w:autoSpaceDN w:val="0"/>
              <w:adjustRightInd w:val="0"/>
              <w:snapToGrid w:val="0"/>
              <w:jc w:val="center"/>
              <w:rPr>
                <w:color w:val="auto"/>
                <w:kern w:val="0"/>
                <w:sz w:val="24"/>
                <w:highlight w:val="none"/>
              </w:rPr>
            </w:pPr>
          </w:p>
          <w:p w14:paraId="4277CDCA">
            <w:pPr>
              <w:autoSpaceDE w:val="0"/>
              <w:autoSpaceDN w:val="0"/>
              <w:adjustRightInd w:val="0"/>
              <w:snapToGrid w:val="0"/>
              <w:jc w:val="center"/>
              <w:rPr>
                <w:color w:val="auto"/>
                <w:kern w:val="0"/>
                <w:sz w:val="24"/>
                <w:highlight w:val="none"/>
              </w:rPr>
            </w:pPr>
          </w:p>
          <w:p w14:paraId="69C77177">
            <w:pPr>
              <w:autoSpaceDE w:val="0"/>
              <w:autoSpaceDN w:val="0"/>
              <w:adjustRightInd w:val="0"/>
              <w:snapToGrid w:val="0"/>
              <w:jc w:val="center"/>
              <w:rPr>
                <w:color w:val="auto"/>
                <w:kern w:val="0"/>
                <w:sz w:val="24"/>
                <w:highlight w:val="none"/>
              </w:rPr>
            </w:pPr>
          </w:p>
          <w:p w14:paraId="46E52B87">
            <w:pPr>
              <w:autoSpaceDE w:val="0"/>
              <w:autoSpaceDN w:val="0"/>
              <w:adjustRightInd w:val="0"/>
              <w:snapToGrid w:val="0"/>
              <w:jc w:val="center"/>
              <w:rPr>
                <w:color w:val="auto"/>
                <w:kern w:val="0"/>
                <w:sz w:val="24"/>
                <w:highlight w:val="none"/>
              </w:rPr>
            </w:pPr>
          </w:p>
          <w:p w14:paraId="422B267E">
            <w:pPr>
              <w:autoSpaceDE w:val="0"/>
              <w:autoSpaceDN w:val="0"/>
              <w:adjustRightInd w:val="0"/>
              <w:snapToGrid w:val="0"/>
              <w:jc w:val="center"/>
              <w:rPr>
                <w:color w:val="auto"/>
                <w:kern w:val="0"/>
                <w:sz w:val="24"/>
                <w:highlight w:val="none"/>
              </w:rPr>
            </w:pPr>
          </w:p>
          <w:p w14:paraId="3F4C2348">
            <w:pPr>
              <w:autoSpaceDE w:val="0"/>
              <w:autoSpaceDN w:val="0"/>
              <w:adjustRightInd w:val="0"/>
              <w:snapToGrid w:val="0"/>
              <w:jc w:val="center"/>
              <w:rPr>
                <w:color w:val="auto"/>
                <w:kern w:val="0"/>
                <w:sz w:val="24"/>
                <w:highlight w:val="none"/>
              </w:rPr>
            </w:pPr>
          </w:p>
          <w:p w14:paraId="0AB41C11">
            <w:pPr>
              <w:autoSpaceDE w:val="0"/>
              <w:autoSpaceDN w:val="0"/>
              <w:adjustRightInd w:val="0"/>
              <w:snapToGrid w:val="0"/>
              <w:jc w:val="center"/>
              <w:rPr>
                <w:color w:val="auto"/>
                <w:kern w:val="0"/>
                <w:sz w:val="24"/>
                <w:highlight w:val="none"/>
              </w:rPr>
            </w:pPr>
          </w:p>
          <w:p w14:paraId="223F57BC">
            <w:pPr>
              <w:autoSpaceDE w:val="0"/>
              <w:autoSpaceDN w:val="0"/>
              <w:adjustRightInd w:val="0"/>
              <w:snapToGrid w:val="0"/>
              <w:jc w:val="center"/>
              <w:rPr>
                <w:color w:val="auto"/>
                <w:kern w:val="0"/>
                <w:sz w:val="24"/>
                <w:highlight w:val="none"/>
              </w:rPr>
            </w:pPr>
          </w:p>
          <w:p w14:paraId="0AF21E3A">
            <w:pPr>
              <w:autoSpaceDE w:val="0"/>
              <w:autoSpaceDN w:val="0"/>
              <w:adjustRightInd w:val="0"/>
              <w:snapToGrid w:val="0"/>
              <w:jc w:val="center"/>
              <w:rPr>
                <w:color w:val="auto"/>
                <w:kern w:val="0"/>
                <w:sz w:val="24"/>
                <w:highlight w:val="none"/>
              </w:rPr>
            </w:pPr>
          </w:p>
          <w:p w14:paraId="74723331">
            <w:pPr>
              <w:autoSpaceDE w:val="0"/>
              <w:autoSpaceDN w:val="0"/>
              <w:adjustRightInd w:val="0"/>
              <w:snapToGrid w:val="0"/>
              <w:jc w:val="center"/>
              <w:rPr>
                <w:color w:val="auto"/>
                <w:kern w:val="0"/>
                <w:sz w:val="24"/>
                <w:highlight w:val="none"/>
              </w:rPr>
            </w:pPr>
          </w:p>
          <w:p w14:paraId="0DCCA7B1">
            <w:pPr>
              <w:autoSpaceDE w:val="0"/>
              <w:autoSpaceDN w:val="0"/>
              <w:adjustRightInd w:val="0"/>
              <w:snapToGrid w:val="0"/>
              <w:jc w:val="center"/>
              <w:rPr>
                <w:color w:val="auto"/>
                <w:kern w:val="0"/>
                <w:sz w:val="24"/>
                <w:highlight w:val="none"/>
              </w:rPr>
            </w:pPr>
          </w:p>
          <w:p w14:paraId="4D922A11">
            <w:pPr>
              <w:autoSpaceDE w:val="0"/>
              <w:autoSpaceDN w:val="0"/>
              <w:adjustRightInd w:val="0"/>
              <w:snapToGrid w:val="0"/>
              <w:jc w:val="center"/>
              <w:rPr>
                <w:color w:val="auto"/>
                <w:kern w:val="0"/>
                <w:sz w:val="24"/>
                <w:highlight w:val="none"/>
              </w:rPr>
            </w:pPr>
          </w:p>
          <w:p w14:paraId="476C0B63">
            <w:pPr>
              <w:autoSpaceDE w:val="0"/>
              <w:autoSpaceDN w:val="0"/>
              <w:adjustRightInd w:val="0"/>
              <w:snapToGrid w:val="0"/>
              <w:jc w:val="center"/>
              <w:rPr>
                <w:color w:val="auto"/>
                <w:kern w:val="0"/>
                <w:sz w:val="24"/>
                <w:highlight w:val="none"/>
              </w:rPr>
            </w:pPr>
          </w:p>
          <w:p w14:paraId="171D0433">
            <w:pPr>
              <w:autoSpaceDE w:val="0"/>
              <w:autoSpaceDN w:val="0"/>
              <w:adjustRightInd w:val="0"/>
              <w:snapToGrid w:val="0"/>
              <w:jc w:val="center"/>
              <w:rPr>
                <w:color w:val="auto"/>
                <w:kern w:val="0"/>
                <w:sz w:val="24"/>
                <w:highlight w:val="none"/>
              </w:rPr>
            </w:pPr>
          </w:p>
          <w:p w14:paraId="3AC080F5">
            <w:pPr>
              <w:autoSpaceDE w:val="0"/>
              <w:autoSpaceDN w:val="0"/>
              <w:adjustRightInd w:val="0"/>
              <w:snapToGrid w:val="0"/>
              <w:jc w:val="center"/>
              <w:rPr>
                <w:color w:val="auto"/>
                <w:kern w:val="0"/>
                <w:sz w:val="24"/>
                <w:highlight w:val="none"/>
              </w:rPr>
            </w:pPr>
          </w:p>
          <w:p w14:paraId="05CEC503">
            <w:pPr>
              <w:autoSpaceDE w:val="0"/>
              <w:autoSpaceDN w:val="0"/>
              <w:adjustRightInd w:val="0"/>
              <w:snapToGrid w:val="0"/>
              <w:jc w:val="center"/>
              <w:rPr>
                <w:color w:val="auto"/>
                <w:kern w:val="0"/>
                <w:sz w:val="24"/>
                <w:highlight w:val="none"/>
              </w:rPr>
            </w:pPr>
          </w:p>
          <w:p w14:paraId="1ABB38CE">
            <w:pPr>
              <w:autoSpaceDE w:val="0"/>
              <w:autoSpaceDN w:val="0"/>
              <w:adjustRightInd w:val="0"/>
              <w:snapToGrid w:val="0"/>
              <w:jc w:val="center"/>
              <w:rPr>
                <w:color w:val="auto"/>
                <w:kern w:val="0"/>
                <w:sz w:val="24"/>
                <w:highlight w:val="none"/>
              </w:rPr>
            </w:pPr>
          </w:p>
          <w:p w14:paraId="776CBAB7">
            <w:pPr>
              <w:autoSpaceDE w:val="0"/>
              <w:autoSpaceDN w:val="0"/>
              <w:adjustRightInd w:val="0"/>
              <w:snapToGrid w:val="0"/>
              <w:jc w:val="center"/>
              <w:rPr>
                <w:color w:val="auto"/>
                <w:kern w:val="0"/>
                <w:sz w:val="24"/>
                <w:highlight w:val="none"/>
              </w:rPr>
            </w:pPr>
          </w:p>
          <w:p w14:paraId="45F629D9">
            <w:pPr>
              <w:autoSpaceDE w:val="0"/>
              <w:autoSpaceDN w:val="0"/>
              <w:adjustRightInd w:val="0"/>
              <w:snapToGrid w:val="0"/>
              <w:jc w:val="center"/>
              <w:rPr>
                <w:color w:val="auto"/>
                <w:kern w:val="0"/>
                <w:sz w:val="24"/>
                <w:highlight w:val="none"/>
              </w:rPr>
            </w:pPr>
          </w:p>
          <w:p w14:paraId="59B6D79C">
            <w:pPr>
              <w:autoSpaceDE w:val="0"/>
              <w:autoSpaceDN w:val="0"/>
              <w:adjustRightInd w:val="0"/>
              <w:snapToGrid w:val="0"/>
              <w:jc w:val="center"/>
              <w:rPr>
                <w:color w:val="auto"/>
                <w:kern w:val="0"/>
                <w:sz w:val="24"/>
                <w:highlight w:val="none"/>
              </w:rPr>
            </w:pPr>
          </w:p>
          <w:p w14:paraId="63D94BA6">
            <w:pPr>
              <w:autoSpaceDE w:val="0"/>
              <w:autoSpaceDN w:val="0"/>
              <w:adjustRightInd w:val="0"/>
              <w:snapToGrid w:val="0"/>
              <w:jc w:val="center"/>
              <w:rPr>
                <w:color w:val="auto"/>
                <w:kern w:val="0"/>
                <w:sz w:val="24"/>
                <w:highlight w:val="none"/>
              </w:rPr>
            </w:pPr>
          </w:p>
          <w:p w14:paraId="3823D3F1">
            <w:pPr>
              <w:autoSpaceDE w:val="0"/>
              <w:autoSpaceDN w:val="0"/>
              <w:adjustRightInd w:val="0"/>
              <w:snapToGrid w:val="0"/>
              <w:jc w:val="center"/>
              <w:rPr>
                <w:color w:val="auto"/>
                <w:kern w:val="0"/>
                <w:sz w:val="24"/>
                <w:highlight w:val="none"/>
              </w:rPr>
            </w:pPr>
          </w:p>
          <w:p w14:paraId="1A2BDB46">
            <w:pPr>
              <w:autoSpaceDE w:val="0"/>
              <w:autoSpaceDN w:val="0"/>
              <w:adjustRightInd w:val="0"/>
              <w:snapToGrid w:val="0"/>
              <w:jc w:val="center"/>
              <w:rPr>
                <w:color w:val="auto"/>
                <w:kern w:val="0"/>
                <w:sz w:val="24"/>
                <w:highlight w:val="none"/>
              </w:rPr>
            </w:pPr>
          </w:p>
          <w:p w14:paraId="2798C67B">
            <w:pPr>
              <w:autoSpaceDE w:val="0"/>
              <w:autoSpaceDN w:val="0"/>
              <w:adjustRightInd w:val="0"/>
              <w:snapToGrid w:val="0"/>
              <w:jc w:val="center"/>
              <w:rPr>
                <w:color w:val="auto"/>
                <w:kern w:val="0"/>
                <w:sz w:val="24"/>
                <w:highlight w:val="none"/>
              </w:rPr>
            </w:pPr>
          </w:p>
          <w:p w14:paraId="4173A252">
            <w:pPr>
              <w:autoSpaceDE w:val="0"/>
              <w:autoSpaceDN w:val="0"/>
              <w:adjustRightInd w:val="0"/>
              <w:snapToGrid w:val="0"/>
              <w:jc w:val="center"/>
              <w:rPr>
                <w:color w:val="auto"/>
                <w:kern w:val="0"/>
                <w:sz w:val="24"/>
                <w:highlight w:val="none"/>
              </w:rPr>
            </w:pPr>
          </w:p>
          <w:p w14:paraId="1B5D8E70">
            <w:pPr>
              <w:autoSpaceDE w:val="0"/>
              <w:autoSpaceDN w:val="0"/>
              <w:adjustRightInd w:val="0"/>
              <w:snapToGrid w:val="0"/>
              <w:jc w:val="center"/>
              <w:rPr>
                <w:color w:val="auto"/>
                <w:kern w:val="0"/>
                <w:sz w:val="24"/>
                <w:highlight w:val="none"/>
              </w:rPr>
            </w:pPr>
          </w:p>
          <w:p w14:paraId="39BCA8EA">
            <w:pPr>
              <w:autoSpaceDE w:val="0"/>
              <w:autoSpaceDN w:val="0"/>
              <w:adjustRightInd w:val="0"/>
              <w:snapToGrid w:val="0"/>
              <w:jc w:val="center"/>
              <w:rPr>
                <w:color w:val="auto"/>
                <w:kern w:val="0"/>
                <w:sz w:val="24"/>
                <w:highlight w:val="none"/>
              </w:rPr>
            </w:pPr>
          </w:p>
          <w:p w14:paraId="0BBD6C1C">
            <w:pPr>
              <w:autoSpaceDE w:val="0"/>
              <w:autoSpaceDN w:val="0"/>
              <w:adjustRightInd w:val="0"/>
              <w:snapToGrid w:val="0"/>
              <w:jc w:val="both"/>
              <w:rPr>
                <w:color w:val="auto"/>
                <w:kern w:val="0"/>
                <w:sz w:val="24"/>
                <w:highlight w:val="none"/>
              </w:rPr>
            </w:pPr>
          </w:p>
          <w:p w14:paraId="0764FCE2">
            <w:pPr>
              <w:autoSpaceDE w:val="0"/>
              <w:autoSpaceDN w:val="0"/>
              <w:adjustRightInd w:val="0"/>
              <w:snapToGrid w:val="0"/>
              <w:jc w:val="center"/>
              <w:rPr>
                <w:color w:val="auto"/>
                <w:kern w:val="0"/>
                <w:sz w:val="24"/>
                <w:highlight w:val="none"/>
              </w:rPr>
            </w:pPr>
            <w:r>
              <w:rPr>
                <w:color w:val="auto"/>
                <w:kern w:val="0"/>
                <w:sz w:val="24"/>
                <w:highlight w:val="none"/>
              </w:rPr>
              <w:t>其</w:t>
            </w:r>
          </w:p>
          <w:p w14:paraId="65801251">
            <w:pPr>
              <w:autoSpaceDE w:val="0"/>
              <w:autoSpaceDN w:val="0"/>
              <w:adjustRightInd w:val="0"/>
              <w:snapToGrid w:val="0"/>
              <w:jc w:val="center"/>
              <w:rPr>
                <w:color w:val="auto"/>
                <w:kern w:val="0"/>
                <w:sz w:val="24"/>
                <w:highlight w:val="none"/>
              </w:rPr>
            </w:pPr>
            <w:r>
              <w:rPr>
                <w:color w:val="auto"/>
                <w:kern w:val="0"/>
                <w:sz w:val="24"/>
                <w:highlight w:val="none"/>
              </w:rPr>
              <w:t>他</w:t>
            </w:r>
          </w:p>
          <w:p w14:paraId="0A403B2D">
            <w:pPr>
              <w:autoSpaceDE w:val="0"/>
              <w:autoSpaceDN w:val="0"/>
              <w:adjustRightInd w:val="0"/>
              <w:snapToGrid w:val="0"/>
              <w:jc w:val="center"/>
              <w:rPr>
                <w:color w:val="auto"/>
                <w:kern w:val="0"/>
                <w:sz w:val="24"/>
                <w:highlight w:val="none"/>
              </w:rPr>
            </w:pPr>
            <w:r>
              <w:rPr>
                <w:color w:val="auto"/>
                <w:kern w:val="0"/>
                <w:sz w:val="24"/>
                <w:highlight w:val="none"/>
              </w:rPr>
              <w:t>符</w:t>
            </w:r>
          </w:p>
          <w:p w14:paraId="3D7D39A5">
            <w:pPr>
              <w:autoSpaceDE w:val="0"/>
              <w:autoSpaceDN w:val="0"/>
              <w:adjustRightInd w:val="0"/>
              <w:snapToGrid w:val="0"/>
              <w:jc w:val="center"/>
              <w:rPr>
                <w:color w:val="auto"/>
                <w:kern w:val="0"/>
                <w:sz w:val="24"/>
                <w:highlight w:val="none"/>
              </w:rPr>
            </w:pPr>
            <w:r>
              <w:rPr>
                <w:color w:val="auto"/>
                <w:kern w:val="0"/>
                <w:sz w:val="24"/>
                <w:highlight w:val="none"/>
              </w:rPr>
              <w:t>合</w:t>
            </w:r>
          </w:p>
          <w:p w14:paraId="65FD78EA">
            <w:pPr>
              <w:autoSpaceDE w:val="0"/>
              <w:autoSpaceDN w:val="0"/>
              <w:adjustRightInd w:val="0"/>
              <w:snapToGrid w:val="0"/>
              <w:jc w:val="center"/>
              <w:rPr>
                <w:color w:val="auto"/>
                <w:kern w:val="0"/>
                <w:sz w:val="24"/>
                <w:highlight w:val="none"/>
              </w:rPr>
            </w:pPr>
            <w:r>
              <w:rPr>
                <w:color w:val="auto"/>
                <w:kern w:val="0"/>
                <w:sz w:val="24"/>
                <w:highlight w:val="none"/>
              </w:rPr>
              <w:t>性</w:t>
            </w:r>
          </w:p>
          <w:p w14:paraId="7AF14ACF">
            <w:pPr>
              <w:autoSpaceDE w:val="0"/>
              <w:autoSpaceDN w:val="0"/>
              <w:adjustRightInd w:val="0"/>
              <w:snapToGrid w:val="0"/>
              <w:jc w:val="center"/>
              <w:rPr>
                <w:color w:val="auto"/>
                <w:kern w:val="0"/>
                <w:sz w:val="24"/>
                <w:highlight w:val="none"/>
              </w:rPr>
            </w:pPr>
            <w:r>
              <w:rPr>
                <w:color w:val="auto"/>
                <w:kern w:val="0"/>
                <w:sz w:val="24"/>
                <w:highlight w:val="none"/>
              </w:rPr>
              <w:t>分</w:t>
            </w:r>
          </w:p>
          <w:p w14:paraId="2AFA921C">
            <w:pPr>
              <w:autoSpaceDE w:val="0"/>
              <w:autoSpaceDN w:val="0"/>
              <w:adjustRightInd w:val="0"/>
              <w:snapToGrid w:val="0"/>
              <w:jc w:val="center"/>
              <w:rPr>
                <w:color w:val="auto"/>
                <w:kern w:val="0"/>
                <w:sz w:val="24"/>
                <w:highlight w:val="none"/>
              </w:rPr>
            </w:pPr>
            <w:r>
              <w:rPr>
                <w:color w:val="auto"/>
                <w:kern w:val="0"/>
                <w:sz w:val="24"/>
                <w:highlight w:val="none"/>
              </w:rPr>
              <w:t>析</w:t>
            </w:r>
          </w:p>
          <w:p w14:paraId="482EB3B2">
            <w:pPr>
              <w:autoSpaceDE w:val="0"/>
              <w:autoSpaceDN w:val="0"/>
              <w:adjustRightInd w:val="0"/>
              <w:snapToGrid w:val="0"/>
              <w:jc w:val="center"/>
              <w:rPr>
                <w:color w:val="auto"/>
                <w:kern w:val="0"/>
                <w:sz w:val="24"/>
                <w:highlight w:val="none"/>
              </w:rPr>
            </w:pPr>
          </w:p>
          <w:p w14:paraId="3A562D8A">
            <w:pPr>
              <w:autoSpaceDE w:val="0"/>
              <w:autoSpaceDN w:val="0"/>
              <w:adjustRightInd w:val="0"/>
              <w:snapToGrid w:val="0"/>
              <w:jc w:val="center"/>
              <w:rPr>
                <w:color w:val="auto"/>
                <w:kern w:val="0"/>
                <w:sz w:val="24"/>
                <w:highlight w:val="none"/>
              </w:rPr>
            </w:pPr>
          </w:p>
          <w:p w14:paraId="27297AC0">
            <w:pPr>
              <w:autoSpaceDE w:val="0"/>
              <w:autoSpaceDN w:val="0"/>
              <w:adjustRightInd w:val="0"/>
              <w:snapToGrid w:val="0"/>
              <w:jc w:val="center"/>
              <w:rPr>
                <w:color w:val="auto"/>
                <w:kern w:val="0"/>
                <w:sz w:val="24"/>
                <w:highlight w:val="none"/>
              </w:rPr>
            </w:pPr>
          </w:p>
          <w:p w14:paraId="769A0C60">
            <w:pPr>
              <w:autoSpaceDE w:val="0"/>
              <w:autoSpaceDN w:val="0"/>
              <w:adjustRightInd w:val="0"/>
              <w:snapToGrid w:val="0"/>
              <w:jc w:val="center"/>
              <w:rPr>
                <w:color w:val="auto"/>
                <w:kern w:val="0"/>
                <w:sz w:val="24"/>
                <w:highlight w:val="none"/>
              </w:rPr>
            </w:pPr>
          </w:p>
          <w:p w14:paraId="7DAF4B70">
            <w:pPr>
              <w:autoSpaceDE w:val="0"/>
              <w:autoSpaceDN w:val="0"/>
              <w:adjustRightInd w:val="0"/>
              <w:snapToGrid w:val="0"/>
              <w:jc w:val="center"/>
              <w:rPr>
                <w:color w:val="auto"/>
                <w:kern w:val="0"/>
                <w:sz w:val="24"/>
                <w:highlight w:val="none"/>
              </w:rPr>
            </w:pPr>
          </w:p>
          <w:p w14:paraId="4E9A32C5">
            <w:pPr>
              <w:autoSpaceDE w:val="0"/>
              <w:autoSpaceDN w:val="0"/>
              <w:adjustRightInd w:val="0"/>
              <w:snapToGrid w:val="0"/>
              <w:jc w:val="center"/>
              <w:rPr>
                <w:color w:val="auto"/>
                <w:kern w:val="0"/>
                <w:sz w:val="24"/>
                <w:highlight w:val="none"/>
              </w:rPr>
            </w:pPr>
          </w:p>
          <w:p w14:paraId="106516EB">
            <w:pPr>
              <w:autoSpaceDE w:val="0"/>
              <w:autoSpaceDN w:val="0"/>
              <w:adjustRightInd w:val="0"/>
              <w:snapToGrid w:val="0"/>
              <w:jc w:val="center"/>
              <w:rPr>
                <w:color w:val="auto"/>
                <w:kern w:val="0"/>
                <w:sz w:val="24"/>
                <w:highlight w:val="none"/>
              </w:rPr>
            </w:pPr>
          </w:p>
          <w:p w14:paraId="46F7AA59">
            <w:pPr>
              <w:autoSpaceDE w:val="0"/>
              <w:autoSpaceDN w:val="0"/>
              <w:adjustRightInd w:val="0"/>
              <w:snapToGrid w:val="0"/>
              <w:jc w:val="center"/>
              <w:rPr>
                <w:color w:val="auto"/>
                <w:kern w:val="0"/>
                <w:sz w:val="24"/>
                <w:highlight w:val="none"/>
              </w:rPr>
            </w:pPr>
          </w:p>
          <w:p w14:paraId="6B02F9DD">
            <w:pPr>
              <w:autoSpaceDE w:val="0"/>
              <w:autoSpaceDN w:val="0"/>
              <w:adjustRightInd w:val="0"/>
              <w:snapToGrid w:val="0"/>
              <w:jc w:val="center"/>
              <w:rPr>
                <w:color w:val="auto"/>
                <w:kern w:val="0"/>
                <w:sz w:val="24"/>
                <w:highlight w:val="none"/>
              </w:rPr>
            </w:pPr>
          </w:p>
          <w:p w14:paraId="3F487B30">
            <w:pPr>
              <w:autoSpaceDE w:val="0"/>
              <w:autoSpaceDN w:val="0"/>
              <w:adjustRightInd w:val="0"/>
              <w:snapToGrid w:val="0"/>
              <w:jc w:val="center"/>
              <w:rPr>
                <w:color w:val="auto"/>
                <w:kern w:val="0"/>
                <w:sz w:val="24"/>
                <w:highlight w:val="none"/>
              </w:rPr>
            </w:pPr>
          </w:p>
          <w:p w14:paraId="38E8D4BE">
            <w:pPr>
              <w:autoSpaceDE w:val="0"/>
              <w:autoSpaceDN w:val="0"/>
              <w:adjustRightInd w:val="0"/>
              <w:snapToGrid w:val="0"/>
              <w:jc w:val="center"/>
              <w:rPr>
                <w:color w:val="auto"/>
                <w:kern w:val="0"/>
                <w:sz w:val="24"/>
                <w:highlight w:val="none"/>
              </w:rPr>
            </w:pPr>
          </w:p>
          <w:p w14:paraId="49E89A65">
            <w:pPr>
              <w:autoSpaceDE w:val="0"/>
              <w:autoSpaceDN w:val="0"/>
              <w:adjustRightInd w:val="0"/>
              <w:snapToGrid w:val="0"/>
              <w:jc w:val="center"/>
              <w:rPr>
                <w:color w:val="auto"/>
                <w:kern w:val="0"/>
                <w:sz w:val="24"/>
                <w:highlight w:val="none"/>
              </w:rPr>
            </w:pPr>
          </w:p>
          <w:p w14:paraId="43176BBC">
            <w:pPr>
              <w:autoSpaceDE w:val="0"/>
              <w:autoSpaceDN w:val="0"/>
              <w:adjustRightInd w:val="0"/>
              <w:snapToGrid w:val="0"/>
              <w:jc w:val="center"/>
              <w:rPr>
                <w:color w:val="auto"/>
                <w:kern w:val="0"/>
                <w:sz w:val="24"/>
                <w:highlight w:val="none"/>
              </w:rPr>
            </w:pPr>
          </w:p>
          <w:p w14:paraId="7AEF4E2A">
            <w:pPr>
              <w:autoSpaceDE w:val="0"/>
              <w:autoSpaceDN w:val="0"/>
              <w:adjustRightInd w:val="0"/>
              <w:snapToGrid w:val="0"/>
              <w:jc w:val="center"/>
              <w:rPr>
                <w:color w:val="auto"/>
                <w:kern w:val="0"/>
                <w:sz w:val="24"/>
                <w:highlight w:val="none"/>
              </w:rPr>
            </w:pPr>
          </w:p>
          <w:p w14:paraId="2C607778">
            <w:pPr>
              <w:autoSpaceDE w:val="0"/>
              <w:autoSpaceDN w:val="0"/>
              <w:adjustRightInd w:val="0"/>
              <w:snapToGrid w:val="0"/>
              <w:jc w:val="center"/>
              <w:rPr>
                <w:color w:val="auto"/>
                <w:kern w:val="0"/>
                <w:sz w:val="24"/>
                <w:highlight w:val="none"/>
              </w:rPr>
            </w:pPr>
          </w:p>
          <w:p w14:paraId="37786C5E">
            <w:pPr>
              <w:autoSpaceDE w:val="0"/>
              <w:autoSpaceDN w:val="0"/>
              <w:adjustRightInd w:val="0"/>
              <w:snapToGrid w:val="0"/>
              <w:rPr>
                <w:color w:val="auto"/>
                <w:kern w:val="0"/>
                <w:sz w:val="24"/>
                <w:highlight w:val="none"/>
              </w:rPr>
            </w:pPr>
          </w:p>
        </w:tc>
        <w:tc>
          <w:tcPr>
            <w:tcW w:w="8253" w:type="dxa"/>
            <w:gridSpan w:val="4"/>
          </w:tcPr>
          <w:p w14:paraId="32D233D3">
            <w:pPr>
              <w:adjustRightInd w:val="0"/>
              <w:snapToGrid w:val="0"/>
              <w:spacing w:line="360" w:lineRule="auto"/>
              <w:ind w:firstLine="480" w:firstLineChars="200"/>
              <w:rPr>
                <w:color w:val="auto"/>
                <w:sz w:val="24"/>
                <w:highlight w:val="none"/>
              </w:rPr>
            </w:pPr>
            <w:r>
              <w:rPr>
                <w:color w:val="auto"/>
                <w:sz w:val="24"/>
                <w:highlight w:val="none"/>
              </w:rPr>
              <w:t>1、产业政策符合性</w:t>
            </w:r>
          </w:p>
          <w:p w14:paraId="1C950F74">
            <w:pPr>
              <w:snapToGrid w:val="0"/>
              <w:spacing w:line="360" w:lineRule="auto"/>
              <w:ind w:firstLine="480" w:firstLineChars="200"/>
              <w:rPr>
                <w:color w:val="auto"/>
                <w:sz w:val="24"/>
                <w:highlight w:val="none"/>
              </w:rPr>
            </w:pPr>
            <w:r>
              <w:rPr>
                <w:rFonts w:hint="eastAsia"/>
                <w:color w:val="auto"/>
                <w:sz w:val="24"/>
                <w:highlight w:val="none"/>
              </w:rPr>
              <w:t>本项目</w:t>
            </w:r>
            <w:r>
              <w:rPr>
                <w:rFonts w:hint="eastAsia"/>
                <w:color w:val="auto"/>
                <w:sz w:val="24"/>
                <w:highlight w:val="none"/>
                <w:lang w:eastAsia="zh-CN"/>
              </w:rPr>
              <w:t>主要进行建筑材料的生产加工</w:t>
            </w:r>
            <w:r>
              <w:rPr>
                <w:rFonts w:hint="eastAsia"/>
                <w:color w:val="auto"/>
                <w:sz w:val="24"/>
                <w:highlight w:val="none"/>
              </w:rPr>
              <w:t>，根据《产业结构调整指导目录（20</w:t>
            </w:r>
            <w:r>
              <w:rPr>
                <w:rFonts w:hint="eastAsia"/>
                <w:color w:val="auto"/>
                <w:sz w:val="24"/>
                <w:highlight w:val="none"/>
                <w:lang w:val="en-US" w:eastAsia="zh-CN"/>
              </w:rPr>
              <w:t>24</w:t>
            </w:r>
            <w:r>
              <w:rPr>
                <w:rFonts w:hint="eastAsia"/>
                <w:color w:val="auto"/>
                <w:sz w:val="24"/>
                <w:highlight w:val="none"/>
              </w:rPr>
              <w:t>本）》，</w:t>
            </w:r>
            <w:r>
              <w:rPr>
                <w:rFonts w:hint="eastAsia" w:cs="宋体"/>
                <w:color w:val="auto"/>
                <w:sz w:val="24"/>
                <w:highlight w:val="none"/>
              </w:rPr>
              <w:t>本项目不属于目录中的限制及淘汰类项目，为允许类项目</w:t>
            </w:r>
            <w:r>
              <w:rPr>
                <w:rFonts w:hint="eastAsia"/>
                <w:color w:val="auto"/>
                <w:sz w:val="24"/>
                <w:highlight w:val="none"/>
              </w:rPr>
              <w:t>，故本项目建设符合国家产业政策。此外，</w:t>
            </w:r>
            <w:r>
              <w:rPr>
                <w:color w:val="auto"/>
                <w:sz w:val="24"/>
                <w:highlight w:val="none"/>
              </w:rPr>
              <w:t>本项目已取得陕西省企业投资项目备案确认书（</w:t>
            </w:r>
            <w:r>
              <w:rPr>
                <w:rFonts w:hint="eastAsia"/>
                <w:color w:val="auto"/>
                <w:sz w:val="24"/>
                <w:highlight w:val="none"/>
              </w:rPr>
              <w:t>2410-610723-04-02-333981</w:t>
            </w:r>
            <w:r>
              <w:rPr>
                <w:color w:val="auto"/>
                <w:sz w:val="24"/>
                <w:highlight w:val="none"/>
              </w:rPr>
              <w:t>），项目符合地方产业政策。</w:t>
            </w:r>
          </w:p>
          <w:p w14:paraId="7AF16F56">
            <w:pPr>
              <w:pStyle w:val="45"/>
              <w:spacing w:line="360" w:lineRule="auto"/>
              <w:ind w:firstLine="480" w:firstLineChars="200"/>
              <w:rPr>
                <w:color w:val="auto"/>
                <w:highlight w:val="none"/>
              </w:rPr>
            </w:pPr>
            <w:r>
              <w:rPr>
                <w:color w:val="auto"/>
                <w:highlight w:val="none"/>
              </w:rPr>
              <w:t>综上，本项目符合国家与地方</w:t>
            </w:r>
            <w:r>
              <w:rPr>
                <w:rFonts w:hint="eastAsia"/>
                <w:color w:val="auto"/>
                <w:highlight w:val="none"/>
              </w:rPr>
              <w:t>现行</w:t>
            </w:r>
            <w:r>
              <w:rPr>
                <w:color w:val="auto"/>
                <w:highlight w:val="none"/>
              </w:rPr>
              <w:t>产业政策。</w:t>
            </w:r>
          </w:p>
          <w:p w14:paraId="0FFA5E7F">
            <w:pPr>
              <w:numPr>
                <w:ilvl w:val="0"/>
                <w:numId w:val="1"/>
              </w:numPr>
              <w:autoSpaceDE w:val="0"/>
              <w:autoSpaceDN w:val="0"/>
              <w:adjustRightInd w:val="0"/>
              <w:snapToGrid w:val="0"/>
              <w:spacing w:line="360" w:lineRule="auto"/>
              <w:ind w:firstLine="480" w:firstLineChars="200"/>
              <w:rPr>
                <w:color w:val="auto"/>
                <w:sz w:val="24"/>
                <w:highlight w:val="none"/>
              </w:rPr>
            </w:pPr>
            <w:r>
              <w:rPr>
                <w:color w:val="auto"/>
                <w:sz w:val="24"/>
                <w:highlight w:val="none"/>
              </w:rPr>
              <w:t>“三线一单”符合性分析</w:t>
            </w:r>
          </w:p>
          <w:p w14:paraId="193F8C18">
            <w:pPr>
              <w:autoSpaceDE w:val="0"/>
              <w:autoSpaceDN w:val="0"/>
              <w:adjustRightInd w:val="0"/>
              <w:snapToGrid w:val="0"/>
              <w:spacing w:line="360" w:lineRule="auto"/>
              <w:ind w:firstLine="480" w:firstLineChars="200"/>
              <w:rPr>
                <w:b/>
                <w:bCs/>
                <w:color w:val="auto"/>
                <w:sz w:val="24"/>
                <w:highlight w:val="none"/>
              </w:rPr>
            </w:pPr>
            <w:r>
              <w:rPr>
                <w:rFonts w:hint="eastAsia"/>
                <w:color w:val="auto"/>
                <w:sz w:val="24"/>
                <w:highlight w:val="none"/>
              </w:rPr>
              <w:t>根据《关于以改善环境质量为核心加强环境影响评价管理的通知》（环环评[2016]150号）规定，建设项目“三线一单”相符性分析如下：</w:t>
            </w:r>
          </w:p>
          <w:p w14:paraId="62AFDDFB">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1-</w:t>
            </w:r>
            <w:r>
              <w:rPr>
                <w:rFonts w:hint="eastAsia"/>
                <w:b/>
                <w:bCs/>
                <w:color w:val="auto"/>
                <w:szCs w:val="21"/>
                <w:highlight w:val="none"/>
                <w:lang w:val="en-US" w:eastAsia="zh-CN"/>
              </w:rPr>
              <w:t>2</w:t>
            </w:r>
            <w:r>
              <w:rPr>
                <w:rFonts w:hint="eastAsia"/>
                <w:b/>
                <w:bCs/>
                <w:color w:val="auto"/>
                <w:szCs w:val="21"/>
                <w:highlight w:val="none"/>
              </w:rPr>
              <w:t xml:space="preserve">  </w:t>
            </w:r>
            <w:r>
              <w:rPr>
                <w:b/>
                <w:bCs/>
                <w:color w:val="auto"/>
                <w:szCs w:val="21"/>
                <w:highlight w:val="none"/>
              </w:rPr>
              <w:t>与</w:t>
            </w:r>
            <w:r>
              <w:rPr>
                <w:rFonts w:hint="eastAsia"/>
                <w:b/>
                <w:bCs/>
                <w:color w:val="auto"/>
                <w:szCs w:val="21"/>
                <w:highlight w:val="none"/>
              </w:rPr>
              <w:t>“三线一单”的符合性分析</w:t>
            </w:r>
          </w:p>
          <w:tbl>
            <w:tblPr>
              <w:tblStyle w:val="36"/>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563"/>
              <w:gridCol w:w="2219"/>
              <w:gridCol w:w="727"/>
            </w:tblGrid>
            <w:tr w14:paraId="5F525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jc w:val="center"/>
              </w:trPr>
              <w:tc>
                <w:tcPr>
                  <w:tcW w:w="688" w:type="dxa"/>
                  <w:vMerge w:val="restart"/>
                  <w:vAlign w:val="center"/>
                </w:tcPr>
                <w:p w14:paraId="22022094">
                  <w:pPr>
                    <w:adjustRightInd w:val="0"/>
                    <w:snapToGrid w:val="0"/>
                    <w:jc w:val="center"/>
                    <w:rPr>
                      <w:color w:val="auto"/>
                      <w:szCs w:val="21"/>
                      <w:highlight w:val="none"/>
                    </w:rPr>
                  </w:pPr>
                  <w:r>
                    <w:rPr>
                      <w:color w:val="auto"/>
                      <w:highlight w:val="none"/>
                    </w:rPr>
                    <w:t>强化“三线一单”约束作用</w:t>
                  </w:r>
                </w:p>
              </w:tc>
              <w:tc>
                <w:tcPr>
                  <w:tcW w:w="4563" w:type="dxa"/>
                  <w:vAlign w:val="center"/>
                </w:tcPr>
                <w:p w14:paraId="21E4485A">
                  <w:pPr>
                    <w:autoSpaceDE w:val="0"/>
                    <w:autoSpaceDN w:val="0"/>
                    <w:adjustRightInd w:val="0"/>
                    <w:snapToGrid w:val="0"/>
                    <w:jc w:val="center"/>
                    <w:rPr>
                      <w:color w:val="auto"/>
                      <w:szCs w:val="21"/>
                      <w:highlight w:val="none"/>
                    </w:rPr>
                  </w:pPr>
                  <w:r>
                    <w:rPr>
                      <w:rFonts w:hint="eastAsia"/>
                      <w:color w:val="auto"/>
                      <w:highlight w:val="none"/>
                    </w:rPr>
                    <w:t>“三线一单”约束作用</w:t>
                  </w:r>
                </w:p>
              </w:tc>
              <w:tc>
                <w:tcPr>
                  <w:tcW w:w="2219" w:type="dxa"/>
                  <w:vAlign w:val="center"/>
                </w:tcPr>
                <w:p w14:paraId="654F8E95">
                  <w:pPr>
                    <w:autoSpaceDE w:val="0"/>
                    <w:autoSpaceDN w:val="0"/>
                    <w:adjustRightInd w:val="0"/>
                    <w:snapToGrid w:val="0"/>
                    <w:jc w:val="center"/>
                    <w:rPr>
                      <w:color w:val="auto"/>
                      <w:szCs w:val="21"/>
                      <w:highlight w:val="none"/>
                    </w:rPr>
                  </w:pPr>
                  <w:r>
                    <w:rPr>
                      <w:color w:val="auto"/>
                      <w:highlight w:val="none"/>
                    </w:rPr>
                    <w:t>本项目情况</w:t>
                  </w:r>
                </w:p>
              </w:tc>
              <w:tc>
                <w:tcPr>
                  <w:tcW w:w="727" w:type="dxa"/>
                  <w:vAlign w:val="center"/>
                </w:tcPr>
                <w:p w14:paraId="467DE766">
                  <w:pPr>
                    <w:autoSpaceDE w:val="0"/>
                    <w:autoSpaceDN w:val="0"/>
                    <w:adjustRightInd w:val="0"/>
                    <w:snapToGrid w:val="0"/>
                    <w:jc w:val="center"/>
                    <w:rPr>
                      <w:color w:val="auto"/>
                      <w:szCs w:val="21"/>
                      <w:highlight w:val="none"/>
                    </w:rPr>
                  </w:pPr>
                  <w:r>
                    <w:rPr>
                      <w:color w:val="auto"/>
                      <w:highlight w:val="none"/>
                    </w:rPr>
                    <w:t>结论</w:t>
                  </w:r>
                </w:p>
              </w:tc>
            </w:tr>
            <w:tr w14:paraId="2C63C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6B900C3A">
                  <w:pPr>
                    <w:adjustRightInd w:val="0"/>
                    <w:snapToGrid w:val="0"/>
                    <w:jc w:val="center"/>
                    <w:rPr>
                      <w:color w:val="auto"/>
                      <w:szCs w:val="21"/>
                      <w:highlight w:val="none"/>
                    </w:rPr>
                  </w:pPr>
                </w:p>
              </w:tc>
              <w:tc>
                <w:tcPr>
                  <w:tcW w:w="4563" w:type="dxa"/>
                  <w:vAlign w:val="center"/>
                </w:tcPr>
                <w:p w14:paraId="187B3BF4">
                  <w:pPr>
                    <w:autoSpaceDE w:val="0"/>
                    <w:autoSpaceDN w:val="0"/>
                    <w:adjustRightInd w:val="0"/>
                    <w:snapToGrid w:val="0"/>
                    <w:spacing w:line="280" w:lineRule="exact"/>
                    <w:ind w:firstLine="420" w:firstLineChars="200"/>
                    <w:rPr>
                      <w:color w:val="auto"/>
                      <w:szCs w:val="21"/>
                      <w:highlight w:val="none"/>
                    </w:rPr>
                  </w:pPr>
                  <w:r>
                    <w:rPr>
                      <w:color w:val="auto"/>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19" w:type="dxa"/>
                  <w:vAlign w:val="center"/>
                </w:tcPr>
                <w:p w14:paraId="6D7F013E">
                  <w:pPr>
                    <w:widowControl/>
                    <w:adjustRightInd w:val="0"/>
                    <w:snapToGrid w:val="0"/>
                    <w:rPr>
                      <w:color w:val="auto"/>
                      <w:szCs w:val="21"/>
                      <w:highlight w:val="none"/>
                    </w:rPr>
                  </w:pPr>
                  <w:r>
                    <w:rPr>
                      <w:color w:val="auto"/>
                      <w:highlight w:val="none"/>
                    </w:rPr>
                    <w:t>本项目</w:t>
                  </w:r>
                  <w:r>
                    <w:rPr>
                      <w:rFonts w:hint="eastAsia"/>
                      <w:color w:val="auto"/>
                      <w:highlight w:val="none"/>
                    </w:rPr>
                    <w:t>位于洋县戚氏街道办事处戚氏村五组（附图</w:t>
                  </w:r>
                  <w:r>
                    <w:rPr>
                      <w:rFonts w:hint="eastAsia"/>
                      <w:color w:val="auto"/>
                      <w:highlight w:val="none"/>
                      <w:lang w:val="en-US" w:eastAsia="zh-CN"/>
                    </w:rPr>
                    <w:t>2</w:t>
                  </w:r>
                  <w:r>
                    <w:rPr>
                      <w:rFonts w:hint="eastAsia"/>
                      <w:color w:val="auto"/>
                      <w:highlight w:val="none"/>
                    </w:rPr>
                    <w:t>），经对比</w:t>
                  </w:r>
                  <w:r>
                    <w:rPr>
                      <w:rFonts w:hint="eastAsia" w:ascii="宋体" w:hAnsi="宋体" w:cs="宋体"/>
                      <w:color w:val="auto"/>
                      <w:kern w:val="0"/>
                      <w:szCs w:val="21"/>
                      <w:highlight w:val="none"/>
                    </w:rPr>
                    <w:t>不在生态保护红线范围内。</w:t>
                  </w:r>
                </w:p>
              </w:tc>
              <w:tc>
                <w:tcPr>
                  <w:tcW w:w="727" w:type="dxa"/>
                  <w:vAlign w:val="center"/>
                </w:tcPr>
                <w:p w14:paraId="64305DA7">
                  <w:pPr>
                    <w:adjustRightInd w:val="0"/>
                    <w:snapToGrid w:val="0"/>
                    <w:jc w:val="center"/>
                    <w:rPr>
                      <w:color w:val="auto"/>
                      <w:szCs w:val="21"/>
                      <w:highlight w:val="none"/>
                    </w:rPr>
                  </w:pPr>
                  <w:r>
                    <w:rPr>
                      <w:color w:val="auto"/>
                      <w:szCs w:val="21"/>
                      <w:highlight w:val="none"/>
                    </w:rPr>
                    <w:t>符合</w:t>
                  </w:r>
                </w:p>
              </w:tc>
            </w:tr>
            <w:tr w14:paraId="3AB41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708456E2">
                  <w:pPr>
                    <w:adjustRightInd w:val="0"/>
                    <w:snapToGrid w:val="0"/>
                    <w:jc w:val="center"/>
                    <w:rPr>
                      <w:color w:val="auto"/>
                      <w:szCs w:val="21"/>
                      <w:highlight w:val="none"/>
                    </w:rPr>
                  </w:pPr>
                </w:p>
              </w:tc>
              <w:tc>
                <w:tcPr>
                  <w:tcW w:w="4563" w:type="dxa"/>
                  <w:vAlign w:val="center"/>
                </w:tcPr>
                <w:p w14:paraId="36BE119A">
                  <w:pPr>
                    <w:widowControl/>
                    <w:adjustRightInd w:val="0"/>
                    <w:snapToGrid w:val="0"/>
                    <w:spacing w:line="280" w:lineRule="exact"/>
                    <w:ind w:firstLine="420" w:firstLineChars="200"/>
                    <w:rPr>
                      <w:color w:val="auto"/>
                      <w:szCs w:val="21"/>
                      <w:highlight w:val="none"/>
                    </w:rPr>
                  </w:pPr>
                  <w:r>
                    <w:rPr>
                      <w:color w:val="auto"/>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219" w:type="dxa"/>
                  <w:vAlign w:val="center"/>
                </w:tcPr>
                <w:p w14:paraId="77E25DD1">
                  <w:pPr>
                    <w:pStyle w:val="45"/>
                    <w:widowControl/>
                    <w:snapToGrid w:val="0"/>
                    <w:jc w:val="both"/>
                    <w:rPr>
                      <w:color w:val="auto"/>
                      <w:szCs w:val="21"/>
                      <w:highlight w:val="none"/>
                    </w:rPr>
                  </w:pPr>
                  <w:r>
                    <w:rPr>
                      <w:rFonts w:ascii="Times New Roman" w:cs="Times New Roman"/>
                      <w:color w:val="auto"/>
                      <w:sz w:val="21"/>
                      <w:szCs w:val="21"/>
                      <w:highlight w:val="none"/>
                    </w:rPr>
                    <w:t>项目在采取报告中提出的各项污染防治措施后，不会对周围环境造成明显影响，</w:t>
                  </w:r>
                  <w:r>
                    <w:rPr>
                      <w:rFonts w:hint="eastAsia" w:ascii="Times New Roman" w:cs="Times New Roman"/>
                      <w:color w:val="auto"/>
                      <w:sz w:val="21"/>
                      <w:szCs w:val="21"/>
                      <w:highlight w:val="none"/>
                    </w:rPr>
                    <w:t>项目不会突破环境质量底线。</w:t>
                  </w:r>
                </w:p>
              </w:tc>
              <w:tc>
                <w:tcPr>
                  <w:tcW w:w="727" w:type="dxa"/>
                  <w:vAlign w:val="center"/>
                </w:tcPr>
                <w:p w14:paraId="61939D68">
                  <w:pPr>
                    <w:adjustRightInd w:val="0"/>
                    <w:snapToGrid w:val="0"/>
                    <w:jc w:val="center"/>
                    <w:rPr>
                      <w:color w:val="auto"/>
                      <w:szCs w:val="21"/>
                      <w:highlight w:val="none"/>
                    </w:rPr>
                  </w:pPr>
                  <w:r>
                    <w:rPr>
                      <w:color w:val="auto"/>
                      <w:szCs w:val="21"/>
                      <w:highlight w:val="none"/>
                    </w:rPr>
                    <w:t>符合</w:t>
                  </w:r>
                </w:p>
              </w:tc>
            </w:tr>
            <w:tr w14:paraId="3B4A2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44BD71BF">
                  <w:pPr>
                    <w:adjustRightInd w:val="0"/>
                    <w:snapToGrid w:val="0"/>
                    <w:jc w:val="center"/>
                    <w:rPr>
                      <w:color w:val="auto"/>
                      <w:szCs w:val="21"/>
                      <w:highlight w:val="none"/>
                    </w:rPr>
                  </w:pPr>
                </w:p>
              </w:tc>
              <w:tc>
                <w:tcPr>
                  <w:tcW w:w="4563" w:type="dxa"/>
                  <w:vAlign w:val="center"/>
                </w:tcPr>
                <w:p w14:paraId="5E9CA86C">
                  <w:pPr>
                    <w:widowControl/>
                    <w:adjustRightInd w:val="0"/>
                    <w:snapToGrid w:val="0"/>
                    <w:spacing w:line="280" w:lineRule="exact"/>
                    <w:ind w:firstLine="420" w:firstLineChars="200"/>
                    <w:rPr>
                      <w:color w:val="auto"/>
                      <w:szCs w:val="21"/>
                      <w:highlight w:val="none"/>
                    </w:rPr>
                  </w:pPr>
                  <w:r>
                    <w:rPr>
                      <w:color w:val="auto"/>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219" w:type="dxa"/>
                  <w:vAlign w:val="center"/>
                </w:tcPr>
                <w:p w14:paraId="6626FB6E">
                  <w:pPr>
                    <w:widowControl/>
                    <w:adjustRightInd w:val="0"/>
                    <w:snapToGrid w:val="0"/>
                    <w:rPr>
                      <w:color w:val="auto"/>
                      <w:szCs w:val="21"/>
                      <w:highlight w:val="none"/>
                    </w:rPr>
                  </w:pPr>
                  <w:r>
                    <w:rPr>
                      <w:rFonts w:hint="eastAsia"/>
                      <w:color w:val="auto"/>
                      <w:highlight w:val="none"/>
                    </w:rPr>
                    <w:t>本次</w:t>
                  </w:r>
                  <w:r>
                    <w:rPr>
                      <w:rFonts w:hint="eastAsia"/>
                      <w:color w:val="auto"/>
                      <w:highlight w:val="none"/>
                      <w:lang w:eastAsia="zh-CN"/>
                    </w:rPr>
                    <w:t>变动不新增占地，在原有厂区内进行，目前</w:t>
                  </w:r>
                  <w:r>
                    <w:rPr>
                      <w:rFonts w:hint="eastAsia"/>
                      <w:color w:val="auto"/>
                      <w:highlight w:val="none"/>
                    </w:rPr>
                    <w:t>用地性质为</w:t>
                  </w:r>
                  <w:r>
                    <w:rPr>
                      <w:rFonts w:hint="eastAsia"/>
                      <w:color w:val="auto"/>
                      <w:highlight w:val="none"/>
                      <w:lang w:eastAsia="zh-CN"/>
                    </w:rPr>
                    <w:t>工业</w:t>
                  </w:r>
                  <w:r>
                    <w:rPr>
                      <w:rFonts w:hint="eastAsia"/>
                      <w:color w:val="auto"/>
                      <w:highlight w:val="none"/>
                    </w:rPr>
                    <w:t>用地</w:t>
                  </w:r>
                  <w:r>
                    <w:rPr>
                      <w:rFonts w:hint="eastAsia"/>
                      <w:color w:val="auto"/>
                      <w:highlight w:val="none"/>
                      <w:lang w:eastAsia="zh-CN"/>
                    </w:rPr>
                    <w:t>（附图</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。运营期内电能、水、土地等不会突破资源利用上线。</w:t>
                  </w:r>
                </w:p>
              </w:tc>
              <w:tc>
                <w:tcPr>
                  <w:tcW w:w="727" w:type="dxa"/>
                  <w:vAlign w:val="center"/>
                </w:tcPr>
                <w:p w14:paraId="2DA10060">
                  <w:pPr>
                    <w:adjustRightInd w:val="0"/>
                    <w:snapToGrid w:val="0"/>
                    <w:jc w:val="center"/>
                    <w:rPr>
                      <w:color w:val="auto"/>
                      <w:szCs w:val="21"/>
                      <w:highlight w:val="none"/>
                    </w:rPr>
                  </w:pPr>
                  <w:r>
                    <w:rPr>
                      <w:color w:val="auto"/>
                      <w:szCs w:val="21"/>
                      <w:highlight w:val="none"/>
                    </w:rPr>
                    <w:t>符合</w:t>
                  </w:r>
                </w:p>
              </w:tc>
            </w:tr>
            <w:tr w14:paraId="40573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3FE87D75">
                  <w:pPr>
                    <w:adjustRightInd w:val="0"/>
                    <w:snapToGrid w:val="0"/>
                    <w:jc w:val="center"/>
                    <w:rPr>
                      <w:color w:val="auto"/>
                      <w:szCs w:val="21"/>
                      <w:highlight w:val="none"/>
                    </w:rPr>
                  </w:pPr>
                </w:p>
              </w:tc>
              <w:tc>
                <w:tcPr>
                  <w:tcW w:w="4563" w:type="dxa"/>
                  <w:vAlign w:val="center"/>
                </w:tcPr>
                <w:p w14:paraId="3AA905C5">
                  <w:pPr>
                    <w:widowControl/>
                    <w:adjustRightInd w:val="0"/>
                    <w:snapToGrid w:val="0"/>
                    <w:spacing w:line="280" w:lineRule="exact"/>
                    <w:ind w:firstLine="420" w:firstLineChars="200"/>
                    <w:rPr>
                      <w:color w:val="auto"/>
                      <w:szCs w:val="21"/>
                      <w:highlight w:val="none"/>
                    </w:rPr>
                  </w:pPr>
                  <w:r>
                    <w:rPr>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19" w:type="dxa"/>
                  <w:vAlign w:val="center"/>
                </w:tcPr>
                <w:p w14:paraId="4E23FE6C">
                  <w:pPr>
                    <w:widowControl/>
                    <w:adjustRightInd w:val="0"/>
                    <w:snapToGrid w:val="0"/>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p>
              </w:tc>
              <w:tc>
                <w:tcPr>
                  <w:tcW w:w="727" w:type="dxa"/>
                  <w:vAlign w:val="center"/>
                </w:tcPr>
                <w:p w14:paraId="57638CE7">
                  <w:pPr>
                    <w:adjustRightInd w:val="0"/>
                    <w:snapToGrid w:val="0"/>
                    <w:jc w:val="center"/>
                    <w:rPr>
                      <w:color w:val="auto"/>
                      <w:szCs w:val="21"/>
                      <w:highlight w:val="none"/>
                    </w:rPr>
                  </w:pPr>
                  <w:r>
                    <w:rPr>
                      <w:color w:val="auto"/>
                      <w:szCs w:val="21"/>
                      <w:highlight w:val="none"/>
                    </w:rPr>
                    <w:t>符合</w:t>
                  </w:r>
                </w:p>
              </w:tc>
            </w:tr>
          </w:tbl>
          <w:p w14:paraId="0F30BAB2">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与《汉中市“三线一单”生态环境分区管控方案》的符合性</w:t>
            </w:r>
            <w:r>
              <w:rPr>
                <w:rFonts w:hint="eastAsia"/>
                <w:color w:val="auto"/>
                <w:sz w:val="24"/>
                <w:highlight w:val="none"/>
              </w:rPr>
              <w:t>分析</w:t>
            </w:r>
          </w:p>
          <w:p w14:paraId="3E48B0F5">
            <w:pPr>
              <w:spacing w:line="360" w:lineRule="auto"/>
              <w:ind w:firstLine="480" w:firstLineChars="200"/>
              <w:rPr>
                <w:color w:val="auto"/>
                <w:sz w:val="24"/>
                <w:highlight w:val="none"/>
              </w:rPr>
            </w:pPr>
            <w:r>
              <w:rPr>
                <w:rFonts w:hint="eastAsia"/>
                <w:color w:val="auto"/>
                <w:sz w:val="24"/>
                <w:szCs w:val="32"/>
                <w:highlight w:val="none"/>
              </w:rPr>
              <w:t>根据汉中市人民政府办公室</w:t>
            </w:r>
            <w:r>
              <w:rPr>
                <w:rFonts w:hint="eastAsia"/>
                <w:color w:val="auto"/>
                <w:sz w:val="24"/>
                <w:szCs w:val="32"/>
                <w:highlight w:val="none"/>
                <w:lang w:eastAsia="zh-CN"/>
              </w:rPr>
              <w:t>《</w:t>
            </w:r>
            <w:r>
              <w:rPr>
                <w:rFonts w:hint="eastAsia"/>
                <w:color w:val="auto"/>
                <w:sz w:val="24"/>
                <w:szCs w:val="32"/>
                <w:highlight w:val="none"/>
              </w:rPr>
              <w:t>关于印发2023年汉中市生态环境分区管控调整方案的通知</w:t>
            </w:r>
            <w:r>
              <w:rPr>
                <w:rFonts w:hint="eastAsia"/>
                <w:color w:val="auto"/>
                <w:sz w:val="24"/>
                <w:szCs w:val="32"/>
                <w:highlight w:val="none"/>
                <w:lang w:eastAsia="zh-CN"/>
              </w:rPr>
              <w:t>》（汉政办函[2024]23号）</w:t>
            </w:r>
            <w:r>
              <w:rPr>
                <w:rFonts w:hint="eastAsia"/>
                <w:color w:val="auto"/>
                <w:sz w:val="24"/>
                <w:szCs w:val="32"/>
                <w:highlight w:val="none"/>
              </w:rPr>
              <w:t>，结合“陕西省‘三线一单’数据应用管理平台（V1.0）”分析可知：</w:t>
            </w:r>
            <w:r>
              <w:rPr>
                <w:color w:val="auto"/>
                <w:sz w:val="24"/>
                <w:szCs w:val="32"/>
                <w:highlight w:val="none"/>
              </w:rPr>
              <w:t>本</w:t>
            </w:r>
            <w:r>
              <w:rPr>
                <w:rFonts w:hint="eastAsia"/>
                <w:color w:val="auto"/>
                <w:sz w:val="24"/>
                <w:szCs w:val="32"/>
                <w:highlight w:val="none"/>
              </w:rPr>
              <w:t>项目</w:t>
            </w:r>
            <w:r>
              <w:rPr>
                <w:rFonts w:hint="eastAsia"/>
                <w:color w:val="auto"/>
                <w:sz w:val="24"/>
                <w:szCs w:val="32"/>
                <w:highlight w:val="none"/>
                <w:lang w:eastAsia="zh-CN"/>
              </w:rPr>
              <w:t>所在</w:t>
            </w:r>
            <w:r>
              <w:rPr>
                <w:rFonts w:hint="eastAsia"/>
                <w:color w:val="auto"/>
                <w:sz w:val="24"/>
                <w:szCs w:val="32"/>
                <w:highlight w:val="none"/>
              </w:rPr>
              <w:t>区域属重点管控单元—</w:t>
            </w:r>
            <w:r>
              <w:rPr>
                <w:rFonts w:hint="eastAsia"/>
                <w:color w:val="auto"/>
                <w:sz w:val="24"/>
                <w:szCs w:val="32"/>
                <w:highlight w:val="none"/>
                <w:lang w:eastAsia="zh-CN"/>
              </w:rPr>
              <w:t>洋县现代材料工业园区</w:t>
            </w:r>
            <w:r>
              <w:rPr>
                <w:rFonts w:hint="eastAsia"/>
                <w:color w:val="auto"/>
                <w:sz w:val="24"/>
                <w:szCs w:val="32"/>
                <w:highlight w:val="none"/>
              </w:rPr>
              <w:t>，具体分析内容见下文“一图一表一说明”。</w:t>
            </w:r>
          </w:p>
          <w:p w14:paraId="5453DF04">
            <w:pPr>
              <w:spacing w:line="360" w:lineRule="auto"/>
              <w:ind w:firstLine="480" w:firstLineChars="200"/>
              <w:rPr>
                <w:color w:val="auto"/>
                <w:sz w:val="24"/>
                <w:szCs w:val="32"/>
                <w:highlight w:val="none"/>
              </w:rPr>
            </w:pPr>
            <w:r>
              <w:rPr>
                <w:rFonts w:hint="eastAsia" w:ascii="宋体" w:hAnsi="宋体" w:cs="宋体"/>
                <w:color w:val="auto"/>
                <w:sz w:val="24"/>
                <w:szCs w:val="32"/>
                <w:highlight w:val="none"/>
              </w:rPr>
              <w:t>①</w:t>
            </w:r>
            <w:r>
              <w:rPr>
                <w:rFonts w:hint="eastAsia"/>
                <w:color w:val="auto"/>
                <w:sz w:val="24"/>
                <w:szCs w:val="32"/>
                <w:highlight w:val="none"/>
              </w:rPr>
              <w:t>一图：</w:t>
            </w:r>
          </w:p>
          <w:p w14:paraId="04C79C1E">
            <w:pPr>
              <w:pStyle w:val="45"/>
              <w:jc w:val="both"/>
              <w:rPr>
                <w:rFonts w:ascii="Times New Roman" w:cs="Times New Roman"/>
                <w:b/>
                <w:color w:val="auto"/>
                <w:sz w:val="21"/>
                <w:szCs w:val="18"/>
                <w:highlight w:val="none"/>
              </w:rPr>
            </w:pPr>
            <w:r>
              <w:rPr>
                <w:color w:val="auto"/>
                <w:highlight w:val="none"/>
              </w:rPr>
              <w:drawing>
                <wp:inline distT="0" distB="0" distL="114300" distR="114300">
                  <wp:extent cx="5063490" cy="3582670"/>
                  <wp:effectExtent l="0" t="0" r="3810" b="1778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9"/>
                          <a:stretch>
                            <a:fillRect/>
                          </a:stretch>
                        </pic:blipFill>
                        <pic:spPr>
                          <a:xfrm>
                            <a:off x="0" y="0"/>
                            <a:ext cx="5063490" cy="3582670"/>
                          </a:xfrm>
                          <a:prstGeom prst="rect">
                            <a:avLst/>
                          </a:prstGeom>
                          <a:noFill/>
                          <a:ln>
                            <a:noFill/>
                          </a:ln>
                        </pic:spPr>
                      </pic:pic>
                    </a:graphicData>
                  </a:graphic>
                </wp:inline>
              </w:drawing>
            </w:r>
          </w:p>
          <w:p w14:paraId="4295E3E6">
            <w:pPr>
              <w:pStyle w:val="45"/>
              <w:spacing w:line="360" w:lineRule="auto"/>
              <w:jc w:val="center"/>
              <w:rPr>
                <w:rFonts w:ascii="Times New Roman" w:cs="Times New Roman"/>
                <w:b/>
                <w:color w:val="auto"/>
                <w:sz w:val="21"/>
                <w:szCs w:val="21"/>
                <w:highlight w:val="none"/>
              </w:rPr>
            </w:pPr>
            <w:r>
              <w:rPr>
                <w:rFonts w:ascii="Times New Roman" w:cs="Times New Roman"/>
                <w:b/>
                <w:color w:val="auto"/>
                <w:sz w:val="21"/>
                <w:szCs w:val="21"/>
                <w:highlight w:val="none"/>
              </w:rPr>
              <w:t>图1-1   项目与陕西省“三线一单”数据应用系统对比图</w:t>
            </w:r>
          </w:p>
          <w:p w14:paraId="60961C38">
            <w:pPr>
              <w:pStyle w:val="45"/>
              <w:spacing w:line="360" w:lineRule="auto"/>
              <w:ind w:firstLine="480" w:firstLineChars="200"/>
              <w:jc w:val="both"/>
              <w:rPr>
                <w:rFonts w:ascii="Times New Roman" w:cs="Times New Roman"/>
                <w:bCs/>
                <w:color w:val="auto"/>
                <w:highlight w:val="none"/>
              </w:rPr>
            </w:pPr>
            <w:r>
              <w:rPr>
                <w:rFonts w:hint="eastAsia" w:hAnsi="宋体"/>
                <w:bCs/>
                <w:color w:val="auto"/>
                <w:highlight w:val="none"/>
              </w:rPr>
              <w:t>②</w:t>
            </w:r>
            <w:r>
              <w:rPr>
                <w:rFonts w:hint="eastAsia" w:ascii="Times New Roman" w:cs="Times New Roman"/>
                <w:bCs/>
                <w:color w:val="auto"/>
                <w:highlight w:val="none"/>
              </w:rPr>
              <w:t>一表：</w:t>
            </w:r>
          </w:p>
          <w:p w14:paraId="07BDB81B">
            <w:pPr>
              <w:pStyle w:val="45"/>
              <w:jc w:val="center"/>
              <w:rPr>
                <w:rFonts w:ascii="Times New Roman" w:cs="Times New Roman"/>
                <w:color w:val="auto"/>
                <w:sz w:val="21"/>
                <w:szCs w:val="21"/>
                <w:highlight w:val="none"/>
              </w:rPr>
            </w:pPr>
            <w:r>
              <w:rPr>
                <w:rFonts w:ascii="Times New Roman" w:cs="Times New Roman"/>
                <w:b/>
                <w:color w:val="auto"/>
                <w:sz w:val="21"/>
                <w:szCs w:val="18"/>
                <w:highlight w:val="none"/>
              </w:rPr>
              <w:t>表1-</w:t>
            </w:r>
            <w:r>
              <w:rPr>
                <w:rFonts w:hint="eastAsia" w:ascii="Times New Roman" w:cs="Times New Roman"/>
                <w:b/>
                <w:color w:val="auto"/>
                <w:sz w:val="21"/>
                <w:szCs w:val="18"/>
                <w:highlight w:val="none"/>
                <w:lang w:val="en-US" w:eastAsia="zh-CN"/>
              </w:rPr>
              <w:t>3</w:t>
            </w:r>
            <w:r>
              <w:rPr>
                <w:rFonts w:ascii="Times New Roman" w:cs="Times New Roman"/>
                <w:b/>
                <w:color w:val="auto"/>
                <w:sz w:val="21"/>
                <w:szCs w:val="18"/>
                <w:highlight w:val="none"/>
              </w:rPr>
              <w:t xml:space="preserve">  项目与汉中市“三线一单”生态环境分区管控方案相符性分析</w:t>
            </w:r>
          </w:p>
          <w:tbl>
            <w:tblPr>
              <w:tblStyle w:val="36"/>
              <w:tblW w:w="8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5"/>
              <w:gridCol w:w="696"/>
              <w:gridCol w:w="2582"/>
              <w:gridCol w:w="889"/>
              <w:gridCol w:w="1187"/>
              <w:gridCol w:w="842"/>
              <w:gridCol w:w="1219"/>
            </w:tblGrid>
            <w:tr w14:paraId="61695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2" w:hRule="atLeast"/>
              </w:trPr>
              <w:tc>
                <w:tcPr>
                  <w:tcW w:w="394" w:type="pct"/>
                  <w:tcBorders>
                    <w:tl2br w:val="nil"/>
                    <w:tr2bl w:val="nil"/>
                  </w:tcBorders>
                  <w:vAlign w:val="center"/>
                </w:tcPr>
                <w:p w14:paraId="513FCD64">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适用</w:t>
                  </w:r>
                </w:p>
                <w:p w14:paraId="78C9F25E">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范围</w:t>
                  </w:r>
                </w:p>
              </w:tc>
              <w:tc>
                <w:tcPr>
                  <w:tcW w:w="432" w:type="pct"/>
                  <w:tcBorders>
                    <w:tl2br w:val="nil"/>
                    <w:tr2bl w:val="nil"/>
                  </w:tcBorders>
                  <w:vAlign w:val="center"/>
                </w:tcPr>
                <w:p w14:paraId="6E859C37">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管控</w:t>
                  </w:r>
                </w:p>
                <w:p w14:paraId="12585168">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维度</w:t>
                  </w:r>
                </w:p>
              </w:tc>
              <w:tc>
                <w:tcPr>
                  <w:tcW w:w="2155" w:type="pct"/>
                  <w:gridSpan w:val="2"/>
                  <w:tcBorders>
                    <w:tl2br w:val="nil"/>
                    <w:tr2bl w:val="nil"/>
                  </w:tcBorders>
                  <w:vAlign w:val="center"/>
                </w:tcPr>
                <w:p w14:paraId="273AF9B0">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管控要求</w:t>
                  </w:r>
                </w:p>
              </w:tc>
              <w:tc>
                <w:tcPr>
                  <w:tcW w:w="1260" w:type="pct"/>
                  <w:gridSpan w:val="2"/>
                  <w:tcBorders>
                    <w:tl2br w:val="nil"/>
                    <w:tr2bl w:val="nil"/>
                  </w:tcBorders>
                  <w:vAlign w:val="center"/>
                </w:tcPr>
                <w:p w14:paraId="20D0B66E">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本项目情况</w:t>
                  </w:r>
                </w:p>
              </w:tc>
              <w:tc>
                <w:tcPr>
                  <w:tcW w:w="757" w:type="pct"/>
                  <w:tcBorders>
                    <w:tl2br w:val="nil"/>
                    <w:tr2bl w:val="nil"/>
                  </w:tcBorders>
                  <w:vAlign w:val="center"/>
                </w:tcPr>
                <w:p w14:paraId="170C4AE7">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符合性</w:t>
                  </w:r>
                </w:p>
              </w:tc>
            </w:tr>
            <w:tr w14:paraId="36F1D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42" w:hRule="atLeast"/>
              </w:trPr>
              <w:tc>
                <w:tcPr>
                  <w:tcW w:w="394" w:type="pct"/>
                  <w:vMerge w:val="restart"/>
                  <w:tcBorders>
                    <w:tl2br w:val="nil"/>
                    <w:tr2bl w:val="nil"/>
                  </w:tcBorders>
                  <w:vAlign w:val="center"/>
                </w:tcPr>
                <w:p w14:paraId="072A6057">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总体</w:t>
                  </w:r>
                </w:p>
                <w:p w14:paraId="37701E70">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要求</w:t>
                  </w:r>
                </w:p>
              </w:tc>
              <w:tc>
                <w:tcPr>
                  <w:tcW w:w="432" w:type="pct"/>
                  <w:tcBorders>
                    <w:tl2br w:val="nil"/>
                    <w:tr2bl w:val="nil"/>
                  </w:tcBorders>
                  <w:vAlign w:val="center"/>
                </w:tcPr>
                <w:p w14:paraId="40042A07">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空间布局约束</w:t>
                  </w:r>
                </w:p>
              </w:tc>
              <w:tc>
                <w:tcPr>
                  <w:tcW w:w="2155" w:type="pct"/>
                  <w:gridSpan w:val="2"/>
                  <w:tcBorders>
                    <w:tl2br w:val="nil"/>
                    <w:tr2bl w:val="nil"/>
                  </w:tcBorders>
                  <w:vAlign w:val="center"/>
                </w:tcPr>
                <w:p w14:paraId="247FE460">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1.以汉台、南郑、城固为主，重点推进产业发展、城乡建设、设施配套，形成经济发展、人口承载的核心圈。</w:t>
                  </w:r>
                </w:p>
                <w:p w14:paraId="12939D79">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2.以汉台、城固、洋县、西乡、勉县、宁强、略阳、留坝、佛坪秦岭保护区域为主，以保护中央水塔为核心，以生态修复为抓手，全面加强水土保持、水源涵养、生物多样性保护，构筑汉中盆地北部的生态屏障。</w:t>
                  </w:r>
                </w:p>
                <w:p w14:paraId="7E9214F3">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3.以南郑、城固、洋县、西乡、勉县、宁强、镇巴巴山保护区域为主，全面加强生态空间、保护和修复，维护生物多样性，构筑汉中盆地南部的生态屏障。</w:t>
                  </w:r>
                </w:p>
                <w:p w14:paraId="3ABFC674">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4.以汉江为轴线，统筹推进城镇建设、园区布局，重点发展绿色工业、特色农业、生态旅游等产业。</w:t>
                  </w:r>
                </w:p>
                <w:p w14:paraId="12267A18">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5.严控“两高”项目准入。</w:t>
                  </w:r>
                </w:p>
                <w:p w14:paraId="45206BC5">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6.在汉江、嘉陵江两岸建设工业项目，应符合《中华人民共和国长江保护法》相关规定。</w:t>
                  </w:r>
                </w:p>
              </w:tc>
              <w:tc>
                <w:tcPr>
                  <w:tcW w:w="1260" w:type="pct"/>
                  <w:gridSpan w:val="2"/>
                  <w:tcBorders>
                    <w:tl2br w:val="nil"/>
                    <w:tr2bl w:val="nil"/>
                  </w:tcBorders>
                  <w:vAlign w:val="center"/>
                </w:tcPr>
                <w:p w14:paraId="2086DDA9">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本项目位于</w:t>
                  </w:r>
                  <w:r>
                    <w:rPr>
                      <w:rFonts w:hint="eastAsia" w:ascii="Times New Roman" w:cs="Times New Roman"/>
                      <w:color w:val="auto"/>
                      <w:sz w:val="21"/>
                      <w:szCs w:val="21"/>
                      <w:highlight w:val="none"/>
                    </w:rPr>
                    <w:t>洋县戚氏街道办事处戚氏村五组</w:t>
                  </w:r>
                  <w:r>
                    <w:rPr>
                      <w:rFonts w:ascii="Times New Roman" w:cs="Times New Roman"/>
                      <w:color w:val="auto"/>
                      <w:sz w:val="21"/>
                      <w:szCs w:val="21"/>
                      <w:highlight w:val="none"/>
                    </w:rPr>
                    <w:t>，</w:t>
                  </w:r>
                  <w:r>
                    <w:rPr>
                      <w:rFonts w:hint="eastAsia" w:ascii="Times New Roman" w:cs="Times New Roman"/>
                      <w:color w:val="auto"/>
                      <w:sz w:val="21"/>
                      <w:szCs w:val="21"/>
                      <w:highlight w:val="none"/>
                    </w:rPr>
                    <w:t>主要进行</w:t>
                  </w:r>
                  <w:r>
                    <w:rPr>
                      <w:rFonts w:hint="eastAsia" w:ascii="Times New Roman" w:cs="Times New Roman"/>
                      <w:color w:val="auto"/>
                      <w:sz w:val="21"/>
                      <w:szCs w:val="21"/>
                      <w:highlight w:val="none"/>
                      <w:lang w:eastAsia="zh-CN"/>
                    </w:rPr>
                    <w:t>建筑材料加工生产</w:t>
                  </w:r>
                  <w:r>
                    <w:rPr>
                      <w:rFonts w:ascii="Times New Roman" w:cs="Times New Roman"/>
                      <w:color w:val="auto"/>
                      <w:sz w:val="21"/>
                      <w:szCs w:val="21"/>
                      <w:highlight w:val="none"/>
                    </w:rPr>
                    <w:t>。根据《产业结构调整指导目录（</w:t>
                  </w:r>
                  <w:r>
                    <w:rPr>
                      <w:rFonts w:hint="eastAsia" w:ascii="Times New Roman" w:cs="Times New Roman"/>
                      <w:color w:val="auto"/>
                      <w:sz w:val="21"/>
                      <w:szCs w:val="21"/>
                      <w:highlight w:val="none"/>
                    </w:rPr>
                    <w:t>2024</w:t>
                  </w:r>
                  <w:r>
                    <w:rPr>
                      <w:rFonts w:ascii="Times New Roman" w:cs="Times New Roman"/>
                      <w:color w:val="auto"/>
                      <w:sz w:val="21"/>
                      <w:szCs w:val="21"/>
                      <w:highlight w:val="none"/>
                    </w:rPr>
                    <w:t>年本）》可知，本项目属于</w:t>
                  </w:r>
                  <w:r>
                    <w:rPr>
                      <w:rFonts w:hint="eastAsia" w:ascii="Times New Roman" w:cs="Times New Roman"/>
                      <w:color w:val="auto"/>
                      <w:sz w:val="21"/>
                      <w:szCs w:val="21"/>
                      <w:highlight w:val="none"/>
                    </w:rPr>
                    <w:t>“鼓励类”</w:t>
                  </w:r>
                  <w:r>
                    <w:rPr>
                      <w:rFonts w:ascii="Times New Roman" w:cs="Times New Roman"/>
                      <w:color w:val="auto"/>
                      <w:sz w:val="21"/>
                      <w:szCs w:val="21"/>
                      <w:highlight w:val="none"/>
                    </w:rPr>
                    <w:t>项目</w:t>
                  </w:r>
                  <w:r>
                    <w:rPr>
                      <w:rFonts w:hint="eastAsia" w:ascii="Times New Roman" w:cs="Times New Roman"/>
                      <w:color w:val="auto"/>
                      <w:sz w:val="21"/>
                      <w:szCs w:val="21"/>
                      <w:highlight w:val="none"/>
                    </w:rPr>
                    <w:t>。通过对比《陕西省“两高”项目管理暂行目录（2022年版）》（陕发改环资[2022]110号）可知，本项目不属于“两高”</w:t>
                  </w:r>
                  <w:r>
                    <w:rPr>
                      <w:rFonts w:hint="eastAsia" w:ascii="Times New Roman" w:cs="Times New Roman"/>
                      <w:color w:val="auto"/>
                      <w:sz w:val="21"/>
                      <w:szCs w:val="21"/>
                      <w:highlight w:val="none"/>
                      <w:lang w:eastAsia="zh-CN"/>
                    </w:rPr>
                    <w:t>及化工</w:t>
                  </w:r>
                  <w:r>
                    <w:rPr>
                      <w:rFonts w:hint="eastAsia" w:ascii="Times New Roman" w:cs="Times New Roman"/>
                      <w:color w:val="auto"/>
                      <w:sz w:val="21"/>
                      <w:szCs w:val="21"/>
                      <w:highlight w:val="none"/>
                    </w:rPr>
                    <w:t>项目；此外，项目</w:t>
                  </w:r>
                  <w:r>
                    <w:rPr>
                      <w:rFonts w:hint="eastAsia"/>
                      <w:color w:val="auto"/>
                      <w:sz w:val="21"/>
                      <w:szCs w:val="21"/>
                      <w:highlight w:val="none"/>
                    </w:rPr>
                    <w:t>最近地表水体为</w:t>
                  </w:r>
                  <w:r>
                    <w:rPr>
                      <w:rFonts w:hint="eastAsia"/>
                      <w:color w:val="auto"/>
                      <w:sz w:val="21"/>
                      <w:szCs w:val="21"/>
                      <w:highlight w:val="none"/>
                      <w:lang w:eastAsia="zh-CN"/>
                    </w:rPr>
                    <w:t>汉江</w:t>
                  </w:r>
                  <w:r>
                    <w:rPr>
                      <w:rFonts w:hint="eastAsia"/>
                      <w:color w:val="auto"/>
                      <w:sz w:val="21"/>
                      <w:szCs w:val="21"/>
                      <w:highlight w:val="none"/>
                    </w:rPr>
                    <w:t>（长江</w:t>
                  </w:r>
                  <w:r>
                    <w:rPr>
                      <w:rFonts w:hint="eastAsia"/>
                      <w:color w:val="auto"/>
                      <w:sz w:val="21"/>
                      <w:szCs w:val="21"/>
                      <w:highlight w:val="none"/>
                      <w:lang w:eastAsia="zh-CN"/>
                    </w:rPr>
                    <w:t>一</w:t>
                  </w:r>
                  <w:r>
                    <w:rPr>
                      <w:rFonts w:hint="eastAsia"/>
                      <w:color w:val="auto"/>
                      <w:sz w:val="21"/>
                      <w:szCs w:val="21"/>
                      <w:highlight w:val="none"/>
                    </w:rPr>
                    <w:t>级支流），厂区选址</w:t>
                  </w:r>
                  <w:r>
                    <w:rPr>
                      <w:rFonts w:hint="eastAsia"/>
                      <w:color w:val="auto"/>
                      <w:sz w:val="21"/>
                      <w:szCs w:val="21"/>
                      <w:highlight w:val="none"/>
                      <w:lang w:eastAsia="zh-CN"/>
                    </w:rPr>
                    <w:t>虽</w:t>
                  </w:r>
                  <w:r>
                    <w:rPr>
                      <w:rFonts w:hint="eastAsia"/>
                      <w:color w:val="auto"/>
                      <w:sz w:val="21"/>
                      <w:szCs w:val="21"/>
                      <w:highlight w:val="none"/>
                    </w:rPr>
                    <w:t>在长江干支流岸线</w:t>
                  </w:r>
                  <w:r>
                    <w:rPr>
                      <w:rFonts w:ascii="Times New Roman" w:cs="Times New Roman"/>
                      <w:color w:val="auto"/>
                      <w:sz w:val="21"/>
                      <w:szCs w:val="21"/>
                      <w:highlight w:val="none"/>
                    </w:rPr>
                    <w:t>1km</w:t>
                  </w:r>
                  <w:r>
                    <w:rPr>
                      <w:rFonts w:hint="eastAsia"/>
                      <w:color w:val="auto"/>
                      <w:sz w:val="21"/>
                      <w:szCs w:val="21"/>
                      <w:highlight w:val="none"/>
                    </w:rPr>
                    <w:t>范围内，</w:t>
                  </w:r>
                  <w:r>
                    <w:rPr>
                      <w:rFonts w:hint="eastAsia"/>
                      <w:color w:val="auto"/>
                      <w:sz w:val="21"/>
                      <w:szCs w:val="21"/>
                      <w:highlight w:val="none"/>
                      <w:lang w:eastAsia="zh-CN"/>
                    </w:rPr>
                    <w:t>但</w:t>
                  </w:r>
                  <w:r>
                    <w:rPr>
                      <w:rFonts w:hint="eastAsia"/>
                      <w:color w:val="auto"/>
                      <w:sz w:val="21"/>
                      <w:szCs w:val="21"/>
                      <w:highlight w:val="none"/>
                    </w:rPr>
                    <w:t>生产经营内容不属于《中华人民共和国长江保护法》中禁止行为。</w:t>
                  </w:r>
                </w:p>
              </w:tc>
              <w:tc>
                <w:tcPr>
                  <w:tcW w:w="757" w:type="pct"/>
                  <w:tcBorders>
                    <w:tl2br w:val="nil"/>
                    <w:tr2bl w:val="nil"/>
                  </w:tcBorders>
                  <w:vAlign w:val="center"/>
                </w:tcPr>
                <w:p w14:paraId="4CBF2EEF">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7380F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14" w:hRule="atLeast"/>
              </w:trPr>
              <w:tc>
                <w:tcPr>
                  <w:tcW w:w="394" w:type="pct"/>
                  <w:vMerge w:val="continue"/>
                  <w:tcBorders>
                    <w:tl2br w:val="nil"/>
                    <w:tr2bl w:val="nil"/>
                  </w:tcBorders>
                  <w:vAlign w:val="center"/>
                </w:tcPr>
                <w:p w14:paraId="761B9AE5">
                  <w:pPr>
                    <w:pStyle w:val="45"/>
                    <w:jc w:val="center"/>
                    <w:rPr>
                      <w:rFonts w:ascii="Times New Roman" w:cs="Times New Roman"/>
                      <w:color w:val="auto"/>
                      <w:sz w:val="21"/>
                      <w:szCs w:val="21"/>
                      <w:highlight w:val="none"/>
                    </w:rPr>
                  </w:pPr>
                </w:p>
              </w:tc>
              <w:tc>
                <w:tcPr>
                  <w:tcW w:w="432" w:type="pct"/>
                  <w:tcBorders>
                    <w:tl2br w:val="nil"/>
                    <w:tr2bl w:val="nil"/>
                  </w:tcBorders>
                  <w:vAlign w:val="center"/>
                </w:tcPr>
                <w:p w14:paraId="1EFBA759">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污染排放管控</w:t>
                  </w:r>
                </w:p>
              </w:tc>
              <w:tc>
                <w:tcPr>
                  <w:tcW w:w="2155" w:type="pct"/>
                  <w:gridSpan w:val="2"/>
                  <w:tcBorders>
                    <w:tl2br w:val="nil"/>
                    <w:tr2bl w:val="nil"/>
                  </w:tcBorders>
                  <w:vAlign w:val="center"/>
                </w:tcPr>
                <w:p w14:paraId="64D9C6BF">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1.城镇生活污水治理：全面加强城镇生活污水处理设施建设和运行管理。</w:t>
                  </w:r>
                </w:p>
                <w:p w14:paraId="3BDF29B1">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2.农村生活污水处理：因地制宜地建设农村污水处理设施，有效减少农村污水直排现象。</w:t>
                  </w:r>
                </w:p>
                <w:p w14:paraId="3E2ED511">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3.农业源污染管控：新建、改建、扩建规模化畜禽养殖场(小区)要实施雨污分流和粪便污水资源化利用。</w:t>
                  </w:r>
                </w:p>
                <w:p w14:paraId="59D9D35D">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4.控制温室气体排放：调整优化能源结构，打造低碳产业布局。</w:t>
                  </w:r>
                </w:p>
                <w:p w14:paraId="048B970A">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5.固体废物污染防治：推动以尾矿、粉煤灰、冶炼渣、工业副产品石膏等大宗工业固体废物为重点的综合利用。</w:t>
                  </w:r>
                </w:p>
                <w:p w14:paraId="7C406231">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6.工业源污染治理：持续推进工业污染源减排，完成全市钢铁、建材等行业超低排放改造，规范金属矿采选、非金属矿物制品等行业颗粒物排放管理。</w:t>
                  </w:r>
                </w:p>
                <w:p w14:paraId="65D936BC">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7.新建“两高”项目应依据区域环境质量改善目标，落实区域削减要求。</w:t>
                  </w:r>
                </w:p>
              </w:tc>
              <w:tc>
                <w:tcPr>
                  <w:tcW w:w="1260" w:type="pct"/>
                  <w:gridSpan w:val="2"/>
                  <w:tcBorders>
                    <w:tl2br w:val="nil"/>
                    <w:tr2bl w:val="nil"/>
                  </w:tcBorders>
                  <w:vAlign w:val="center"/>
                </w:tcPr>
                <w:p w14:paraId="78CF4C67">
                  <w:pPr>
                    <w:pStyle w:val="45"/>
                    <w:jc w:val="both"/>
                    <w:rPr>
                      <w:rFonts w:ascii="Times New Roman" w:cs="Times New Roman"/>
                      <w:color w:val="auto"/>
                      <w:sz w:val="21"/>
                      <w:szCs w:val="21"/>
                      <w:highlight w:val="none"/>
                    </w:rPr>
                  </w:pPr>
                  <w:r>
                    <w:rPr>
                      <w:rFonts w:hint="eastAsia" w:ascii="Times New Roman" w:cs="Times New Roman"/>
                      <w:color w:val="auto"/>
                      <w:sz w:val="21"/>
                      <w:szCs w:val="21"/>
                      <w:highlight w:val="none"/>
                    </w:rPr>
                    <w:t>本项目不属于“两高”项目，运营期废水、废气、噪声以及固废均采取对应的污染防治措施。</w:t>
                  </w:r>
                  <w:r>
                    <w:rPr>
                      <w:rFonts w:hint="eastAsia" w:ascii="Times New Roman" w:cs="Times New Roman"/>
                      <w:color w:val="auto"/>
                      <w:sz w:val="21"/>
                      <w:szCs w:val="21"/>
                      <w:highlight w:val="none"/>
                      <w:lang w:eastAsia="zh-CN"/>
                    </w:rPr>
                    <w:t>加工</w:t>
                  </w:r>
                  <w:r>
                    <w:rPr>
                      <w:rFonts w:hint="eastAsia" w:ascii="Times New Roman" w:cs="Times New Roman"/>
                      <w:color w:val="auto"/>
                      <w:sz w:val="21"/>
                      <w:szCs w:val="21"/>
                      <w:highlight w:val="none"/>
                    </w:rPr>
                    <w:t>过程粉尘经“集气设施+袋式除尘器”处理后达标排放</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rPr>
                    <w:t>生活污水经化粪池处理后，用于周边农田施肥</w:t>
                  </w:r>
                  <w:r>
                    <w:rPr>
                      <w:rFonts w:hint="eastAsia" w:ascii="Times New Roman" w:cs="Times New Roman"/>
                      <w:color w:val="auto"/>
                      <w:sz w:val="21"/>
                      <w:szCs w:val="21"/>
                      <w:highlight w:val="none"/>
                      <w:lang w:eastAsia="zh-CN"/>
                    </w:rPr>
                    <w:t>，不外排</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eastAsia="zh-CN"/>
                    </w:rPr>
                    <w:t>洗车废水经沉淀池处理后回用；</w:t>
                  </w:r>
                  <w:r>
                    <w:rPr>
                      <w:rFonts w:hint="eastAsia" w:ascii="Times New Roman" w:cs="Times New Roman"/>
                      <w:color w:val="auto"/>
                      <w:sz w:val="21"/>
                      <w:szCs w:val="21"/>
                      <w:highlight w:val="none"/>
                    </w:rPr>
                    <w:t>固废均进行资源化或无害化处置。</w:t>
                  </w:r>
                </w:p>
              </w:tc>
              <w:tc>
                <w:tcPr>
                  <w:tcW w:w="757" w:type="pct"/>
                  <w:tcBorders>
                    <w:tl2br w:val="nil"/>
                    <w:tr2bl w:val="nil"/>
                  </w:tcBorders>
                  <w:vAlign w:val="center"/>
                </w:tcPr>
                <w:p w14:paraId="3322926C">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2B969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65" w:hRule="atLeast"/>
              </w:trPr>
              <w:tc>
                <w:tcPr>
                  <w:tcW w:w="394" w:type="pct"/>
                  <w:vMerge w:val="continue"/>
                  <w:tcBorders>
                    <w:tl2br w:val="nil"/>
                    <w:tr2bl w:val="nil"/>
                  </w:tcBorders>
                  <w:vAlign w:val="center"/>
                </w:tcPr>
                <w:p w14:paraId="50A74EED">
                  <w:pPr>
                    <w:pStyle w:val="45"/>
                    <w:jc w:val="center"/>
                    <w:rPr>
                      <w:rFonts w:ascii="Times New Roman" w:cs="Times New Roman"/>
                      <w:color w:val="auto"/>
                      <w:sz w:val="21"/>
                      <w:szCs w:val="21"/>
                      <w:highlight w:val="none"/>
                    </w:rPr>
                  </w:pPr>
                </w:p>
              </w:tc>
              <w:tc>
                <w:tcPr>
                  <w:tcW w:w="432" w:type="pct"/>
                  <w:tcBorders>
                    <w:tl2br w:val="nil"/>
                    <w:tr2bl w:val="nil"/>
                  </w:tcBorders>
                  <w:vAlign w:val="center"/>
                </w:tcPr>
                <w:p w14:paraId="48442C22">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环境</w:t>
                  </w:r>
                </w:p>
                <w:p w14:paraId="22F871D4">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风险</w:t>
                  </w:r>
                </w:p>
                <w:p w14:paraId="3195789B">
                  <w:pPr>
                    <w:pStyle w:val="45"/>
                    <w:jc w:val="center"/>
                    <w:rPr>
                      <w:rFonts w:ascii="Times New Roman" w:cs="Times New Roman"/>
                      <w:color w:val="auto"/>
                      <w:sz w:val="21"/>
                      <w:szCs w:val="21"/>
                      <w:highlight w:val="none"/>
                    </w:rPr>
                  </w:pPr>
                  <w:r>
                    <w:rPr>
                      <w:rFonts w:ascii="Times New Roman" w:cs="Times New Roman"/>
                      <w:color w:val="auto"/>
                      <w:sz w:val="21"/>
                      <w:szCs w:val="21"/>
                      <w:highlight w:val="none"/>
                    </w:rPr>
                    <w:t>防控</w:t>
                  </w:r>
                </w:p>
              </w:tc>
              <w:tc>
                <w:tcPr>
                  <w:tcW w:w="2155" w:type="pct"/>
                  <w:gridSpan w:val="2"/>
                  <w:tcBorders>
                    <w:tl2br w:val="nil"/>
                    <w:tr2bl w:val="nil"/>
                  </w:tcBorders>
                  <w:vAlign w:val="center"/>
                </w:tcPr>
                <w:p w14:paraId="0198C83B">
                  <w:pPr>
                    <w:pStyle w:val="45"/>
                    <w:jc w:val="both"/>
                    <w:rPr>
                      <w:rFonts w:ascii="Times New Roman" w:cs="Times New Roman"/>
                      <w:color w:val="auto"/>
                      <w:sz w:val="21"/>
                      <w:szCs w:val="21"/>
                      <w:highlight w:val="none"/>
                    </w:rPr>
                  </w:pPr>
                  <w:r>
                    <w:rPr>
                      <w:rFonts w:ascii="Times New Roman" w:cs="Times New Roman"/>
                      <w:color w:val="auto"/>
                      <w:sz w:val="21"/>
                      <w:szCs w:val="21"/>
                      <w:highlight w:val="none"/>
                    </w:rPr>
                    <w:t>1.坚持预防为主原则，将环境风险纳入常态化管理。</w:t>
                  </w:r>
                </w:p>
                <w:p w14:paraId="5E83759B">
                  <w:pPr>
                    <w:pStyle w:val="45"/>
                    <w:jc w:val="both"/>
                    <w:rPr>
                      <w:rFonts w:ascii="Times New Roman" w:cs="Times New Roman"/>
                      <w:color w:val="auto"/>
                      <w:sz w:val="21"/>
                      <w:szCs w:val="21"/>
                      <w:highlight w:val="none"/>
                    </w:rPr>
                  </w:pPr>
                  <w:r>
                    <w:rPr>
                      <w:rFonts w:hint="eastAsia" w:ascii="Times New Roman" w:cs="Times New Roman"/>
                      <w:color w:val="auto"/>
                      <w:sz w:val="21"/>
                      <w:szCs w:val="21"/>
                      <w:highlight w:val="none"/>
                    </w:rPr>
                    <w:t>2.</w:t>
                  </w:r>
                  <w:r>
                    <w:rPr>
                      <w:rFonts w:ascii="Times New Roman" w:cs="Times New Roman"/>
                      <w:color w:val="auto"/>
                      <w:sz w:val="21"/>
                      <w:szCs w:val="21"/>
                      <w:highlight w:val="none"/>
                    </w:rPr>
                    <w:t>加强土壤污染重点监管单位排污许可管理，严格控制有毒有害物质排放，落实土壤污染隐患排查制度。</w:t>
                  </w:r>
                </w:p>
              </w:tc>
              <w:tc>
                <w:tcPr>
                  <w:tcW w:w="1260" w:type="pct"/>
                  <w:gridSpan w:val="2"/>
                  <w:tcBorders>
                    <w:tl2br w:val="nil"/>
                    <w:tr2bl w:val="nil"/>
                  </w:tcBorders>
                  <w:vAlign w:val="center"/>
                </w:tcPr>
                <w:p w14:paraId="156F8A81">
                  <w:pPr>
                    <w:rPr>
                      <w:color w:val="auto"/>
                      <w:szCs w:val="21"/>
                      <w:highlight w:val="none"/>
                    </w:rPr>
                  </w:pPr>
                  <w:r>
                    <w:rPr>
                      <w:rFonts w:hint="eastAsia"/>
                      <w:color w:val="auto"/>
                      <w:szCs w:val="21"/>
                      <w:highlight w:val="none"/>
                    </w:rPr>
                    <w:t>本项目化粪池、原料区、生产区等均</w:t>
                  </w:r>
                  <w:r>
                    <w:rPr>
                      <w:rFonts w:hint="eastAsia"/>
                      <w:color w:val="auto"/>
                      <w:szCs w:val="21"/>
                      <w:highlight w:val="none"/>
                      <w:lang w:eastAsia="zh-CN"/>
                    </w:rPr>
                    <w:t>已</w:t>
                  </w:r>
                  <w:r>
                    <w:rPr>
                      <w:rFonts w:hint="eastAsia"/>
                      <w:color w:val="auto"/>
                      <w:szCs w:val="21"/>
                      <w:highlight w:val="none"/>
                    </w:rPr>
                    <w:t>进行</w:t>
                  </w:r>
                  <w:r>
                    <w:rPr>
                      <w:rFonts w:hint="eastAsia"/>
                      <w:color w:val="auto"/>
                      <w:szCs w:val="21"/>
                      <w:highlight w:val="none"/>
                      <w:lang w:eastAsia="zh-CN"/>
                    </w:rPr>
                    <w:t>了</w:t>
                  </w:r>
                  <w:r>
                    <w:rPr>
                      <w:rFonts w:hint="eastAsia"/>
                      <w:color w:val="auto"/>
                      <w:szCs w:val="21"/>
                      <w:highlight w:val="none"/>
                    </w:rPr>
                    <w:t>一般</w:t>
                  </w:r>
                  <w:r>
                    <w:rPr>
                      <w:color w:val="auto"/>
                      <w:szCs w:val="21"/>
                      <w:highlight w:val="none"/>
                    </w:rPr>
                    <w:t>防渗处理，</w:t>
                  </w:r>
                  <w:r>
                    <w:rPr>
                      <w:rFonts w:hint="eastAsia"/>
                      <w:color w:val="auto"/>
                      <w:szCs w:val="21"/>
                      <w:highlight w:val="none"/>
                    </w:rPr>
                    <w:t>危废间</w:t>
                  </w:r>
                  <w:r>
                    <w:rPr>
                      <w:rFonts w:hint="eastAsia"/>
                      <w:color w:val="auto"/>
                      <w:szCs w:val="21"/>
                      <w:highlight w:val="none"/>
                      <w:lang w:eastAsia="zh-CN"/>
                    </w:rPr>
                    <w:t>地面</w:t>
                  </w:r>
                  <w:r>
                    <w:rPr>
                      <w:rFonts w:hint="eastAsia"/>
                      <w:color w:val="auto"/>
                      <w:szCs w:val="21"/>
                      <w:highlight w:val="none"/>
                    </w:rPr>
                    <w:t>需</w:t>
                  </w:r>
                  <w:r>
                    <w:rPr>
                      <w:rFonts w:hint="eastAsia"/>
                      <w:color w:val="auto"/>
                      <w:szCs w:val="21"/>
                      <w:highlight w:val="none"/>
                      <w:lang w:eastAsia="zh-CN"/>
                    </w:rPr>
                    <w:t>铺设符合渗透系数要求的防渗材料，并设置托盘</w:t>
                  </w:r>
                  <w:r>
                    <w:rPr>
                      <w:rFonts w:hint="eastAsia"/>
                      <w:color w:val="auto"/>
                      <w:szCs w:val="21"/>
                      <w:highlight w:val="none"/>
                    </w:rPr>
                    <w:t>。采取上述措施后，运营期可有效</w:t>
                  </w:r>
                  <w:r>
                    <w:rPr>
                      <w:color w:val="auto"/>
                      <w:szCs w:val="21"/>
                      <w:highlight w:val="none"/>
                    </w:rPr>
                    <w:t>降低环境风险</w:t>
                  </w:r>
                  <w:r>
                    <w:rPr>
                      <w:rFonts w:hint="eastAsia"/>
                      <w:color w:val="auto"/>
                      <w:szCs w:val="21"/>
                      <w:highlight w:val="none"/>
                    </w:rPr>
                    <w:t>。</w:t>
                  </w:r>
                </w:p>
              </w:tc>
              <w:tc>
                <w:tcPr>
                  <w:tcW w:w="757" w:type="pct"/>
                  <w:tcBorders>
                    <w:tl2br w:val="nil"/>
                    <w:tr2bl w:val="nil"/>
                  </w:tcBorders>
                  <w:vAlign w:val="center"/>
                </w:tcPr>
                <w:p w14:paraId="0B831ED3">
                  <w:pPr>
                    <w:jc w:val="center"/>
                    <w:rPr>
                      <w:color w:val="auto"/>
                      <w:szCs w:val="21"/>
                      <w:highlight w:val="none"/>
                    </w:rPr>
                  </w:pPr>
                  <w:r>
                    <w:rPr>
                      <w:rFonts w:hint="eastAsia"/>
                      <w:color w:val="auto"/>
                      <w:szCs w:val="21"/>
                      <w:highlight w:val="none"/>
                    </w:rPr>
                    <w:t>符合</w:t>
                  </w:r>
                </w:p>
              </w:tc>
            </w:tr>
            <w:tr w14:paraId="51245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394" w:type="pct"/>
                  <w:tcBorders>
                    <w:tl2br w:val="nil"/>
                    <w:tr2bl w:val="nil"/>
                  </w:tcBorders>
                  <w:vAlign w:val="center"/>
                </w:tcPr>
                <w:p w14:paraId="5C9E7CEF">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25CB0715">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单元</w:t>
                  </w:r>
                </w:p>
              </w:tc>
              <w:tc>
                <w:tcPr>
                  <w:tcW w:w="432" w:type="pct"/>
                  <w:tcBorders>
                    <w:tl2br w:val="nil"/>
                    <w:tr2bl w:val="nil"/>
                  </w:tcBorders>
                  <w:vAlign w:val="center"/>
                </w:tcPr>
                <w:p w14:paraId="58202D19">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209467AB">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维度</w:t>
                  </w:r>
                </w:p>
              </w:tc>
              <w:tc>
                <w:tcPr>
                  <w:tcW w:w="1603" w:type="pct"/>
                  <w:tcBorders>
                    <w:tl2br w:val="nil"/>
                    <w:tr2bl w:val="nil"/>
                  </w:tcBorders>
                  <w:vAlign w:val="center"/>
                </w:tcPr>
                <w:p w14:paraId="5E716C29">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管控要求</w:t>
                  </w:r>
                </w:p>
              </w:tc>
              <w:tc>
                <w:tcPr>
                  <w:tcW w:w="1289" w:type="pct"/>
                  <w:gridSpan w:val="2"/>
                  <w:tcBorders>
                    <w:tl2br w:val="nil"/>
                    <w:tr2bl w:val="nil"/>
                  </w:tcBorders>
                  <w:vAlign w:val="center"/>
                </w:tcPr>
                <w:p w14:paraId="1EB5B53F">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本项目情况</w:t>
                  </w:r>
                </w:p>
              </w:tc>
              <w:tc>
                <w:tcPr>
                  <w:tcW w:w="522" w:type="pct"/>
                  <w:tcBorders>
                    <w:tl2br w:val="nil"/>
                    <w:tr2bl w:val="nil"/>
                  </w:tcBorders>
                  <w:vAlign w:val="center"/>
                </w:tcPr>
                <w:p w14:paraId="5CF02273">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符合性</w:t>
                  </w:r>
                </w:p>
                <w:p w14:paraId="3A54624B">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分析</w:t>
                  </w:r>
                </w:p>
              </w:tc>
              <w:tc>
                <w:tcPr>
                  <w:tcW w:w="757" w:type="pct"/>
                  <w:tcBorders>
                    <w:tl2br w:val="nil"/>
                    <w:tr2bl w:val="nil"/>
                  </w:tcBorders>
                  <w:vAlign w:val="center"/>
                </w:tcPr>
                <w:p w14:paraId="76F35CD7">
                  <w:pPr>
                    <w:pStyle w:val="45"/>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占地面积</w:t>
                  </w:r>
                </w:p>
              </w:tc>
            </w:tr>
            <w:tr w14:paraId="02C19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88" w:hRule="atLeast"/>
              </w:trPr>
              <w:tc>
                <w:tcPr>
                  <w:tcW w:w="394" w:type="pct"/>
                  <w:vMerge w:val="restart"/>
                  <w:tcBorders>
                    <w:tl2br w:val="nil"/>
                    <w:tr2bl w:val="nil"/>
                  </w:tcBorders>
                  <w:vAlign w:val="center"/>
                </w:tcPr>
                <w:p w14:paraId="121679D0">
                  <w:pPr>
                    <w:jc w:val="center"/>
                    <w:rPr>
                      <w:color w:val="auto"/>
                      <w:szCs w:val="21"/>
                      <w:highlight w:val="none"/>
                    </w:rPr>
                  </w:pPr>
                  <w:r>
                    <w:rPr>
                      <w:rFonts w:hint="eastAsia"/>
                      <w:color w:val="auto"/>
                      <w:szCs w:val="21"/>
                      <w:highlight w:val="none"/>
                      <w:lang w:eastAsia="zh-CN"/>
                    </w:rPr>
                    <w:t>洋县现代材料工业园区</w:t>
                  </w:r>
                </w:p>
              </w:tc>
              <w:tc>
                <w:tcPr>
                  <w:tcW w:w="432" w:type="pct"/>
                  <w:tcBorders>
                    <w:tl2br w:val="nil"/>
                    <w:tr2bl w:val="nil"/>
                  </w:tcBorders>
                  <w:vAlign w:val="center"/>
                </w:tcPr>
                <w:p w14:paraId="1EBF10E6">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空间布局约束</w:t>
                  </w:r>
                </w:p>
              </w:tc>
              <w:tc>
                <w:tcPr>
                  <w:tcW w:w="1603" w:type="pct"/>
                  <w:tcBorders>
                    <w:tl2br w:val="nil"/>
                    <w:tr2bl w:val="nil"/>
                  </w:tcBorders>
                  <w:vAlign w:val="center"/>
                </w:tcPr>
                <w:p w14:paraId="173C488C">
                  <w:pPr>
                    <w:snapToGri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1.不得引入列入《环境准入负面清单》的项目。</w:t>
                  </w:r>
                </w:p>
                <w:p w14:paraId="75D36230">
                  <w:pPr>
                    <w:snapToGri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2.对不符合</w:t>
                  </w:r>
                  <w:r>
                    <w:rPr>
                      <w:rFonts w:hint="eastAsia" w:cs="Times New Roman"/>
                      <w:color w:val="auto"/>
                      <w:kern w:val="0"/>
                      <w:sz w:val="21"/>
                      <w:szCs w:val="21"/>
                      <w:highlight w:val="none"/>
                      <w:lang w:eastAsia="zh-CN"/>
                    </w:rPr>
                    <w:t>园区</w:t>
                  </w:r>
                  <w:r>
                    <w:rPr>
                      <w:rFonts w:hint="default" w:ascii="Times New Roman" w:hAnsi="Times New Roman" w:eastAsia="宋体" w:cs="Times New Roman"/>
                      <w:color w:val="auto"/>
                      <w:kern w:val="0"/>
                      <w:sz w:val="21"/>
                      <w:szCs w:val="21"/>
                      <w:highlight w:val="none"/>
                    </w:rPr>
                    <w:t>产业布局的现有企业制定迁出计划，或者调整园区规划产业布局，确保现有企业与规划的产业布局相符。</w:t>
                  </w:r>
                </w:p>
                <w:p w14:paraId="45716BA7">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zh-CN"/>
                    </w:rPr>
                    <w:t>3.农用地安全利用重点管控区执行本清单汉中市总体准入要求中“</w:t>
                  </w:r>
                  <w:r>
                    <w:rPr>
                      <w:rFonts w:hint="default" w:ascii="Times New Roman" w:hAnsi="Times New Roman" w:eastAsia="宋体" w:cs="Times New Roman"/>
                      <w:b/>
                      <w:color w:val="auto"/>
                      <w:sz w:val="21"/>
                      <w:szCs w:val="21"/>
                      <w:highlight w:val="none"/>
                      <w:lang w:bidi="zh-CN"/>
                    </w:rPr>
                    <w:t>5.7农用地污染风险重点管控区</w:t>
                  </w:r>
                  <w:r>
                    <w:rPr>
                      <w:rFonts w:hint="default" w:ascii="Times New Roman" w:hAnsi="Times New Roman" w:eastAsia="宋体" w:cs="Times New Roman"/>
                      <w:color w:val="auto"/>
                      <w:sz w:val="21"/>
                      <w:szCs w:val="21"/>
                      <w:highlight w:val="none"/>
                      <w:lang w:bidi="zh-CN"/>
                    </w:rPr>
                    <w:t>”准入要求。</w:t>
                  </w:r>
                </w:p>
              </w:tc>
              <w:tc>
                <w:tcPr>
                  <w:tcW w:w="1289" w:type="pct"/>
                  <w:gridSpan w:val="2"/>
                  <w:tcBorders>
                    <w:tl2br w:val="nil"/>
                    <w:tr2bl w:val="nil"/>
                  </w:tcBorders>
                  <w:vAlign w:val="center"/>
                </w:tcPr>
                <w:p w14:paraId="09C90B6E">
                  <w:pPr>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r>
                    <w:rPr>
                      <w:rFonts w:hint="eastAsia" w:hAnsi="宋体"/>
                      <w:color w:val="auto"/>
                      <w:szCs w:val="21"/>
                      <w:highlight w:val="none"/>
                      <w:lang w:eastAsia="zh-CN"/>
                    </w:rPr>
                    <w:t>根据洋县绿色（有机）循环产业园区管理委员会关于本项目的回复可知，本项目符合园区整体发展方向，考虑到园区土地紧缺等原因，原则同意企业利用现有生物基材料产业板块内场地进行生产。此外，本项目用地为工业用地，不涉及农用地。</w:t>
                  </w:r>
                </w:p>
              </w:tc>
              <w:tc>
                <w:tcPr>
                  <w:tcW w:w="522" w:type="pct"/>
                  <w:tcBorders>
                    <w:tl2br w:val="nil"/>
                    <w:tr2bl w:val="nil"/>
                  </w:tcBorders>
                  <w:vAlign w:val="center"/>
                </w:tcPr>
                <w:p w14:paraId="240F209D">
                  <w:pPr>
                    <w:jc w:val="center"/>
                    <w:rPr>
                      <w:color w:val="auto"/>
                      <w:szCs w:val="21"/>
                      <w:highlight w:val="none"/>
                    </w:rPr>
                  </w:pPr>
                  <w:r>
                    <w:rPr>
                      <w:color w:val="auto"/>
                      <w:szCs w:val="21"/>
                      <w:highlight w:val="none"/>
                    </w:rPr>
                    <w:t>符合</w:t>
                  </w:r>
                </w:p>
              </w:tc>
              <w:tc>
                <w:tcPr>
                  <w:tcW w:w="757" w:type="pct"/>
                  <w:vMerge w:val="restart"/>
                  <w:tcBorders>
                    <w:tl2br w:val="nil"/>
                    <w:tr2bl w:val="nil"/>
                  </w:tcBorders>
                  <w:vAlign w:val="center"/>
                </w:tcPr>
                <w:p w14:paraId="3A0301CE">
                  <w:pPr>
                    <w:jc w:val="center"/>
                    <w:rPr>
                      <w:color w:val="auto"/>
                      <w:szCs w:val="21"/>
                      <w:highlight w:val="none"/>
                    </w:rPr>
                  </w:pPr>
                  <w:r>
                    <w:rPr>
                      <w:rFonts w:hint="eastAsia"/>
                      <w:color w:val="auto"/>
                      <w:szCs w:val="21"/>
                      <w:highlight w:val="none"/>
                      <w:lang w:val="en-US" w:eastAsia="zh-CN"/>
                    </w:rPr>
                    <w:t>18866.478m</w:t>
                  </w:r>
                  <w:r>
                    <w:rPr>
                      <w:rFonts w:hint="eastAsia"/>
                      <w:color w:val="auto"/>
                      <w:szCs w:val="21"/>
                      <w:highlight w:val="none"/>
                      <w:vertAlign w:val="superscript"/>
                      <w:lang w:val="en-US" w:eastAsia="zh-CN"/>
                    </w:rPr>
                    <w:t>2</w:t>
                  </w:r>
                </w:p>
              </w:tc>
            </w:tr>
            <w:tr w14:paraId="0DD7D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1" w:hRule="atLeast"/>
              </w:trPr>
              <w:tc>
                <w:tcPr>
                  <w:tcW w:w="394" w:type="pct"/>
                  <w:vMerge w:val="continue"/>
                  <w:tcBorders>
                    <w:tl2br w:val="nil"/>
                    <w:tr2bl w:val="nil"/>
                  </w:tcBorders>
                  <w:vAlign w:val="center"/>
                </w:tcPr>
                <w:p w14:paraId="5BF53B70">
                  <w:pPr>
                    <w:jc w:val="center"/>
                    <w:rPr>
                      <w:color w:val="auto"/>
                      <w:szCs w:val="21"/>
                      <w:highlight w:val="none"/>
                    </w:rPr>
                  </w:pPr>
                </w:p>
              </w:tc>
              <w:tc>
                <w:tcPr>
                  <w:tcW w:w="432" w:type="pct"/>
                  <w:tcBorders>
                    <w:tl2br w:val="nil"/>
                    <w:tr2bl w:val="nil"/>
                  </w:tcBorders>
                  <w:vAlign w:val="center"/>
                </w:tcPr>
                <w:p w14:paraId="1D6C7688">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污染物排放管控</w:t>
                  </w:r>
                </w:p>
              </w:tc>
              <w:tc>
                <w:tcPr>
                  <w:tcW w:w="1603" w:type="pct"/>
                  <w:tcBorders>
                    <w:tl2br w:val="nil"/>
                    <w:tr2bl w:val="nil"/>
                  </w:tcBorders>
                  <w:vAlign w:val="center"/>
                </w:tcPr>
                <w:p w14:paraId="62CFCA7A">
                  <w:pPr>
                    <w:numPr>
                      <w:ilvl w:val="0"/>
                      <w:numId w:val="0"/>
                    </w:numPr>
                    <w:snapToGrid w:val="0"/>
                    <w:rPr>
                      <w:rFonts w:hint="default" w:ascii="Times New Roman" w:hAnsi="Times New Roman" w:eastAsia="宋体" w:cs="Times New Roman"/>
                      <w:color w:val="auto"/>
                      <w:sz w:val="21"/>
                      <w:szCs w:val="21"/>
                      <w:highlight w:val="none"/>
                      <w:lang w:bidi="zh-CN"/>
                    </w:rPr>
                  </w:pPr>
                  <w:r>
                    <w:rPr>
                      <w:rFonts w:hint="eastAsia" w:ascii="Times New Roman" w:hAnsi="Times New Roman" w:eastAsia="宋体" w:cs="Times New Roman"/>
                      <w:color w:val="auto"/>
                      <w:sz w:val="21"/>
                      <w:szCs w:val="21"/>
                      <w:highlight w:val="none"/>
                      <w:lang w:val="en-US" w:bidi="zh-CN"/>
                    </w:rPr>
                    <w:t>1.</w:t>
                  </w:r>
                  <w:r>
                    <w:rPr>
                      <w:rFonts w:hint="default" w:ascii="Times New Roman" w:hAnsi="Times New Roman" w:eastAsia="宋体" w:cs="Times New Roman"/>
                      <w:color w:val="auto"/>
                      <w:sz w:val="21"/>
                      <w:szCs w:val="21"/>
                      <w:highlight w:val="none"/>
                      <w:lang w:bidi="zh-CN"/>
                    </w:rPr>
                    <w:t>不得在汉江、溢水河上设置新的废水排放口。</w:t>
                  </w:r>
                </w:p>
                <w:p w14:paraId="3BF09460">
                  <w:pPr>
                    <w:numPr>
                      <w:ilvl w:val="0"/>
                      <w:numId w:val="0"/>
                    </w:num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zh-CN"/>
                    </w:rPr>
                    <w:t>2.制定区域污染物减排方案及污染物总量管控要求，采取有效措施减少主要污染物和挥发性有机物等污染物的排放总量，确保区域环境质量达标。</w:t>
                  </w:r>
                </w:p>
              </w:tc>
              <w:tc>
                <w:tcPr>
                  <w:tcW w:w="1289" w:type="pct"/>
                  <w:gridSpan w:val="2"/>
                  <w:tcBorders>
                    <w:tl2br w:val="nil"/>
                    <w:tr2bl w:val="nil"/>
                  </w:tcBorders>
                  <w:vAlign w:val="center"/>
                </w:tcPr>
                <w:p w14:paraId="7225A13A">
                  <w:pPr>
                    <w:rPr>
                      <w:color w:val="auto"/>
                      <w:szCs w:val="21"/>
                      <w:highlight w:val="none"/>
                    </w:rPr>
                  </w:pPr>
                  <w:r>
                    <w:rPr>
                      <w:rFonts w:hint="eastAsia"/>
                      <w:color w:val="auto"/>
                      <w:szCs w:val="21"/>
                      <w:highlight w:val="none"/>
                    </w:rPr>
                    <w:t>本项目</w:t>
                  </w:r>
                  <w:r>
                    <w:rPr>
                      <w:rFonts w:hint="eastAsia"/>
                      <w:color w:val="auto"/>
                      <w:szCs w:val="21"/>
                      <w:highlight w:val="none"/>
                      <w:lang w:eastAsia="zh-CN"/>
                    </w:rPr>
                    <w:t>位于环境质量达标区，厂区无废水排放口；运营期无生产废水产生，生活污水经化粪池处理后用于周边农田施肥，不外排，</w:t>
                  </w:r>
                  <w:r>
                    <w:rPr>
                      <w:rFonts w:hint="eastAsia" w:ascii="Times New Roman" w:cs="Times New Roman"/>
                      <w:color w:val="auto"/>
                      <w:sz w:val="21"/>
                      <w:szCs w:val="21"/>
                      <w:highlight w:val="none"/>
                      <w:lang w:eastAsia="zh-CN"/>
                    </w:rPr>
                    <w:t>洗车废水经沉淀池处理后回用</w:t>
                  </w:r>
                  <w:r>
                    <w:rPr>
                      <w:rFonts w:hint="eastAsia"/>
                      <w:color w:val="auto"/>
                      <w:szCs w:val="21"/>
                      <w:highlight w:val="none"/>
                      <w:lang w:eastAsia="zh-CN"/>
                    </w:rPr>
                    <w:t>。采取集尘设施</w:t>
                  </w:r>
                  <w:r>
                    <w:rPr>
                      <w:rFonts w:hint="eastAsia"/>
                      <w:color w:val="auto"/>
                      <w:szCs w:val="21"/>
                      <w:highlight w:val="none"/>
                      <w:lang w:val="en-US" w:eastAsia="zh-CN"/>
                    </w:rPr>
                    <w:t>+布袋除尘器、合理控制装卸料高度、原料区进行三面封闭+顶棚处理、成品区封闭处理等措施处理有组织和无组织废气，确保废气达标排放。</w:t>
                  </w:r>
                </w:p>
              </w:tc>
              <w:tc>
                <w:tcPr>
                  <w:tcW w:w="522" w:type="pct"/>
                  <w:tcBorders>
                    <w:tl2br w:val="nil"/>
                    <w:tr2bl w:val="nil"/>
                  </w:tcBorders>
                  <w:vAlign w:val="center"/>
                </w:tcPr>
                <w:p w14:paraId="5A38EEC2">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0FE7D231">
                  <w:pPr>
                    <w:jc w:val="center"/>
                    <w:rPr>
                      <w:color w:val="auto"/>
                      <w:szCs w:val="21"/>
                      <w:highlight w:val="none"/>
                    </w:rPr>
                  </w:pPr>
                </w:p>
              </w:tc>
            </w:tr>
            <w:tr w14:paraId="660F1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394" w:type="pct"/>
                  <w:vMerge w:val="continue"/>
                  <w:tcBorders>
                    <w:tl2br w:val="nil"/>
                    <w:tr2bl w:val="nil"/>
                  </w:tcBorders>
                  <w:vAlign w:val="center"/>
                </w:tcPr>
                <w:p w14:paraId="20C7AEBC">
                  <w:pPr>
                    <w:jc w:val="center"/>
                    <w:rPr>
                      <w:color w:val="auto"/>
                      <w:szCs w:val="21"/>
                      <w:highlight w:val="none"/>
                    </w:rPr>
                  </w:pPr>
                </w:p>
              </w:tc>
              <w:tc>
                <w:tcPr>
                  <w:tcW w:w="432" w:type="pct"/>
                  <w:tcBorders>
                    <w:tl2br w:val="nil"/>
                    <w:tr2bl w:val="nil"/>
                  </w:tcBorders>
                  <w:vAlign w:val="center"/>
                </w:tcPr>
                <w:p w14:paraId="36F1AAA8">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环境风险防控</w:t>
                  </w:r>
                </w:p>
              </w:tc>
              <w:tc>
                <w:tcPr>
                  <w:tcW w:w="1603" w:type="pct"/>
                  <w:tcBorders>
                    <w:tl2br w:val="nil"/>
                    <w:tr2bl w:val="nil"/>
                  </w:tcBorders>
                  <w:vAlign w:val="center"/>
                </w:tcPr>
                <w:p w14:paraId="1EF62508">
                  <w:pPr>
                    <w:numPr>
                      <w:ilvl w:val="0"/>
                      <w:numId w:val="0"/>
                    </w:numPr>
                    <w:snapToGrid w:val="0"/>
                    <w:jc w:val="left"/>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加强园区危险化学品等储运的环境风险管理，强化应急响应联动机制，防范对汉江水质的影响，保证区域的水环境安全。</w:t>
                  </w:r>
                </w:p>
                <w:p w14:paraId="58233BC9">
                  <w:pPr>
                    <w:numPr>
                      <w:ilvl w:val="0"/>
                      <w:numId w:val="0"/>
                    </w:numPr>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zh-CN"/>
                    </w:rPr>
                    <w:t>2.农用地安全利用重点管控区执行本清单汉中市总体准入要求中“</w:t>
                  </w:r>
                  <w:r>
                    <w:rPr>
                      <w:rFonts w:hint="default" w:ascii="Times New Roman" w:hAnsi="Times New Roman" w:eastAsia="宋体" w:cs="Times New Roman"/>
                      <w:b/>
                      <w:color w:val="auto"/>
                      <w:sz w:val="21"/>
                      <w:szCs w:val="21"/>
                      <w:highlight w:val="none"/>
                      <w:lang w:bidi="zh-CN"/>
                    </w:rPr>
                    <w:t>5.7农用地污染风险重点管控区</w:t>
                  </w:r>
                  <w:r>
                    <w:rPr>
                      <w:rFonts w:hint="default" w:ascii="Times New Roman" w:hAnsi="Times New Roman" w:eastAsia="宋体" w:cs="Times New Roman"/>
                      <w:color w:val="auto"/>
                      <w:sz w:val="21"/>
                      <w:szCs w:val="21"/>
                      <w:highlight w:val="none"/>
                      <w:lang w:bidi="zh-CN"/>
                    </w:rPr>
                    <w:t>”准入要求。</w:t>
                  </w:r>
                </w:p>
              </w:tc>
              <w:tc>
                <w:tcPr>
                  <w:tcW w:w="1289" w:type="pct"/>
                  <w:gridSpan w:val="2"/>
                  <w:tcBorders>
                    <w:tl2br w:val="nil"/>
                    <w:tr2bl w:val="nil"/>
                  </w:tcBorders>
                  <w:vAlign w:val="center"/>
                </w:tcPr>
                <w:p w14:paraId="308114C4">
                  <w:pPr>
                    <w:rPr>
                      <w:rFonts w:hint="eastAsia" w:eastAsia="宋体"/>
                      <w:color w:val="auto"/>
                      <w:szCs w:val="21"/>
                      <w:highlight w:val="none"/>
                      <w:lang w:eastAsia="zh-CN"/>
                    </w:rPr>
                  </w:pPr>
                  <w:r>
                    <w:rPr>
                      <w:rFonts w:hint="eastAsia"/>
                      <w:color w:val="auto"/>
                      <w:szCs w:val="21"/>
                      <w:highlight w:val="none"/>
                      <w:lang w:eastAsia="zh-CN"/>
                    </w:rPr>
                    <w:t>本项目环境风险物质—废润滑油采用专用容器收集后保存于危废暂存间，底部设置有托盘，执行定期巡检制度，运营期不会对汉江水质造成影响。</w:t>
                  </w:r>
                  <w:r>
                    <w:rPr>
                      <w:rFonts w:hint="eastAsia" w:hAnsi="宋体"/>
                      <w:color w:val="auto"/>
                      <w:szCs w:val="21"/>
                      <w:highlight w:val="none"/>
                      <w:lang w:eastAsia="zh-CN"/>
                    </w:rPr>
                    <w:t>此外，本项目用地为工业用地，不涉及农用地。</w:t>
                  </w:r>
                </w:p>
              </w:tc>
              <w:tc>
                <w:tcPr>
                  <w:tcW w:w="522" w:type="pct"/>
                  <w:tcBorders>
                    <w:tl2br w:val="nil"/>
                    <w:tr2bl w:val="nil"/>
                  </w:tcBorders>
                  <w:vAlign w:val="center"/>
                </w:tcPr>
                <w:p w14:paraId="2803A2CC">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53560F7F">
                  <w:pPr>
                    <w:jc w:val="center"/>
                    <w:rPr>
                      <w:color w:val="auto"/>
                      <w:szCs w:val="21"/>
                      <w:highlight w:val="none"/>
                    </w:rPr>
                  </w:pPr>
                </w:p>
              </w:tc>
            </w:tr>
            <w:tr w14:paraId="387E8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4" w:hRule="atLeast"/>
              </w:trPr>
              <w:tc>
                <w:tcPr>
                  <w:tcW w:w="394" w:type="pct"/>
                  <w:vMerge w:val="continue"/>
                  <w:tcBorders>
                    <w:tl2br w:val="nil"/>
                    <w:tr2bl w:val="nil"/>
                  </w:tcBorders>
                  <w:vAlign w:val="center"/>
                </w:tcPr>
                <w:p w14:paraId="7A9739CA">
                  <w:pPr>
                    <w:jc w:val="center"/>
                    <w:rPr>
                      <w:color w:val="auto"/>
                      <w:szCs w:val="21"/>
                      <w:highlight w:val="none"/>
                    </w:rPr>
                  </w:pPr>
                </w:p>
              </w:tc>
              <w:tc>
                <w:tcPr>
                  <w:tcW w:w="432" w:type="pct"/>
                  <w:tcBorders>
                    <w:tl2br w:val="nil"/>
                    <w:tr2bl w:val="nil"/>
                  </w:tcBorders>
                  <w:vAlign w:val="center"/>
                </w:tcPr>
                <w:p w14:paraId="4F8BF14D">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资源利用效率要求</w:t>
                  </w:r>
                </w:p>
              </w:tc>
              <w:tc>
                <w:tcPr>
                  <w:tcW w:w="1603" w:type="pct"/>
                  <w:tcBorders>
                    <w:tl2br w:val="nil"/>
                    <w:tr2bl w:val="nil"/>
                  </w:tcBorders>
                  <w:vAlign w:val="center"/>
                </w:tcPr>
                <w:p w14:paraId="2AC2D13E">
                  <w:pPr>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优化区内能源结构、提升清洁能源使用率、循环利用规划应明确园区污水处理厂建设进度计划，同步规划中水用系统，污废水经处理后尽量综合利用</w:t>
                  </w:r>
                </w:p>
              </w:tc>
              <w:tc>
                <w:tcPr>
                  <w:tcW w:w="1289" w:type="pct"/>
                  <w:gridSpan w:val="2"/>
                  <w:tcBorders>
                    <w:tl2br w:val="nil"/>
                    <w:tr2bl w:val="nil"/>
                  </w:tcBorders>
                  <w:vAlign w:val="center"/>
                </w:tcPr>
                <w:p w14:paraId="40691828">
                  <w:pPr>
                    <w:rPr>
                      <w:color w:val="auto"/>
                      <w:szCs w:val="21"/>
                      <w:highlight w:val="none"/>
                    </w:rPr>
                  </w:pPr>
                  <w:r>
                    <w:rPr>
                      <w:rFonts w:hint="eastAsia"/>
                      <w:color w:val="auto"/>
                      <w:szCs w:val="21"/>
                      <w:highlight w:val="none"/>
                    </w:rPr>
                    <w:t>本项目</w:t>
                  </w:r>
                  <w:r>
                    <w:rPr>
                      <w:rFonts w:hint="eastAsia"/>
                      <w:color w:val="auto"/>
                      <w:szCs w:val="21"/>
                      <w:highlight w:val="none"/>
                      <w:lang w:eastAsia="zh-CN"/>
                    </w:rPr>
                    <w:t>采用清洁能源—电，运营期无生产废水产生，生活污水经化粪池处理后用于周边农田施肥；</w:t>
                  </w:r>
                  <w:r>
                    <w:rPr>
                      <w:rFonts w:hint="eastAsia" w:ascii="Times New Roman" w:cs="Times New Roman"/>
                      <w:color w:val="auto"/>
                      <w:sz w:val="21"/>
                      <w:szCs w:val="21"/>
                      <w:highlight w:val="none"/>
                      <w:lang w:eastAsia="zh-CN"/>
                    </w:rPr>
                    <w:t>洗车废水经沉淀池处理后回用</w:t>
                  </w:r>
                  <w:r>
                    <w:rPr>
                      <w:rFonts w:hint="eastAsia"/>
                      <w:color w:val="auto"/>
                      <w:szCs w:val="21"/>
                      <w:highlight w:val="none"/>
                    </w:rPr>
                    <w:t>。</w:t>
                  </w:r>
                </w:p>
              </w:tc>
              <w:tc>
                <w:tcPr>
                  <w:tcW w:w="522" w:type="pct"/>
                  <w:tcBorders>
                    <w:tl2br w:val="nil"/>
                    <w:tr2bl w:val="nil"/>
                  </w:tcBorders>
                  <w:vAlign w:val="center"/>
                </w:tcPr>
                <w:p w14:paraId="3993D3A5">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3A869629">
                  <w:pPr>
                    <w:jc w:val="center"/>
                    <w:rPr>
                      <w:color w:val="auto"/>
                      <w:szCs w:val="21"/>
                      <w:highlight w:val="none"/>
                    </w:rPr>
                  </w:pPr>
                </w:p>
              </w:tc>
            </w:tr>
          </w:tbl>
          <w:p w14:paraId="32B54886">
            <w:pPr>
              <w:pStyle w:val="135"/>
              <w:spacing w:line="360" w:lineRule="auto"/>
              <w:rPr>
                <w:color w:val="auto"/>
                <w:sz w:val="24"/>
                <w:highlight w:val="none"/>
              </w:rPr>
            </w:pPr>
            <w:r>
              <w:rPr>
                <w:rFonts w:hint="eastAsia" w:ascii="宋体" w:cs="宋体"/>
                <w:color w:val="auto"/>
                <w:sz w:val="24"/>
                <w:highlight w:val="none"/>
              </w:rPr>
              <w:t>③</w:t>
            </w:r>
            <w:r>
              <w:rPr>
                <w:rFonts w:hint="eastAsia"/>
                <w:color w:val="auto"/>
                <w:sz w:val="24"/>
                <w:highlight w:val="none"/>
              </w:rPr>
              <w:t>一说明：</w:t>
            </w:r>
          </w:p>
          <w:p w14:paraId="5B587F74">
            <w:pPr>
              <w:pStyle w:val="2"/>
              <w:spacing w:line="360" w:lineRule="auto"/>
              <w:ind w:firstLine="480" w:firstLineChars="200"/>
              <w:rPr>
                <w:rFonts w:ascii="Times New Roman" w:hAnsi="Times New Roman" w:cs="Times New Roman"/>
                <w:color w:val="auto"/>
                <w:szCs w:val="32"/>
                <w:highlight w:val="none"/>
              </w:rPr>
            </w:pPr>
            <w:r>
              <w:rPr>
                <w:rFonts w:ascii="Times New Roman" w:hAnsi="Times New Roman" w:cs="Times New Roman"/>
                <w:color w:val="auto"/>
                <w:highlight w:val="none"/>
              </w:rPr>
              <w:t>根据图1-1和表1-</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中对比结果可知，本项目符合汉中市</w:t>
            </w:r>
            <w:r>
              <w:rPr>
                <w:rFonts w:ascii="Times New Roman" w:hAnsi="Times New Roman" w:cs="Times New Roman"/>
                <w:color w:val="auto"/>
                <w:szCs w:val="32"/>
                <w:highlight w:val="none"/>
              </w:rPr>
              <w:t>生态环境管控单元中相关要求。</w:t>
            </w:r>
          </w:p>
          <w:p w14:paraId="62CDC3BE">
            <w:pPr>
              <w:pStyle w:val="135"/>
              <w:spacing w:line="360" w:lineRule="auto"/>
              <w:rPr>
                <w:color w:val="auto"/>
                <w:sz w:val="24"/>
                <w:highlight w:val="none"/>
              </w:rPr>
            </w:pPr>
            <w:r>
              <w:rPr>
                <w:rFonts w:hint="eastAsia"/>
                <w:color w:val="auto"/>
                <w:sz w:val="24"/>
                <w:highlight w:val="none"/>
              </w:rPr>
              <w:t>4、与省、市、县</w:t>
            </w:r>
            <w:r>
              <w:rPr>
                <w:rFonts w:hint="eastAsia"/>
                <w:color w:val="auto"/>
                <w:sz w:val="24"/>
                <w:highlight w:val="none"/>
                <w:lang w:eastAsia="zh-CN"/>
              </w:rPr>
              <w:t>（</w:t>
            </w:r>
            <w:r>
              <w:rPr>
                <w:rFonts w:hint="eastAsia"/>
                <w:color w:val="auto"/>
                <w:sz w:val="24"/>
                <w:highlight w:val="none"/>
              </w:rPr>
              <w:t>区</w:t>
            </w:r>
            <w:r>
              <w:rPr>
                <w:rFonts w:hint="eastAsia"/>
                <w:color w:val="auto"/>
                <w:sz w:val="24"/>
                <w:highlight w:val="none"/>
                <w:lang w:eastAsia="zh-CN"/>
              </w:rPr>
              <w:t>）</w:t>
            </w:r>
            <w:r>
              <w:rPr>
                <w:rFonts w:hint="eastAsia"/>
                <w:color w:val="auto"/>
                <w:sz w:val="24"/>
                <w:highlight w:val="none"/>
              </w:rPr>
              <w:t>“十四五”生态环境保护规划的符合性分析</w:t>
            </w:r>
          </w:p>
          <w:p w14:paraId="3DD165EF">
            <w:pPr>
              <w:wordWrap w:val="0"/>
              <w:jc w:val="center"/>
              <w:rPr>
                <w:b/>
                <w:bCs/>
                <w:color w:val="auto"/>
                <w:szCs w:val="21"/>
                <w:highlight w:val="none"/>
              </w:rPr>
            </w:pPr>
            <w:r>
              <w:rPr>
                <w:b/>
                <w:bCs/>
                <w:color w:val="auto"/>
                <w:szCs w:val="21"/>
                <w:highlight w:val="none"/>
              </w:rPr>
              <w:t>表1-</w:t>
            </w:r>
            <w:r>
              <w:rPr>
                <w:rFonts w:hint="eastAsia"/>
                <w:b/>
                <w:bCs/>
                <w:color w:val="auto"/>
                <w:szCs w:val="21"/>
                <w:highlight w:val="none"/>
                <w:lang w:val="en-US" w:eastAsia="zh-CN"/>
              </w:rPr>
              <w:t>4</w:t>
            </w:r>
            <w:r>
              <w:rPr>
                <w:b/>
                <w:bCs/>
                <w:color w:val="auto"/>
                <w:szCs w:val="21"/>
                <w:highlight w:val="none"/>
              </w:rPr>
              <w:t xml:space="preserve">  </w:t>
            </w:r>
            <w:r>
              <w:rPr>
                <w:rFonts w:hint="eastAsia"/>
                <w:b/>
                <w:bCs/>
                <w:color w:val="auto"/>
                <w:szCs w:val="21"/>
                <w:highlight w:val="none"/>
              </w:rPr>
              <w:t>本</w:t>
            </w:r>
            <w:r>
              <w:rPr>
                <w:b/>
                <w:bCs/>
                <w:color w:val="auto"/>
                <w:szCs w:val="21"/>
                <w:highlight w:val="none"/>
              </w:rPr>
              <w:t>项目与</w:t>
            </w:r>
            <w:r>
              <w:rPr>
                <w:rFonts w:hint="eastAsia"/>
                <w:b/>
                <w:bCs/>
                <w:color w:val="auto"/>
                <w:szCs w:val="21"/>
                <w:highlight w:val="none"/>
              </w:rPr>
              <w:t>省、市、县区“十四五”生态环境保护规划的符合性一览表</w:t>
            </w:r>
          </w:p>
          <w:tbl>
            <w:tblPr>
              <w:tblStyle w:val="36"/>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4121"/>
              <w:gridCol w:w="1582"/>
              <w:gridCol w:w="1023"/>
            </w:tblGrid>
            <w:tr w14:paraId="2A0BB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tcBorders>
                    <w:tl2br w:val="nil"/>
                    <w:tr2bl w:val="nil"/>
                  </w:tcBorders>
                  <w:vAlign w:val="center"/>
                </w:tcPr>
                <w:p w14:paraId="2E9C992D">
                  <w:pPr>
                    <w:wordWrap w:val="0"/>
                    <w:jc w:val="center"/>
                    <w:rPr>
                      <w:color w:val="auto"/>
                      <w:szCs w:val="21"/>
                      <w:highlight w:val="none"/>
                    </w:rPr>
                  </w:pPr>
                  <w:r>
                    <w:rPr>
                      <w:color w:val="auto"/>
                      <w:szCs w:val="21"/>
                      <w:highlight w:val="none"/>
                    </w:rPr>
                    <w:t>相关政策</w:t>
                  </w:r>
                </w:p>
              </w:tc>
              <w:tc>
                <w:tcPr>
                  <w:tcW w:w="4121" w:type="dxa"/>
                  <w:tcBorders>
                    <w:tl2br w:val="nil"/>
                    <w:tr2bl w:val="nil"/>
                  </w:tcBorders>
                  <w:vAlign w:val="center"/>
                </w:tcPr>
                <w:p w14:paraId="68283DE6">
                  <w:pPr>
                    <w:wordWrap w:val="0"/>
                    <w:jc w:val="center"/>
                    <w:rPr>
                      <w:color w:val="auto"/>
                      <w:szCs w:val="21"/>
                      <w:highlight w:val="none"/>
                    </w:rPr>
                  </w:pPr>
                  <w:r>
                    <w:rPr>
                      <w:color w:val="auto"/>
                      <w:szCs w:val="21"/>
                      <w:highlight w:val="none"/>
                    </w:rPr>
                    <w:t>内容</w:t>
                  </w:r>
                </w:p>
              </w:tc>
              <w:tc>
                <w:tcPr>
                  <w:tcW w:w="1582" w:type="dxa"/>
                  <w:tcBorders>
                    <w:tl2br w:val="nil"/>
                    <w:tr2bl w:val="nil"/>
                  </w:tcBorders>
                  <w:vAlign w:val="center"/>
                </w:tcPr>
                <w:p w14:paraId="45BB3710">
                  <w:pPr>
                    <w:wordWrap w:val="0"/>
                    <w:jc w:val="center"/>
                    <w:rPr>
                      <w:color w:val="auto"/>
                      <w:szCs w:val="21"/>
                      <w:highlight w:val="none"/>
                    </w:rPr>
                  </w:pPr>
                  <w:r>
                    <w:rPr>
                      <w:color w:val="auto"/>
                      <w:szCs w:val="21"/>
                      <w:highlight w:val="none"/>
                    </w:rPr>
                    <w:t>本项目情况</w:t>
                  </w:r>
                </w:p>
              </w:tc>
              <w:tc>
                <w:tcPr>
                  <w:tcW w:w="1023" w:type="dxa"/>
                  <w:tcBorders>
                    <w:tl2br w:val="nil"/>
                    <w:tr2bl w:val="nil"/>
                  </w:tcBorders>
                  <w:vAlign w:val="center"/>
                </w:tcPr>
                <w:p w14:paraId="7972890F">
                  <w:pPr>
                    <w:wordWrap w:val="0"/>
                    <w:jc w:val="center"/>
                    <w:rPr>
                      <w:color w:val="auto"/>
                      <w:szCs w:val="21"/>
                      <w:highlight w:val="none"/>
                    </w:rPr>
                  </w:pPr>
                  <w:r>
                    <w:rPr>
                      <w:color w:val="auto"/>
                      <w:szCs w:val="21"/>
                      <w:highlight w:val="none"/>
                    </w:rPr>
                    <w:t>符合性</w:t>
                  </w:r>
                </w:p>
              </w:tc>
            </w:tr>
            <w:tr w14:paraId="59013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8" w:hRule="atLeast"/>
              </w:trPr>
              <w:tc>
                <w:tcPr>
                  <w:tcW w:w="1382" w:type="dxa"/>
                  <w:vMerge w:val="restart"/>
                  <w:tcBorders>
                    <w:tl2br w:val="nil"/>
                    <w:tr2bl w:val="nil"/>
                  </w:tcBorders>
                  <w:vAlign w:val="center"/>
                </w:tcPr>
                <w:p w14:paraId="4B789E54">
                  <w:pPr>
                    <w:wordWrap w:val="0"/>
                    <w:jc w:val="both"/>
                    <w:rPr>
                      <w:color w:val="auto"/>
                      <w:szCs w:val="21"/>
                      <w:highlight w:val="none"/>
                    </w:rPr>
                  </w:pPr>
                  <w:r>
                    <w:rPr>
                      <w:rFonts w:hint="eastAsia"/>
                      <w:color w:val="auto"/>
                      <w:szCs w:val="21"/>
                      <w:highlight w:val="none"/>
                    </w:rPr>
                    <w:t>《陕西省“十四五”生态环境保护规划》（陕政办发[2021]25号）</w:t>
                  </w:r>
                </w:p>
              </w:tc>
              <w:tc>
                <w:tcPr>
                  <w:tcW w:w="4121" w:type="dxa"/>
                  <w:tcBorders>
                    <w:tl2br w:val="nil"/>
                    <w:tr2bl w:val="nil"/>
                  </w:tcBorders>
                  <w:vAlign w:val="center"/>
                </w:tcPr>
                <w:p w14:paraId="6E2CF154">
                  <w:pPr>
                    <w:wordWrap w:val="0"/>
                    <w:jc w:val="left"/>
                    <w:rPr>
                      <w:b/>
                      <w:bCs/>
                      <w:color w:val="auto"/>
                      <w:szCs w:val="21"/>
                      <w:highlight w:val="none"/>
                    </w:rPr>
                  </w:pPr>
                  <w:r>
                    <w:rPr>
                      <w:rFonts w:hint="eastAsia"/>
                      <w:b/>
                      <w:bCs/>
                      <w:color w:val="auto"/>
                      <w:szCs w:val="21"/>
                      <w:highlight w:val="none"/>
                    </w:rPr>
                    <w:t>第五章</w:t>
                  </w:r>
                  <w:r>
                    <w:rPr>
                      <w:b/>
                      <w:bCs/>
                      <w:color w:val="auto"/>
                      <w:szCs w:val="21"/>
                      <w:highlight w:val="none"/>
                    </w:rPr>
                    <w:t>第二节</w:t>
                  </w:r>
                  <w:r>
                    <w:rPr>
                      <w:rFonts w:hint="eastAsia"/>
                      <w:b/>
                      <w:bCs/>
                      <w:color w:val="auto"/>
                      <w:szCs w:val="21"/>
                      <w:highlight w:val="none"/>
                    </w:rPr>
                    <w:t>—</w:t>
                  </w:r>
                  <w:r>
                    <w:rPr>
                      <w:b/>
                      <w:bCs/>
                      <w:color w:val="auto"/>
                      <w:szCs w:val="21"/>
                      <w:highlight w:val="none"/>
                    </w:rPr>
                    <w:t>持续推进重点污染源治理</w:t>
                  </w:r>
                </w:p>
                <w:p w14:paraId="794F4514">
                  <w:pPr>
                    <w:wordWrap w:val="0"/>
                    <w:jc w:val="left"/>
                    <w:rPr>
                      <w:color w:val="auto"/>
                      <w:szCs w:val="21"/>
                      <w:highlight w:val="none"/>
                    </w:rPr>
                  </w:pPr>
                  <w:r>
                    <w:rPr>
                      <w:rFonts w:hint="eastAsia"/>
                      <w:color w:val="auto"/>
                      <w:szCs w:val="21"/>
                      <w:highlight w:val="none"/>
                    </w:rPr>
                    <w:t>加强扬尘精细化管控。建立扬尘污染源清单，实现扬尘污染源动态管理，构建“过程全覆盖、管理全方位、责任全链条”的扬尘防治体系。全面推行绿色施工，将绿色施工纳入企业资质和信用评价。对重点区域道路、水务等线性工程进行分段施工。大力推进低尘机械化湿式清扫作业，加大重要路段冲洗保洁力度，渣土车实施硬覆盖与全密闭运输，强化道路绿化用地扬尘治理。大型煤炭、矿石、干散货堆场，全面完成抑尘设施建设和物</w:t>
                  </w:r>
                  <w:r>
                    <w:rPr>
                      <w:rFonts w:hint="eastAsia"/>
                      <w:color w:val="auto"/>
                      <w:szCs w:val="21"/>
                      <w:highlight w:val="none"/>
                      <w:lang w:eastAsia="zh-CN"/>
                    </w:rPr>
                    <w:t>料运</w:t>
                  </w:r>
                  <w:r>
                    <w:rPr>
                      <w:rFonts w:hint="eastAsia"/>
                      <w:color w:val="auto"/>
                      <w:szCs w:val="21"/>
                      <w:highlight w:val="none"/>
                    </w:rPr>
                    <w:t>输。鼓励有条件的堆场实施全封闭改造。</w:t>
                  </w:r>
                </w:p>
              </w:tc>
              <w:tc>
                <w:tcPr>
                  <w:tcW w:w="1582" w:type="dxa"/>
                  <w:vMerge w:val="restart"/>
                  <w:tcBorders>
                    <w:tl2br w:val="nil"/>
                    <w:tr2bl w:val="nil"/>
                  </w:tcBorders>
                  <w:vAlign w:val="center"/>
                </w:tcPr>
                <w:p w14:paraId="5FCB2EB2">
                  <w:pPr>
                    <w:rPr>
                      <w:color w:val="auto"/>
                      <w:highlight w:val="none"/>
                    </w:rPr>
                  </w:pPr>
                  <w:r>
                    <w:rPr>
                      <w:rFonts w:hint="eastAsia"/>
                      <w:color w:val="auto"/>
                      <w:highlight w:val="none"/>
                    </w:rPr>
                    <w:t>①</w:t>
                  </w:r>
                  <w:r>
                    <w:rPr>
                      <w:color w:val="auto"/>
                      <w:highlight w:val="none"/>
                    </w:rPr>
                    <w:t>本项目</w:t>
                  </w:r>
                  <w:r>
                    <w:rPr>
                      <w:rFonts w:hint="eastAsia"/>
                      <w:color w:val="auto"/>
                      <w:highlight w:val="none"/>
                      <w:lang w:eastAsia="zh-CN"/>
                    </w:rPr>
                    <w:t>原料及产品</w:t>
                  </w:r>
                  <w:r>
                    <w:rPr>
                      <w:rFonts w:hint="eastAsia"/>
                      <w:color w:val="auto"/>
                      <w:highlight w:val="none"/>
                    </w:rPr>
                    <w:t>运输过程中采取密闭、篷布遮盖等措施，减少运输扬尘的产生；利用现有沉淀池，定期对运输车辆进行冲洗，冲洗水回用不外排</w:t>
                  </w:r>
                  <w:r>
                    <w:rPr>
                      <w:rFonts w:hint="eastAsia"/>
                      <w:color w:val="auto"/>
                      <w:highlight w:val="none"/>
                      <w:lang w:eastAsia="zh-CN"/>
                    </w:rPr>
                    <w:t>；此外，定期对厂区地面进行洒水抑尘</w:t>
                  </w:r>
                  <w:r>
                    <w:rPr>
                      <w:rFonts w:hint="eastAsia"/>
                      <w:color w:val="auto"/>
                      <w:highlight w:val="none"/>
                    </w:rPr>
                    <w:t>。</w:t>
                  </w:r>
                </w:p>
                <w:p w14:paraId="1CB1A207">
                  <w:pPr>
                    <w:rPr>
                      <w:color w:val="auto"/>
                      <w:highlight w:val="none"/>
                    </w:rPr>
                  </w:pPr>
                  <w:r>
                    <w:rPr>
                      <w:rFonts w:hint="eastAsia"/>
                      <w:color w:val="auto"/>
                      <w:highlight w:val="none"/>
                    </w:rPr>
                    <w:t>②</w:t>
                  </w:r>
                  <w:r>
                    <w:rPr>
                      <w:rFonts w:hint="eastAsia"/>
                      <w:color w:val="auto"/>
                      <w:highlight w:val="none"/>
                      <w:lang w:eastAsia="zh-CN"/>
                    </w:rPr>
                    <w:t>本项目成品区位于生产车间内（封闭结构，仅保留出入口）</w:t>
                  </w:r>
                  <w:r>
                    <w:rPr>
                      <w:rFonts w:hint="eastAsia"/>
                      <w:color w:val="auto"/>
                      <w:highlight w:val="none"/>
                    </w:rPr>
                    <w:t>，原料区</w:t>
                  </w:r>
                  <w:r>
                    <w:rPr>
                      <w:rFonts w:hint="eastAsia"/>
                      <w:color w:val="auto"/>
                      <w:highlight w:val="none"/>
                      <w:lang w:eastAsia="zh-CN"/>
                    </w:rPr>
                    <w:t>进行</w:t>
                  </w:r>
                  <w:r>
                    <w:rPr>
                      <w:rFonts w:hint="eastAsia"/>
                      <w:color w:val="auto"/>
                      <w:highlight w:val="none"/>
                    </w:rPr>
                    <w:t>三面围挡+顶棚</w:t>
                  </w:r>
                  <w:r>
                    <w:rPr>
                      <w:rFonts w:hint="eastAsia"/>
                      <w:color w:val="auto"/>
                      <w:highlight w:val="none"/>
                      <w:lang w:eastAsia="zh-CN"/>
                    </w:rPr>
                    <w:t>处置。</w:t>
                  </w:r>
                </w:p>
                <w:p w14:paraId="41398FE4">
                  <w:pPr>
                    <w:pStyle w:val="46"/>
                    <w:spacing w:line="240" w:lineRule="auto"/>
                    <w:ind w:firstLine="0" w:firstLineChars="0"/>
                    <w:rPr>
                      <w:color w:val="auto"/>
                      <w:highlight w:val="none"/>
                    </w:rPr>
                  </w:pPr>
                  <w:r>
                    <w:rPr>
                      <w:rFonts w:ascii="Times New Roman" w:hAnsi="Times New Roman"/>
                      <w:color w:val="auto"/>
                      <w:sz w:val="21"/>
                      <w:szCs w:val="21"/>
                      <w:highlight w:val="none"/>
                    </w:rPr>
                    <w:t>③</w:t>
                  </w:r>
                  <w:r>
                    <w:rPr>
                      <w:rFonts w:hint="eastAsia" w:ascii="Times New Roman" w:cs="Times New Roman"/>
                      <w:color w:val="auto"/>
                      <w:sz w:val="21"/>
                      <w:szCs w:val="21"/>
                      <w:highlight w:val="none"/>
                    </w:rPr>
                    <w:t>生活污水经化粪池处理后，用于周边农田施肥</w:t>
                  </w:r>
                  <w:r>
                    <w:rPr>
                      <w:rFonts w:hint="eastAsia" w:ascii="Times New Roman" w:cs="Times New Roman"/>
                      <w:color w:val="auto"/>
                      <w:sz w:val="21"/>
                      <w:szCs w:val="21"/>
                      <w:highlight w:val="none"/>
                      <w:lang w:eastAsia="zh-CN"/>
                    </w:rPr>
                    <w:t>，不外排</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eastAsia="zh-CN"/>
                    </w:rPr>
                    <w:t>洗车废水经沉淀池处理后回用</w:t>
                  </w:r>
                  <w:r>
                    <w:rPr>
                      <w:rFonts w:hint="eastAsia" w:ascii="Times New Roman" w:hAnsi="Times New Roman"/>
                      <w:color w:val="auto"/>
                      <w:sz w:val="21"/>
                      <w:szCs w:val="21"/>
                      <w:highlight w:val="none"/>
                    </w:rPr>
                    <w:t>。</w:t>
                  </w:r>
                </w:p>
              </w:tc>
              <w:tc>
                <w:tcPr>
                  <w:tcW w:w="1023" w:type="dxa"/>
                  <w:vMerge w:val="restart"/>
                  <w:tcBorders>
                    <w:tl2br w:val="nil"/>
                    <w:tr2bl w:val="nil"/>
                  </w:tcBorders>
                  <w:vAlign w:val="center"/>
                </w:tcPr>
                <w:p w14:paraId="6F005144">
                  <w:pPr>
                    <w:wordWrap w:val="0"/>
                    <w:jc w:val="center"/>
                    <w:rPr>
                      <w:color w:val="auto"/>
                      <w:szCs w:val="21"/>
                      <w:highlight w:val="none"/>
                    </w:rPr>
                  </w:pPr>
                  <w:r>
                    <w:rPr>
                      <w:color w:val="auto"/>
                      <w:szCs w:val="21"/>
                      <w:highlight w:val="none"/>
                    </w:rPr>
                    <w:t>符合</w:t>
                  </w:r>
                </w:p>
              </w:tc>
            </w:tr>
            <w:tr w14:paraId="32BED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1382" w:type="dxa"/>
                  <w:vMerge w:val="restart"/>
                  <w:tcBorders>
                    <w:tl2br w:val="nil"/>
                    <w:tr2bl w:val="nil"/>
                  </w:tcBorders>
                  <w:vAlign w:val="center"/>
                </w:tcPr>
                <w:p w14:paraId="5F3076FB">
                  <w:pPr>
                    <w:wordWrap w:val="0"/>
                    <w:jc w:val="center"/>
                    <w:rPr>
                      <w:color w:val="auto"/>
                      <w:szCs w:val="21"/>
                      <w:highlight w:val="none"/>
                    </w:rPr>
                  </w:pPr>
                  <w:r>
                    <w:rPr>
                      <w:color w:val="auto"/>
                      <w:szCs w:val="21"/>
                      <w:highlight w:val="none"/>
                    </w:rPr>
                    <w:t>《</w:t>
                  </w:r>
                  <w:r>
                    <w:rPr>
                      <w:rFonts w:hint="eastAsia"/>
                      <w:color w:val="auto"/>
                      <w:szCs w:val="21"/>
                      <w:highlight w:val="none"/>
                    </w:rPr>
                    <w:t>汉中市“十四五”生态环境保护规划</w:t>
                  </w:r>
                  <w:r>
                    <w:rPr>
                      <w:color w:val="auto"/>
                      <w:szCs w:val="21"/>
                      <w:highlight w:val="none"/>
                    </w:rPr>
                    <w:t>》（</w:t>
                  </w:r>
                  <w:r>
                    <w:rPr>
                      <w:rFonts w:hint="eastAsia"/>
                      <w:color w:val="auto"/>
                      <w:szCs w:val="21"/>
                      <w:highlight w:val="none"/>
                    </w:rPr>
                    <w:t>汉政办发[2021]54号</w:t>
                  </w:r>
                  <w:r>
                    <w:rPr>
                      <w:color w:val="auto"/>
                      <w:szCs w:val="21"/>
                      <w:highlight w:val="none"/>
                    </w:rPr>
                    <w:t>）</w:t>
                  </w:r>
                </w:p>
              </w:tc>
              <w:tc>
                <w:tcPr>
                  <w:tcW w:w="4121" w:type="dxa"/>
                  <w:tcBorders>
                    <w:tl2br w:val="nil"/>
                    <w:tr2bl w:val="nil"/>
                  </w:tcBorders>
                  <w:vAlign w:val="center"/>
                </w:tcPr>
                <w:p w14:paraId="6DE143DE">
                  <w:pPr>
                    <w:pStyle w:val="2"/>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第五章第二节—加强扬尘精细化管控</w:t>
                  </w:r>
                </w:p>
                <w:p w14:paraId="381AA32B">
                  <w:pPr>
                    <w:pStyle w:val="2"/>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的扬尘防治体系。全面推行绿色施工，严格执行施工工地“6个100%”抑尘措施，加大执法检查力度，依法查处各类施工扬尘违法行</w:t>
                  </w:r>
                  <w:r>
                    <w:rPr>
                      <w:color w:val="auto"/>
                      <w:sz w:val="21"/>
                      <w:szCs w:val="21"/>
                      <w:highlight w:val="none"/>
                    </w:rPr>
                    <w:t>为</w:t>
                  </w:r>
                  <w:r>
                    <w:rPr>
                      <w:color w:val="auto"/>
                      <w:highlight w:val="none"/>
                    </w:rPr>
                    <w:t>，</w:t>
                  </w:r>
                  <w:r>
                    <w:rPr>
                      <w:rFonts w:ascii="Times New Roman" w:hAnsi="Times New Roman" w:cs="Times New Roman"/>
                      <w:color w:val="auto"/>
                      <w:sz w:val="21"/>
                      <w:szCs w:val="21"/>
                      <w:highlight w:val="none"/>
                    </w:rPr>
                    <w:t>将绿色施工纳入企业资质和信用评价。对重点区域道路、管廊等线性工程进行分段施工。大力实施“阳光运输”，推进低尘机械化湿式清扫作业，加大重要路段冲洗保洁力度，渣土车实施硬覆盖与全密闭运输，强化道路绿化用地扬尘治理。市中心城区及各县区建成区范围内未纳入保障类工程清单的施工工地要严格执行冬季错峰作业措施，并对保障类工程所用渣土车、砂石车和商砼车实行运输管控。大型煤炭、矿石、干散货堆场，全面完成抑尘设施建设和物料输送系统封闭改造。鼓励有条件的堆场实施全封闭改造。</w:t>
                  </w:r>
                </w:p>
              </w:tc>
              <w:tc>
                <w:tcPr>
                  <w:tcW w:w="1582" w:type="dxa"/>
                  <w:vMerge w:val="continue"/>
                  <w:tcBorders>
                    <w:tl2br w:val="nil"/>
                    <w:tr2bl w:val="nil"/>
                  </w:tcBorders>
                  <w:vAlign w:val="center"/>
                </w:tcPr>
                <w:p w14:paraId="6CA24C92">
                  <w:pPr>
                    <w:wordWrap w:val="0"/>
                    <w:rPr>
                      <w:color w:val="auto"/>
                      <w:szCs w:val="21"/>
                      <w:highlight w:val="none"/>
                    </w:rPr>
                  </w:pPr>
                </w:p>
              </w:tc>
              <w:tc>
                <w:tcPr>
                  <w:tcW w:w="1023" w:type="dxa"/>
                  <w:vMerge w:val="continue"/>
                  <w:tcBorders>
                    <w:tl2br w:val="nil"/>
                    <w:tr2bl w:val="nil"/>
                  </w:tcBorders>
                  <w:vAlign w:val="center"/>
                </w:tcPr>
                <w:p w14:paraId="596CAE9A">
                  <w:pPr>
                    <w:wordWrap w:val="0"/>
                    <w:jc w:val="center"/>
                    <w:rPr>
                      <w:color w:val="auto"/>
                      <w:szCs w:val="21"/>
                      <w:highlight w:val="none"/>
                    </w:rPr>
                  </w:pPr>
                </w:p>
              </w:tc>
            </w:tr>
            <w:tr w14:paraId="6F1F3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tcBorders>
                    <w:tl2br w:val="nil"/>
                    <w:tr2bl w:val="nil"/>
                  </w:tcBorders>
                  <w:vAlign w:val="center"/>
                </w:tcPr>
                <w:p w14:paraId="18899927">
                  <w:pPr>
                    <w:wordWrap w:val="0"/>
                    <w:jc w:val="both"/>
                    <w:rPr>
                      <w:color w:val="auto"/>
                      <w:szCs w:val="21"/>
                      <w:highlight w:val="none"/>
                    </w:rPr>
                  </w:pPr>
                </w:p>
                <w:p w14:paraId="5D65DD78">
                  <w:pPr>
                    <w:wordWrap w:val="0"/>
                    <w:jc w:val="both"/>
                    <w:rPr>
                      <w:color w:val="auto"/>
                      <w:szCs w:val="21"/>
                      <w:highlight w:val="none"/>
                    </w:rPr>
                  </w:pPr>
                </w:p>
                <w:p w14:paraId="3DBEE566">
                  <w:pPr>
                    <w:wordWrap w:val="0"/>
                    <w:jc w:val="both"/>
                    <w:rPr>
                      <w:color w:val="auto"/>
                      <w:szCs w:val="21"/>
                      <w:highlight w:val="none"/>
                    </w:rPr>
                  </w:pPr>
                </w:p>
                <w:p w14:paraId="450D2C22">
                  <w:pPr>
                    <w:wordWrap w:val="0"/>
                    <w:jc w:val="both"/>
                    <w:rPr>
                      <w:color w:val="auto"/>
                      <w:szCs w:val="21"/>
                      <w:highlight w:val="none"/>
                    </w:rPr>
                  </w:pPr>
                </w:p>
                <w:p w14:paraId="7514B715">
                  <w:pPr>
                    <w:wordWrap w:val="0"/>
                    <w:jc w:val="both"/>
                    <w:rPr>
                      <w:color w:val="auto"/>
                      <w:szCs w:val="21"/>
                      <w:highlight w:val="none"/>
                    </w:rPr>
                  </w:pPr>
                </w:p>
                <w:p w14:paraId="10E72D9E">
                  <w:pPr>
                    <w:wordWrap w:val="0"/>
                    <w:jc w:val="both"/>
                    <w:rPr>
                      <w:color w:val="auto"/>
                      <w:szCs w:val="21"/>
                      <w:highlight w:val="none"/>
                    </w:rPr>
                  </w:pPr>
                  <w:r>
                    <w:rPr>
                      <w:color w:val="auto"/>
                      <w:szCs w:val="21"/>
                      <w:highlight w:val="none"/>
                    </w:rPr>
                    <w:t>《</w:t>
                  </w:r>
                  <w:r>
                    <w:rPr>
                      <w:rFonts w:hint="eastAsia"/>
                      <w:color w:val="auto"/>
                      <w:szCs w:val="21"/>
                      <w:highlight w:val="none"/>
                    </w:rPr>
                    <w:t>洋县“十四五”生态环境保护规划</w:t>
                  </w:r>
                  <w:r>
                    <w:rPr>
                      <w:color w:val="auto"/>
                      <w:szCs w:val="21"/>
                      <w:highlight w:val="none"/>
                    </w:rPr>
                    <w:t>》</w:t>
                  </w:r>
                </w:p>
              </w:tc>
              <w:tc>
                <w:tcPr>
                  <w:tcW w:w="4121" w:type="dxa"/>
                  <w:tcBorders>
                    <w:tl2br w:val="nil"/>
                    <w:tr2bl w:val="nil"/>
                  </w:tcBorders>
                  <w:vAlign w:val="center"/>
                </w:tcPr>
                <w:p w14:paraId="2A9F8D1A">
                  <w:pPr>
                    <w:pStyle w:val="2"/>
                    <w:rPr>
                      <w:rFonts w:ascii="Times New Roman" w:hAnsi="Times New Roman" w:cs="Times New Roman"/>
                      <w:color w:val="auto"/>
                      <w:highlight w:val="none"/>
                    </w:rPr>
                  </w:pPr>
                  <w:r>
                    <w:rPr>
                      <w:rFonts w:ascii="Times New Roman" w:hAnsi="Times New Roman" w:cs="Times New Roman"/>
                      <w:b/>
                      <w:bCs/>
                      <w:color w:val="auto"/>
                      <w:sz w:val="21"/>
                      <w:szCs w:val="21"/>
                      <w:highlight w:val="none"/>
                    </w:rPr>
                    <w:t>第五章第二节—加强扬尘精细化管控</w:t>
                  </w:r>
                </w:p>
                <w:p w14:paraId="3024F40F">
                  <w:pPr>
                    <w:pStyle w:val="2"/>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扬尘防治体系。全面推行绿色施工，将绿色施工纳入企业资质、信用评价。重点区域道路、水务等线性工程进行分段施工。大力推进低尘机械化湿式清扫作业，加大重要路段冲洗保洁力度，渣土车实施硬覆盖与全密闭运输，强化道路绿化用地扬尘治理。到2025年，全县矿山开采、建材生产行业的散装干物料堆场，全面完成抑尘设施建设和物料输送系统封闭改造。</w:t>
                  </w:r>
                </w:p>
              </w:tc>
              <w:tc>
                <w:tcPr>
                  <w:tcW w:w="1582" w:type="dxa"/>
                  <w:vMerge w:val="continue"/>
                  <w:tcBorders>
                    <w:tl2br w:val="nil"/>
                    <w:tr2bl w:val="nil"/>
                  </w:tcBorders>
                  <w:vAlign w:val="center"/>
                </w:tcPr>
                <w:p w14:paraId="2127828A">
                  <w:pPr>
                    <w:rPr>
                      <w:color w:val="auto"/>
                      <w:szCs w:val="21"/>
                      <w:highlight w:val="none"/>
                    </w:rPr>
                  </w:pPr>
                </w:p>
              </w:tc>
              <w:tc>
                <w:tcPr>
                  <w:tcW w:w="1023" w:type="dxa"/>
                  <w:vMerge w:val="continue"/>
                  <w:tcBorders>
                    <w:tl2br w:val="nil"/>
                    <w:tr2bl w:val="nil"/>
                  </w:tcBorders>
                  <w:vAlign w:val="center"/>
                </w:tcPr>
                <w:p w14:paraId="344B2394">
                  <w:pPr>
                    <w:wordWrap w:val="0"/>
                    <w:jc w:val="center"/>
                    <w:rPr>
                      <w:color w:val="auto"/>
                      <w:szCs w:val="21"/>
                      <w:highlight w:val="none"/>
                    </w:rPr>
                  </w:pPr>
                </w:p>
              </w:tc>
            </w:tr>
          </w:tbl>
          <w:p w14:paraId="2A77813C">
            <w:pPr>
              <w:numPr>
                <w:ilvl w:val="0"/>
                <w:numId w:val="0"/>
              </w:numPr>
              <w:spacing w:line="360" w:lineRule="auto"/>
              <w:ind w:firstLine="480" w:firstLineChars="200"/>
              <w:rPr>
                <w:b/>
                <w:bCs/>
                <w:color w:val="auto"/>
                <w:szCs w:val="21"/>
                <w:highlight w:val="none"/>
              </w:rPr>
            </w:pPr>
            <w:r>
              <w:rPr>
                <w:rFonts w:hint="eastAsia"/>
                <w:color w:val="auto"/>
                <w:sz w:val="24"/>
                <w:highlight w:val="none"/>
                <w:lang w:val="en-US" w:eastAsia="zh-CN"/>
              </w:rPr>
              <w:t>5、</w:t>
            </w:r>
            <w:r>
              <w:rPr>
                <w:rFonts w:hint="eastAsia"/>
                <w:color w:val="auto"/>
                <w:sz w:val="24"/>
                <w:highlight w:val="none"/>
              </w:rPr>
              <w:t>与</w:t>
            </w:r>
            <w:r>
              <w:rPr>
                <w:rFonts w:hint="eastAsia"/>
                <w:color w:val="auto"/>
                <w:sz w:val="24"/>
                <w:highlight w:val="none"/>
                <w:lang w:eastAsia="zh-CN"/>
              </w:rPr>
              <w:t>其他相关政策的符合性分析</w:t>
            </w:r>
          </w:p>
          <w:p w14:paraId="18911777">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1-</w:t>
            </w:r>
            <w:r>
              <w:rPr>
                <w:rFonts w:hint="eastAsia"/>
                <w:b/>
                <w:bCs/>
                <w:color w:val="auto"/>
                <w:szCs w:val="21"/>
                <w:highlight w:val="none"/>
                <w:lang w:val="en-US" w:eastAsia="zh-CN"/>
              </w:rPr>
              <w:t>5</w:t>
            </w:r>
            <w:r>
              <w:rPr>
                <w:rFonts w:hint="eastAsia"/>
                <w:b/>
                <w:bCs/>
                <w:color w:val="auto"/>
                <w:szCs w:val="21"/>
                <w:highlight w:val="none"/>
              </w:rPr>
              <w:t xml:space="preserve">  与</w:t>
            </w:r>
            <w:r>
              <w:rPr>
                <w:rFonts w:hint="eastAsia"/>
                <w:b/>
                <w:bCs/>
                <w:color w:val="auto"/>
                <w:szCs w:val="21"/>
                <w:highlight w:val="none"/>
                <w:lang w:eastAsia="zh-CN"/>
              </w:rPr>
              <w:t>其他政策</w:t>
            </w:r>
            <w:r>
              <w:rPr>
                <w:rFonts w:hint="eastAsia"/>
                <w:b/>
                <w:bCs/>
                <w:color w:val="auto"/>
                <w:szCs w:val="21"/>
                <w:highlight w:val="none"/>
              </w:rPr>
              <w:t>的符合性分析</w:t>
            </w:r>
          </w:p>
          <w:tbl>
            <w:tblPr>
              <w:tblStyle w:val="36"/>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3069"/>
              <w:gridCol w:w="2400"/>
              <w:gridCol w:w="930"/>
            </w:tblGrid>
            <w:tr w14:paraId="3ADBD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232F601A">
                  <w:pPr>
                    <w:jc w:val="center"/>
                    <w:rPr>
                      <w:color w:val="auto"/>
                      <w:szCs w:val="21"/>
                      <w:highlight w:val="none"/>
                    </w:rPr>
                  </w:pPr>
                  <w:r>
                    <w:rPr>
                      <w:rFonts w:hint="eastAsia"/>
                      <w:color w:val="auto"/>
                      <w:szCs w:val="21"/>
                      <w:highlight w:val="none"/>
                    </w:rPr>
                    <w:t>政策</w:t>
                  </w:r>
                </w:p>
              </w:tc>
              <w:tc>
                <w:tcPr>
                  <w:tcW w:w="3069" w:type="dxa"/>
                  <w:vAlign w:val="center"/>
                </w:tcPr>
                <w:p w14:paraId="24D058F2">
                  <w:pPr>
                    <w:jc w:val="center"/>
                    <w:rPr>
                      <w:color w:val="auto"/>
                      <w:szCs w:val="21"/>
                      <w:highlight w:val="none"/>
                    </w:rPr>
                  </w:pPr>
                  <w:r>
                    <w:rPr>
                      <w:rFonts w:hint="eastAsia"/>
                      <w:color w:val="auto"/>
                      <w:szCs w:val="21"/>
                      <w:highlight w:val="none"/>
                    </w:rPr>
                    <w:t>相关要求</w:t>
                  </w:r>
                </w:p>
              </w:tc>
              <w:tc>
                <w:tcPr>
                  <w:tcW w:w="2400" w:type="dxa"/>
                  <w:vAlign w:val="center"/>
                </w:tcPr>
                <w:p w14:paraId="430A0831">
                  <w:pPr>
                    <w:jc w:val="center"/>
                    <w:rPr>
                      <w:color w:val="auto"/>
                      <w:szCs w:val="21"/>
                      <w:highlight w:val="none"/>
                    </w:rPr>
                  </w:pPr>
                  <w:r>
                    <w:rPr>
                      <w:rFonts w:hint="eastAsia"/>
                      <w:color w:val="auto"/>
                      <w:szCs w:val="21"/>
                      <w:highlight w:val="none"/>
                    </w:rPr>
                    <w:t>本项目情况</w:t>
                  </w:r>
                </w:p>
              </w:tc>
              <w:tc>
                <w:tcPr>
                  <w:tcW w:w="930" w:type="dxa"/>
                  <w:vAlign w:val="center"/>
                </w:tcPr>
                <w:p w14:paraId="035334AA">
                  <w:pPr>
                    <w:jc w:val="center"/>
                    <w:rPr>
                      <w:color w:val="auto"/>
                      <w:szCs w:val="21"/>
                      <w:highlight w:val="none"/>
                    </w:rPr>
                  </w:pPr>
                  <w:r>
                    <w:rPr>
                      <w:color w:val="auto"/>
                      <w:szCs w:val="21"/>
                      <w:highlight w:val="none"/>
                    </w:rPr>
                    <w:t>符合性</w:t>
                  </w:r>
                </w:p>
              </w:tc>
            </w:tr>
            <w:tr w14:paraId="257F0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5F06D85F">
                  <w:pPr>
                    <w:jc w:val="center"/>
                    <w:rPr>
                      <w:color w:val="auto"/>
                      <w:szCs w:val="21"/>
                      <w:highlight w:val="none"/>
                    </w:rPr>
                  </w:pPr>
                  <w:r>
                    <w:rPr>
                      <w:rFonts w:hint="eastAsia"/>
                      <w:color w:val="auto"/>
                      <w:szCs w:val="21"/>
                      <w:highlight w:val="none"/>
                      <w:lang w:eastAsia="zh-CN"/>
                    </w:rPr>
                    <w:t>《</w:t>
                  </w:r>
                  <w:r>
                    <w:rPr>
                      <w:rFonts w:hint="eastAsia"/>
                      <w:color w:val="auto"/>
                      <w:szCs w:val="21"/>
                      <w:highlight w:val="none"/>
                    </w:rPr>
                    <w:t>汉中市大气污染治理专项行动方案</w:t>
                  </w:r>
                  <w:r>
                    <w:rPr>
                      <w:rFonts w:hint="eastAsia"/>
                      <w:color w:val="auto"/>
                      <w:szCs w:val="21"/>
                      <w:highlight w:val="none"/>
                      <w:lang w:eastAsia="zh-CN"/>
                    </w:rPr>
                    <w:t>（</w:t>
                  </w:r>
                  <w:r>
                    <w:rPr>
                      <w:rFonts w:hint="eastAsia"/>
                      <w:color w:val="auto"/>
                      <w:szCs w:val="21"/>
                      <w:highlight w:val="none"/>
                      <w:lang w:val="en-US" w:eastAsia="zh-CN"/>
                    </w:rPr>
                    <w:t>2023-2027年</w:t>
                  </w:r>
                  <w:r>
                    <w:rPr>
                      <w:rFonts w:hint="eastAsia"/>
                      <w:color w:val="auto"/>
                      <w:szCs w:val="21"/>
                      <w:highlight w:val="none"/>
                      <w:lang w:eastAsia="zh-CN"/>
                    </w:rPr>
                    <w:t>）》</w:t>
                  </w:r>
                </w:p>
                <w:p w14:paraId="60956B97">
                  <w:pPr>
                    <w:jc w:val="center"/>
                    <w:rPr>
                      <w:color w:val="auto"/>
                      <w:szCs w:val="21"/>
                      <w:highlight w:val="none"/>
                    </w:rPr>
                  </w:pPr>
                  <w:r>
                    <w:rPr>
                      <w:rFonts w:hint="eastAsia"/>
                      <w:color w:val="auto"/>
                      <w:szCs w:val="21"/>
                      <w:highlight w:val="none"/>
                    </w:rPr>
                    <w:t>（汉政办函[2023]7号）</w:t>
                  </w:r>
                </w:p>
              </w:tc>
              <w:tc>
                <w:tcPr>
                  <w:tcW w:w="3069" w:type="dxa"/>
                  <w:vAlign w:val="center"/>
                </w:tcPr>
                <w:p w14:paraId="7CEEEC0A">
                  <w:pPr>
                    <w:spacing w:line="360" w:lineRule="auto"/>
                    <w:jc w:val="center"/>
                    <w:rPr>
                      <w:b/>
                      <w:bCs/>
                      <w:color w:val="auto"/>
                      <w:highlight w:val="none"/>
                    </w:rPr>
                  </w:pPr>
                  <w:r>
                    <w:rPr>
                      <w:rFonts w:hint="eastAsia"/>
                      <w:b/>
                      <w:bCs/>
                      <w:color w:val="auto"/>
                      <w:highlight w:val="none"/>
                    </w:rPr>
                    <w:t>严管严控扬尘污染</w:t>
                  </w:r>
                </w:p>
                <w:p w14:paraId="47B24A2F">
                  <w:pPr>
                    <w:pStyle w:val="2"/>
                    <w:rPr>
                      <w:color w:val="auto"/>
                      <w:sz w:val="21"/>
                      <w:szCs w:val="21"/>
                      <w:highlight w:val="none"/>
                    </w:rPr>
                  </w:pPr>
                  <w:r>
                    <w:rPr>
                      <w:rFonts w:hint="eastAsia" w:ascii="宋体" w:hAnsi="宋体" w:cs="宋体"/>
                      <w:color w:val="auto"/>
                      <w:sz w:val="21"/>
                      <w:szCs w:val="21"/>
                      <w:highlight w:val="none"/>
                    </w:rPr>
                    <w:t>①</w:t>
                  </w:r>
                  <w:r>
                    <w:rPr>
                      <w:rFonts w:hint="eastAsia"/>
                      <w:color w:val="auto"/>
                      <w:sz w:val="21"/>
                      <w:szCs w:val="21"/>
                      <w:highlight w:val="none"/>
                    </w:rPr>
                    <w:t>严控施工扬尘；</w:t>
                  </w:r>
                </w:p>
                <w:p w14:paraId="5B891A24">
                  <w:pPr>
                    <w:pStyle w:val="44"/>
                    <w:ind w:left="0"/>
                    <w:rPr>
                      <w:b w:val="0"/>
                      <w:bCs w:val="0"/>
                      <w:color w:val="auto"/>
                      <w:sz w:val="21"/>
                      <w:szCs w:val="21"/>
                      <w:highlight w:val="none"/>
                    </w:rPr>
                  </w:pPr>
                  <w:r>
                    <w:rPr>
                      <w:rFonts w:hint="eastAsia" w:hAnsi="宋体" w:cs="宋体"/>
                      <w:b w:val="0"/>
                      <w:bCs w:val="0"/>
                      <w:color w:val="auto"/>
                      <w:sz w:val="21"/>
                      <w:szCs w:val="21"/>
                      <w:highlight w:val="none"/>
                    </w:rPr>
                    <w:t>②</w:t>
                  </w:r>
                  <w:r>
                    <w:rPr>
                      <w:b w:val="0"/>
                      <w:bCs w:val="0"/>
                      <w:color w:val="auto"/>
                      <w:sz w:val="21"/>
                      <w:szCs w:val="21"/>
                      <w:highlight w:val="none"/>
                    </w:rPr>
                    <w:t>严管道路运输扬尘</w:t>
                  </w:r>
                  <w:r>
                    <w:rPr>
                      <w:rFonts w:hint="eastAsia"/>
                      <w:b w:val="0"/>
                      <w:bCs w:val="0"/>
                      <w:color w:val="auto"/>
                      <w:sz w:val="21"/>
                      <w:szCs w:val="21"/>
                      <w:highlight w:val="none"/>
                    </w:rPr>
                    <w:t>；</w:t>
                  </w:r>
                </w:p>
                <w:p w14:paraId="1BAAA227">
                  <w:pPr>
                    <w:rPr>
                      <w:color w:val="auto"/>
                      <w:szCs w:val="21"/>
                      <w:highlight w:val="none"/>
                    </w:rPr>
                  </w:pPr>
                  <w:r>
                    <w:rPr>
                      <w:rFonts w:hint="eastAsia" w:ascii="宋体" w:hAnsi="宋体" w:cs="宋体"/>
                      <w:color w:val="auto"/>
                      <w:szCs w:val="21"/>
                      <w:highlight w:val="none"/>
                    </w:rPr>
                    <w:t>③</w:t>
                  </w:r>
                  <w:r>
                    <w:rPr>
                      <w:color w:val="auto"/>
                      <w:szCs w:val="21"/>
                      <w:highlight w:val="none"/>
                    </w:rPr>
                    <w:t>加大道路保洁力度</w:t>
                  </w:r>
                  <w:r>
                    <w:rPr>
                      <w:rFonts w:hint="eastAsia"/>
                      <w:color w:val="auto"/>
                      <w:szCs w:val="21"/>
                      <w:highlight w:val="none"/>
                    </w:rPr>
                    <w:t>；</w:t>
                  </w:r>
                </w:p>
                <w:p w14:paraId="3D631B9E">
                  <w:pPr>
                    <w:pStyle w:val="2"/>
                    <w:rPr>
                      <w:color w:val="auto"/>
                      <w:highlight w:val="none"/>
                    </w:rPr>
                  </w:pPr>
                  <w:r>
                    <w:rPr>
                      <w:rFonts w:hint="eastAsia" w:ascii="宋体" w:hAnsi="宋体" w:cs="宋体"/>
                      <w:color w:val="auto"/>
                      <w:kern w:val="0"/>
                      <w:sz w:val="21"/>
                      <w:szCs w:val="21"/>
                      <w:highlight w:val="none"/>
                    </w:rPr>
                    <w:t>④</w:t>
                  </w:r>
                  <w:r>
                    <w:rPr>
                      <w:rFonts w:ascii="Times New Roman" w:hAnsi="Times New Roman" w:cs="Times New Roman"/>
                      <w:color w:val="auto"/>
                      <w:kern w:val="0"/>
                      <w:sz w:val="21"/>
                      <w:szCs w:val="21"/>
                      <w:highlight w:val="none"/>
                    </w:rPr>
                    <w:t>加大物料堆场扬尘整治力度</w:t>
                  </w:r>
                  <w:r>
                    <w:rPr>
                      <w:rFonts w:hint="eastAsia" w:ascii="Times New Roman" w:hAnsi="Times New Roman" w:cs="Times New Roman"/>
                      <w:color w:val="auto"/>
                      <w:kern w:val="0"/>
                      <w:sz w:val="21"/>
                      <w:szCs w:val="21"/>
                      <w:highlight w:val="none"/>
                    </w:rPr>
                    <w:t>。</w:t>
                  </w:r>
                </w:p>
              </w:tc>
              <w:tc>
                <w:tcPr>
                  <w:tcW w:w="2400" w:type="dxa"/>
                  <w:vMerge w:val="restart"/>
                  <w:vAlign w:val="center"/>
                </w:tcPr>
                <w:p w14:paraId="0E0F2734">
                  <w:pPr>
                    <w:rPr>
                      <w:color w:val="auto"/>
                      <w:highlight w:val="none"/>
                    </w:rPr>
                  </w:pPr>
                  <w:r>
                    <w:rPr>
                      <w:rFonts w:hint="eastAsia"/>
                      <w:color w:val="auto"/>
                      <w:highlight w:val="none"/>
                    </w:rPr>
                    <w:t>①</w:t>
                  </w:r>
                  <w:r>
                    <w:rPr>
                      <w:color w:val="auto"/>
                      <w:highlight w:val="none"/>
                    </w:rPr>
                    <w:t>本项目</w:t>
                  </w:r>
                  <w:r>
                    <w:rPr>
                      <w:rFonts w:hint="eastAsia"/>
                      <w:color w:val="auto"/>
                      <w:highlight w:val="none"/>
                      <w:lang w:eastAsia="zh-CN"/>
                    </w:rPr>
                    <w:t>原料及产品</w:t>
                  </w:r>
                  <w:r>
                    <w:rPr>
                      <w:rFonts w:hint="eastAsia"/>
                      <w:color w:val="auto"/>
                      <w:highlight w:val="none"/>
                    </w:rPr>
                    <w:t>运输过程中采取密闭、篷布遮盖等措施，减少运输扬尘的产生；</w:t>
                  </w:r>
                  <w:r>
                    <w:rPr>
                      <w:rFonts w:hint="eastAsia"/>
                      <w:color w:val="auto"/>
                      <w:highlight w:val="none"/>
                      <w:lang w:eastAsia="zh-CN"/>
                    </w:rPr>
                    <w:t>装卸物料时合理控制卸料高度；</w:t>
                  </w:r>
                  <w:r>
                    <w:rPr>
                      <w:rFonts w:hint="eastAsia"/>
                      <w:color w:val="auto"/>
                      <w:highlight w:val="none"/>
                    </w:rPr>
                    <w:t>利用现有沉淀池，定期对运输车辆进行冲洗，冲洗水回用不外排</w:t>
                  </w:r>
                  <w:r>
                    <w:rPr>
                      <w:rFonts w:hint="eastAsia"/>
                      <w:color w:val="auto"/>
                      <w:highlight w:val="none"/>
                      <w:lang w:eastAsia="zh-CN"/>
                    </w:rPr>
                    <w:t>；此外，定期对厂区地面进行洒水抑尘</w:t>
                  </w:r>
                  <w:r>
                    <w:rPr>
                      <w:rFonts w:hint="eastAsia"/>
                      <w:color w:val="auto"/>
                      <w:highlight w:val="none"/>
                    </w:rPr>
                    <w:t>。</w:t>
                  </w:r>
                </w:p>
                <w:p w14:paraId="455E1A15">
                  <w:pPr>
                    <w:rPr>
                      <w:color w:val="auto"/>
                      <w:highlight w:val="none"/>
                    </w:rPr>
                  </w:pPr>
                  <w:r>
                    <w:rPr>
                      <w:rFonts w:hint="eastAsia"/>
                      <w:color w:val="auto"/>
                      <w:highlight w:val="none"/>
                    </w:rPr>
                    <w:t>②</w:t>
                  </w:r>
                  <w:r>
                    <w:rPr>
                      <w:rFonts w:hint="eastAsia"/>
                      <w:color w:val="auto"/>
                      <w:highlight w:val="none"/>
                      <w:lang w:eastAsia="zh-CN"/>
                    </w:rPr>
                    <w:t>本项目成品区位于生产车间内（封闭结构，仅保留出入口）</w:t>
                  </w:r>
                  <w:r>
                    <w:rPr>
                      <w:rFonts w:hint="eastAsia"/>
                      <w:color w:val="auto"/>
                      <w:highlight w:val="none"/>
                    </w:rPr>
                    <w:t>，原料区</w:t>
                  </w:r>
                  <w:r>
                    <w:rPr>
                      <w:rFonts w:hint="eastAsia"/>
                      <w:color w:val="auto"/>
                      <w:highlight w:val="none"/>
                      <w:lang w:eastAsia="zh-CN"/>
                    </w:rPr>
                    <w:t>进行</w:t>
                  </w:r>
                  <w:r>
                    <w:rPr>
                      <w:rFonts w:hint="eastAsia"/>
                      <w:color w:val="auto"/>
                      <w:highlight w:val="none"/>
                    </w:rPr>
                    <w:t>三面围挡+顶棚</w:t>
                  </w:r>
                  <w:r>
                    <w:rPr>
                      <w:rFonts w:hint="eastAsia"/>
                      <w:color w:val="auto"/>
                      <w:highlight w:val="none"/>
                      <w:lang w:eastAsia="zh-CN"/>
                    </w:rPr>
                    <w:t>处置。</w:t>
                  </w:r>
                </w:p>
              </w:tc>
              <w:tc>
                <w:tcPr>
                  <w:tcW w:w="930" w:type="dxa"/>
                  <w:vAlign w:val="center"/>
                </w:tcPr>
                <w:p w14:paraId="6410DEA5">
                  <w:pPr>
                    <w:jc w:val="center"/>
                    <w:rPr>
                      <w:color w:val="auto"/>
                      <w:szCs w:val="21"/>
                      <w:highlight w:val="none"/>
                    </w:rPr>
                  </w:pPr>
                  <w:r>
                    <w:rPr>
                      <w:color w:val="auto"/>
                      <w:szCs w:val="21"/>
                      <w:highlight w:val="none"/>
                    </w:rPr>
                    <w:t>符合</w:t>
                  </w:r>
                </w:p>
              </w:tc>
            </w:tr>
            <w:tr w14:paraId="4087F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EE6939C">
                  <w:pPr>
                    <w:jc w:val="center"/>
                    <w:rPr>
                      <w:rFonts w:hint="eastAsia" w:eastAsia="宋体"/>
                      <w:color w:val="auto"/>
                      <w:szCs w:val="21"/>
                      <w:highlight w:val="none"/>
                      <w:lang w:eastAsia="zh-CN"/>
                    </w:rPr>
                  </w:pPr>
                  <w:r>
                    <w:rPr>
                      <w:rFonts w:hint="eastAsia"/>
                      <w:color w:val="auto"/>
                      <w:szCs w:val="21"/>
                      <w:highlight w:val="none"/>
                    </w:rPr>
                    <w:t>《</w:t>
                  </w:r>
                  <w:r>
                    <w:rPr>
                      <w:rFonts w:hint="eastAsia"/>
                      <w:color w:val="auto"/>
                      <w:szCs w:val="21"/>
                      <w:highlight w:val="none"/>
                      <w:lang w:val="en-US" w:eastAsia="zh-CN"/>
                    </w:rPr>
                    <w:t>洋县大气污染治理专项行动方案（2023-2027年）</w:t>
                  </w:r>
                  <w:r>
                    <w:rPr>
                      <w:rFonts w:hint="eastAsia"/>
                      <w:color w:val="auto"/>
                      <w:szCs w:val="21"/>
                      <w:highlight w:val="none"/>
                    </w:rPr>
                    <w:t>》</w:t>
                  </w:r>
                  <w:r>
                    <w:rPr>
                      <w:rFonts w:hint="eastAsia"/>
                      <w:color w:val="auto"/>
                      <w:szCs w:val="21"/>
                      <w:highlight w:val="none"/>
                      <w:lang w:eastAsia="zh-CN"/>
                    </w:rPr>
                    <w:t>（洋</w:t>
                  </w:r>
                  <w:r>
                    <w:rPr>
                      <w:rFonts w:hint="eastAsia"/>
                      <w:color w:val="auto"/>
                      <w:szCs w:val="21"/>
                      <w:highlight w:val="none"/>
                      <w:lang w:val="en-US" w:eastAsia="zh-CN"/>
                    </w:rPr>
                    <w:t>发[</w:t>
                  </w:r>
                  <w:r>
                    <w:rPr>
                      <w:rFonts w:hint="eastAsia"/>
                      <w:color w:val="auto"/>
                      <w:szCs w:val="21"/>
                      <w:highlight w:val="none"/>
                      <w:lang w:eastAsia="zh-CN"/>
                    </w:rPr>
                    <w:t>20</w:t>
                  </w:r>
                  <w:r>
                    <w:rPr>
                      <w:rFonts w:hint="eastAsia"/>
                      <w:color w:val="auto"/>
                      <w:szCs w:val="21"/>
                      <w:highlight w:val="none"/>
                      <w:lang w:val="en-US" w:eastAsia="zh-CN"/>
                    </w:rPr>
                    <w:t>23]6</w:t>
                  </w:r>
                  <w:r>
                    <w:rPr>
                      <w:rFonts w:hint="eastAsia"/>
                      <w:color w:val="auto"/>
                      <w:szCs w:val="21"/>
                      <w:highlight w:val="none"/>
                      <w:lang w:eastAsia="zh-CN"/>
                    </w:rPr>
                    <w:t>号）</w:t>
                  </w:r>
                </w:p>
              </w:tc>
              <w:tc>
                <w:tcPr>
                  <w:tcW w:w="3069" w:type="dxa"/>
                  <w:vAlign w:val="center"/>
                </w:tcPr>
                <w:p w14:paraId="0E10FB94">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加强堆场扬尘污染控制，建立物料堆场监管台账，贮存煤炭、煤矸石、煤渣、煤灰、水泥、石灰、石膏、砂土等易产生扬尘的物料应当密闭，不能密闭的应当设置不低于堆放物高度的严密围挡和采取有效覆盖措施防治扬尘污染。装卸物料必须采取密闭或者喷淋等方式。易产生扬尘污染的物料堆场单位必须建设运输车辆冲洗设施，保持出入车辆干净，有效控制扬尘排放。</w:t>
                  </w:r>
                </w:p>
              </w:tc>
              <w:tc>
                <w:tcPr>
                  <w:tcW w:w="2400" w:type="dxa"/>
                  <w:vMerge w:val="continue"/>
                  <w:vAlign w:val="center"/>
                </w:tcPr>
                <w:p w14:paraId="52852C52">
                  <w:pPr>
                    <w:pStyle w:val="44"/>
                    <w:ind w:left="0"/>
                    <w:rPr>
                      <w:rFonts w:hint="eastAsia" w:ascii="Times New Roman"/>
                      <w:b w:val="0"/>
                      <w:bCs w:val="0"/>
                      <w:color w:val="auto"/>
                      <w:sz w:val="21"/>
                      <w:szCs w:val="21"/>
                      <w:highlight w:val="none"/>
                    </w:rPr>
                  </w:pPr>
                </w:p>
              </w:tc>
              <w:tc>
                <w:tcPr>
                  <w:tcW w:w="930" w:type="dxa"/>
                  <w:vAlign w:val="center"/>
                </w:tcPr>
                <w:p w14:paraId="13AF6F1E">
                  <w:pPr>
                    <w:jc w:val="center"/>
                    <w:rPr>
                      <w:color w:val="auto"/>
                      <w:szCs w:val="21"/>
                      <w:highlight w:val="none"/>
                    </w:rPr>
                  </w:pPr>
                  <w:r>
                    <w:rPr>
                      <w:color w:val="auto"/>
                      <w:szCs w:val="21"/>
                      <w:highlight w:val="none"/>
                    </w:rPr>
                    <w:t>符合</w:t>
                  </w:r>
                </w:p>
              </w:tc>
            </w:tr>
          </w:tbl>
          <w:p w14:paraId="1B5C6820">
            <w:pPr>
              <w:adjustRightInd w:val="0"/>
              <w:snapToGrid w:val="0"/>
              <w:spacing w:line="360" w:lineRule="auto"/>
              <w:ind w:firstLine="480" w:firstLineChars="200"/>
              <w:rPr>
                <w:color w:val="auto"/>
                <w:sz w:val="24"/>
                <w:highlight w:val="none"/>
              </w:rPr>
            </w:pPr>
            <w:r>
              <w:rPr>
                <w:rFonts w:hint="eastAsia"/>
                <w:color w:val="auto"/>
                <w:sz w:val="24"/>
                <w:highlight w:val="none"/>
              </w:rPr>
              <w:t>6、选址符合性分析</w:t>
            </w:r>
          </w:p>
          <w:p w14:paraId="273B4BC2">
            <w:pPr>
              <w:spacing w:line="360" w:lineRule="auto"/>
              <w:ind w:firstLine="480" w:firstLineChars="200"/>
              <w:rPr>
                <w:color w:val="auto"/>
                <w:sz w:val="24"/>
                <w:highlight w:val="none"/>
              </w:rPr>
            </w:pPr>
            <w:r>
              <w:rPr>
                <w:rFonts w:hint="eastAsia"/>
                <w:color w:val="auto"/>
                <w:kern w:val="0"/>
                <w:sz w:val="24"/>
                <w:highlight w:val="none"/>
              </w:rPr>
              <w:t>（1）</w:t>
            </w:r>
            <w:r>
              <w:rPr>
                <w:rFonts w:hint="eastAsia"/>
                <w:color w:val="auto"/>
                <w:kern w:val="0"/>
                <w:sz w:val="24"/>
                <w:highlight w:val="none"/>
                <w:lang w:eastAsia="zh-CN"/>
              </w:rPr>
              <w:t>现有厂区位于</w:t>
            </w:r>
            <w:r>
              <w:rPr>
                <w:rFonts w:hint="eastAsia"/>
                <w:color w:val="auto"/>
                <w:sz w:val="24"/>
                <w:highlight w:val="none"/>
              </w:rPr>
              <w:t>洋县戚氏街道办事处戚氏村五组</w:t>
            </w:r>
            <w:r>
              <w:rPr>
                <w:rFonts w:hint="eastAsia"/>
                <w:color w:val="auto"/>
                <w:sz w:val="24"/>
                <w:highlight w:val="none"/>
                <w:lang w:eastAsia="zh-CN"/>
              </w:rPr>
              <w:t>，租赁自洋县振邦科技有限公司（租赁合同见附件）。</w:t>
            </w:r>
            <w:r>
              <w:rPr>
                <w:rFonts w:hint="eastAsia"/>
                <w:color w:val="auto"/>
                <w:sz w:val="24"/>
                <w:highlight w:val="none"/>
              </w:rPr>
              <w:t>本次</w:t>
            </w:r>
            <w:r>
              <w:rPr>
                <w:rFonts w:hint="eastAsia"/>
                <w:color w:val="auto"/>
                <w:sz w:val="24"/>
                <w:highlight w:val="none"/>
                <w:lang w:eastAsia="zh-CN"/>
              </w:rPr>
              <w:t>变动</w:t>
            </w:r>
            <w:r>
              <w:rPr>
                <w:rFonts w:hint="eastAsia"/>
                <w:color w:val="auto"/>
                <w:sz w:val="24"/>
                <w:highlight w:val="none"/>
              </w:rPr>
              <w:t>在厂区预留</w:t>
            </w:r>
            <w:r>
              <w:rPr>
                <w:rFonts w:hint="eastAsia"/>
                <w:color w:val="auto"/>
                <w:sz w:val="24"/>
                <w:highlight w:val="none"/>
                <w:lang w:val="en-US" w:eastAsia="zh-CN"/>
              </w:rPr>
              <w:t>及闲置</w:t>
            </w:r>
            <w:r>
              <w:rPr>
                <w:rFonts w:hint="eastAsia"/>
                <w:color w:val="auto"/>
                <w:sz w:val="24"/>
                <w:highlight w:val="none"/>
              </w:rPr>
              <w:t>区域内进行，不新增占地</w:t>
            </w:r>
            <w:r>
              <w:rPr>
                <w:rFonts w:hint="eastAsia"/>
                <w:color w:val="auto"/>
                <w:sz w:val="24"/>
                <w:highlight w:val="none"/>
                <w:lang w:eastAsia="zh-CN"/>
              </w:rPr>
              <w:t>，且现有厂区用地性质为工业用地。</w:t>
            </w:r>
            <w:r>
              <w:rPr>
                <w:rFonts w:hint="eastAsia"/>
                <w:color w:val="auto"/>
                <w:sz w:val="24"/>
                <w:highlight w:val="none"/>
              </w:rPr>
              <w:t>此外，根据现场调查，项目周边水电齐全、交通便利。</w:t>
            </w:r>
          </w:p>
          <w:p w14:paraId="2711E8F1">
            <w:pPr>
              <w:snapToGrid w:val="0"/>
              <w:spacing w:line="360" w:lineRule="auto"/>
              <w:ind w:firstLine="480" w:firstLineChars="200"/>
              <w:rPr>
                <w:rFonts w:hint="eastAsia" w:eastAsia="宋体"/>
                <w:color w:val="auto"/>
                <w:highlight w:val="none"/>
                <w:lang w:eastAsia="zh-CN"/>
              </w:rPr>
            </w:pPr>
            <w:r>
              <w:rPr>
                <w:rFonts w:hint="eastAsia"/>
                <w:color w:val="auto"/>
                <w:sz w:val="24"/>
                <w:highlight w:val="none"/>
              </w:rPr>
              <w:t>（2）</w:t>
            </w:r>
            <w:r>
              <w:rPr>
                <w:rFonts w:hint="eastAsia"/>
                <w:color w:val="auto"/>
                <w:sz w:val="24"/>
                <w:highlight w:val="none"/>
                <w:lang w:val="en-US" w:eastAsia="zh-CN"/>
              </w:rPr>
              <w:t>本项目所在区域不涉及陕西汉江湿地省级自然保护区各功能区（见附图4）；</w:t>
            </w:r>
            <w:r>
              <w:rPr>
                <w:rFonts w:hint="eastAsia"/>
                <w:color w:val="auto"/>
                <w:sz w:val="24"/>
                <w:highlight w:val="none"/>
                <w:lang w:eastAsia="zh-CN"/>
              </w:rPr>
              <w:t>本项目厂区</w:t>
            </w:r>
            <w:r>
              <w:rPr>
                <w:rFonts w:hint="eastAsia"/>
                <w:color w:val="auto"/>
                <w:sz w:val="24"/>
                <w:highlight w:val="none"/>
                <w:lang w:val="en-US" w:eastAsia="zh-CN"/>
              </w:rPr>
              <w:t>距</w:t>
            </w:r>
            <w:r>
              <w:rPr>
                <w:rFonts w:hint="eastAsia"/>
                <w:color w:val="auto"/>
                <w:sz w:val="24"/>
                <w:highlight w:val="none"/>
              </w:rPr>
              <w:t>陕西汉中朱鹮国家级自然保护区</w:t>
            </w:r>
            <w:r>
              <w:rPr>
                <w:rFonts w:hint="eastAsia"/>
                <w:color w:val="auto"/>
                <w:sz w:val="24"/>
                <w:highlight w:val="none"/>
                <w:lang w:eastAsia="zh-CN"/>
              </w:rPr>
              <w:t>实验区直线距离</w:t>
            </w:r>
            <w:r>
              <w:rPr>
                <w:rFonts w:hint="eastAsia"/>
                <w:color w:val="auto"/>
                <w:sz w:val="24"/>
                <w:highlight w:val="none"/>
                <w:lang w:val="en-US" w:eastAsia="zh-CN"/>
              </w:rPr>
              <w:t>230</w:t>
            </w:r>
            <w:r>
              <w:rPr>
                <w:rFonts w:hint="eastAsia"/>
                <w:color w:val="auto"/>
                <w:sz w:val="24"/>
                <w:highlight w:val="none"/>
              </w:rPr>
              <w:t>m</w:t>
            </w:r>
            <w:r>
              <w:rPr>
                <w:rFonts w:hint="eastAsia"/>
                <w:color w:val="auto"/>
                <w:sz w:val="24"/>
                <w:highlight w:val="none"/>
                <w:lang w:eastAsia="zh-CN"/>
              </w:rPr>
              <w:t>，</w:t>
            </w:r>
            <w:r>
              <w:rPr>
                <w:rFonts w:hint="eastAsia"/>
                <w:color w:val="auto"/>
                <w:sz w:val="24"/>
                <w:highlight w:val="none"/>
              </w:rPr>
              <w:t>位置关系图详见附图</w:t>
            </w:r>
            <w:r>
              <w:rPr>
                <w:rFonts w:hint="eastAsia"/>
                <w:color w:val="auto"/>
                <w:sz w:val="24"/>
                <w:highlight w:val="none"/>
                <w:lang w:val="en-US" w:eastAsia="zh-CN"/>
              </w:rPr>
              <w:t>5。此外，项目所在区域分布有园区企业及住户，</w:t>
            </w:r>
            <w:r>
              <w:rPr>
                <w:rFonts w:ascii="Times New Roman" w:hAnsi="Times New Roman"/>
                <w:color w:val="auto"/>
                <w:sz w:val="24"/>
                <w:szCs w:val="24"/>
                <w:highlight w:val="none"/>
              </w:rPr>
              <w:t>距离</w:t>
            </w:r>
            <w:r>
              <w:rPr>
                <w:rFonts w:hint="eastAsia"/>
                <w:color w:val="auto"/>
                <w:sz w:val="24"/>
                <w:szCs w:val="24"/>
                <w:highlight w:val="none"/>
                <w:lang w:eastAsia="zh-CN"/>
              </w:rPr>
              <w:t>陕西汉江</w:t>
            </w:r>
            <w:r>
              <w:rPr>
                <w:rFonts w:hint="eastAsia" w:ascii="Times New Roman" w:hAnsi="Times New Roman"/>
                <w:color w:val="auto"/>
                <w:sz w:val="24"/>
                <w:szCs w:val="24"/>
                <w:highlight w:val="none"/>
                <w:lang w:eastAsia="zh-CN"/>
              </w:rPr>
              <w:t>湿地</w:t>
            </w:r>
            <w:r>
              <w:rPr>
                <w:rFonts w:hint="eastAsia" w:ascii="Times New Roman" w:hAnsi="Times New Roman"/>
                <w:color w:val="auto"/>
                <w:sz w:val="24"/>
                <w:szCs w:val="24"/>
                <w:highlight w:val="none"/>
              </w:rPr>
              <w:t>直线距离</w:t>
            </w:r>
            <w:r>
              <w:rPr>
                <w:rFonts w:ascii="Times New Roman" w:hAnsi="Times New Roman"/>
                <w:color w:val="auto"/>
                <w:sz w:val="24"/>
                <w:szCs w:val="24"/>
                <w:highlight w:val="none"/>
              </w:rPr>
              <w:t>约</w:t>
            </w:r>
            <w:r>
              <w:rPr>
                <w:rFonts w:hint="eastAsia"/>
                <w:color w:val="auto"/>
                <w:sz w:val="24"/>
                <w:szCs w:val="24"/>
                <w:highlight w:val="none"/>
                <w:lang w:val="en-US" w:eastAsia="zh-CN"/>
              </w:rPr>
              <w:t>3</w:t>
            </w:r>
            <w:r>
              <w:rPr>
                <w:rFonts w:ascii="Times New Roman" w:hAnsi="Times New Roman"/>
                <w:color w:val="auto"/>
                <w:sz w:val="24"/>
                <w:szCs w:val="24"/>
                <w:highlight w:val="none"/>
              </w:rPr>
              <w:t>00m</w:t>
            </w:r>
            <w:r>
              <w:rPr>
                <w:rFonts w:hint="eastAsia"/>
                <w:color w:val="auto"/>
                <w:sz w:val="24"/>
                <w:szCs w:val="24"/>
                <w:highlight w:val="none"/>
                <w:lang w:eastAsia="zh-CN"/>
              </w:rPr>
              <w:t>，</w:t>
            </w:r>
            <w:r>
              <w:rPr>
                <w:rFonts w:hint="eastAsia" w:ascii="Times New Roman" w:hAnsi="Times New Roman"/>
                <w:color w:val="auto"/>
                <w:sz w:val="24"/>
                <w:szCs w:val="24"/>
                <w:highlight w:val="none"/>
                <w:lang w:eastAsia="zh-CN"/>
              </w:rPr>
              <w:t>根据《中华人民共和国湿地保护法》（2021.12.24）中湿地定义可知，其</w:t>
            </w:r>
            <w:r>
              <w:rPr>
                <w:rFonts w:ascii="Times New Roman" w:hAnsi="Times New Roman"/>
                <w:color w:val="auto"/>
                <w:sz w:val="24"/>
                <w:szCs w:val="24"/>
                <w:highlight w:val="none"/>
              </w:rPr>
              <w:t>不属于人工湿地，因此项目不在</w:t>
            </w:r>
            <w:r>
              <w:rPr>
                <w:rFonts w:hint="eastAsia"/>
                <w:color w:val="auto"/>
                <w:sz w:val="24"/>
                <w:szCs w:val="24"/>
                <w:highlight w:val="none"/>
                <w:lang w:eastAsia="zh-CN"/>
              </w:rPr>
              <w:t>陕西汉江</w:t>
            </w:r>
            <w:r>
              <w:rPr>
                <w:rFonts w:ascii="Times New Roman" w:hAnsi="Times New Roman"/>
                <w:color w:val="auto"/>
                <w:sz w:val="24"/>
                <w:szCs w:val="24"/>
                <w:highlight w:val="none"/>
              </w:rPr>
              <w:t>湿地保护范围内。</w:t>
            </w:r>
          </w:p>
          <w:p w14:paraId="702E22BA">
            <w:pPr>
              <w:spacing w:line="360" w:lineRule="auto"/>
              <w:ind w:firstLine="480" w:firstLineChars="200"/>
              <w:rPr>
                <w:color w:val="auto"/>
                <w:sz w:val="24"/>
                <w:highlight w:val="none"/>
              </w:rPr>
            </w:pPr>
            <w:r>
              <w:rPr>
                <w:rFonts w:hint="eastAsia" w:ascii="宋体" w:hAnsi="宋体" w:cs="宋体"/>
                <w:color w:val="auto"/>
                <w:sz w:val="24"/>
                <w:highlight w:val="none"/>
                <w:lang w:eastAsia="zh-CN"/>
              </w:rPr>
              <w:t>经</w:t>
            </w:r>
            <w:r>
              <w:rPr>
                <w:rFonts w:hint="eastAsia" w:ascii="宋体" w:hAnsi="宋体" w:cs="宋体"/>
                <w:color w:val="auto"/>
                <w:sz w:val="24"/>
                <w:highlight w:val="none"/>
              </w:rPr>
              <w:t>现场调查，本项目</w:t>
            </w:r>
            <w:r>
              <w:rPr>
                <w:rFonts w:hint="eastAsia" w:ascii="宋体" w:hAnsi="宋体" w:cs="宋体"/>
                <w:color w:val="auto"/>
                <w:sz w:val="24"/>
                <w:highlight w:val="none"/>
                <w:lang w:eastAsia="zh-CN"/>
              </w:rPr>
              <w:t>厂址</w:t>
            </w:r>
            <w:r>
              <w:rPr>
                <w:rFonts w:hint="eastAsia" w:ascii="宋体" w:hAnsi="宋体" w:cs="宋体"/>
                <w:color w:val="auto"/>
                <w:sz w:val="24"/>
                <w:highlight w:val="none"/>
              </w:rPr>
              <w:t>区域不涉及水源地保护区、风景名胜区、基本农田保护区等敏感区，也不涉及国家相关法律、法规划定的禁止建设区域</w:t>
            </w:r>
            <w:r>
              <w:rPr>
                <w:rFonts w:hint="eastAsia"/>
                <w:color w:val="auto"/>
                <w:sz w:val="24"/>
                <w:highlight w:val="none"/>
              </w:rPr>
              <w:t>。</w:t>
            </w:r>
          </w:p>
          <w:p w14:paraId="260F193E">
            <w:pPr>
              <w:snapToGrid w:val="0"/>
              <w:spacing w:line="360" w:lineRule="auto"/>
              <w:ind w:firstLine="480" w:firstLineChars="200"/>
              <w:rPr>
                <w:rFonts w:hint="eastAsia"/>
                <w:color w:val="auto"/>
                <w:sz w:val="24"/>
                <w:highlight w:val="none"/>
              </w:rPr>
            </w:pPr>
            <w:r>
              <w:rPr>
                <w:rFonts w:hint="eastAsia"/>
                <w:color w:val="auto"/>
                <w:sz w:val="24"/>
                <w:highlight w:val="none"/>
              </w:rPr>
              <w:t>综上，</w:t>
            </w:r>
            <w:r>
              <w:rPr>
                <w:color w:val="auto"/>
                <w:sz w:val="24"/>
                <w:highlight w:val="none"/>
              </w:rPr>
              <w:t>从环保角度分析，本项目选址可行</w:t>
            </w:r>
            <w:r>
              <w:rPr>
                <w:rFonts w:hint="eastAsia"/>
                <w:color w:val="auto"/>
                <w:sz w:val="24"/>
                <w:highlight w:val="none"/>
              </w:rPr>
              <w:t>。</w:t>
            </w:r>
          </w:p>
          <w:p w14:paraId="7EA09E40">
            <w:pPr>
              <w:snapToGrid w:val="0"/>
              <w:spacing w:line="360" w:lineRule="auto"/>
              <w:ind w:firstLine="480" w:firstLineChars="200"/>
              <w:rPr>
                <w:rFonts w:hint="eastAsia"/>
                <w:color w:val="auto"/>
                <w:sz w:val="24"/>
                <w:highlight w:val="none"/>
              </w:rPr>
            </w:pPr>
          </w:p>
          <w:p w14:paraId="5E7BDE88">
            <w:pPr>
              <w:snapToGrid w:val="0"/>
              <w:spacing w:line="360" w:lineRule="auto"/>
              <w:ind w:firstLine="480" w:firstLineChars="200"/>
              <w:rPr>
                <w:rFonts w:hint="eastAsia"/>
                <w:color w:val="auto"/>
                <w:sz w:val="24"/>
                <w:highlight w:val="none"/>
              </w:rPr>
            </w:pPr>
          </w:p>
          <w:p w14:paraId="5012B4F9">
            <w:pPr>
              <w:snapToGrid w:val="0"/>
              <w:spacing w:line="360" w:lineRule="auto"/>
              <w:ind w:firstLine="480" w:firstLineChars="200"/>
              <w:rPr>
                <w:rFonts w:hint="eastAsia"/>
                <w:color w:val="auto"/>
                <w:sz w:val="24"/>
                <w:highlight w:val="none"/>
              </w:rPr>
            </w:pPr>
          </w:p>
          <w:p w14:paraId="4B344507">
            <w:pPr>
              <w:snapToGrid w:val="0"/>
              <w:spacing w:line="360" w:lineRule="auto"/>
              <w:ind w:firstLine="480" w:firstLineChars="200"/>
              <w:rPr>
                <w:rFonts w:hint="eastAsia"/>
                <w:color w:val="auto"/>
                <w:sz w:val="24"/>
                <w:highlight w:val="none"/>
              </w:rPr>
            </w:pPr>
          </w:p>
          <w:p w14:paraId="26F90AAA">
            <w:pPr>
              <w:snapToGrid w:val="0"/>
              <w:spacing w:line="360" w:lineRule="auto"/>
              <w:ind w:firstLine="480" w:firstLineChars="200"/>
              <w:rPr>
                <w:rFonts w:hint="eastAsia"/>
                <w:color w:val="auto"/>
                <w:sz w:val="24"/>
                <w:highlight w:val="none"/>
              </w:rPr>
            </w:pPr>
          </w:p>
          <w:p w14:paraId="50FD3781">
            <w:pPr>
              <w:snapToGrid w:val="0"/>
              <w:spacing w:line="360" w:lineRule="auto"/>
              <w:ind w:firstLine="480" w:firstLineChars="200"/>
              <w:rPr>
                <w:rFonts w:hint="eastAsia"/>
                <w:color w:val="auto"/>
                <w:sz w:val="24"/>
                <w:highlight w:val="none"/>
              </w:rPr>
            </w:pPr>
          </w:p>
          <w:p w14:paraId="421718E5">
            <w:pPr>
              <w:snapToGrid w:val="0"/>
              <w:spacing w:line="360" w:lineRule="auto"/>
              <w:ind w:firstLine="480" w:firstLineChars="200"/>
              <w:rPr>
                <w:rFonts w:hint="eastAsia"/>
                <w:color w:val="auto"/>
                <w:sz w:val="24"/>
                <w:highlight w:val="none"/>
              </w:rPr>
            </w:pPr>
          </w:p>
          <w:p w14:paraId="1E314D54">
            <w:pPr>
              <w:snapToGrid w:val="0"/>
              <w:spacing w:line="360" w:lineRule="auto"/>
              <w:ind w:firstLine="480" w:firstLineChars="200"/>
              <w:rPr>
                <w:rFonts w:hint="eastAsia"/>
                <w:color w:val="auto"/>
                <w:sz w:val="24"/>
                <w:highlight w:val="none"/>
              </w:rPr>
            </w:pPr>
          </w:p>
          <w:p w14:paraId="25BB3AE5">
            <w:pPr>
              <w:snapToGrid w:val="0"/>
              <w:spacing w:line="360" w:lineRule="auto"/>
              <w:ind w:firstLine="480" w:firstLineChars="200"/>
              <w:rPr>
                <w:rFonts w:hint="eastAsia"/>
                <w:color w:val="auto"/>
                <w:sz w:val="24"/>
                <w:highlight w:val="none"/>
              </w:rPr>
            </w:pPr>
          </w:p>
          <w:p w14:paraId="0BC850C0">
            <w:pPr>
              <w:snapToGrid w:val="0"/>
              <w:spacing w:line="360" w:lineRule="auto"/>
              <w:ind w:firstLine="480" w:firstLineChars="200"/>
              <w:rPr>
                <w:rFonts w:hint="eastAsia"/>
                <w:color w:val="auto"/>
                <w:sz w:val="24"/>
                <w:highlight w:val="none"/>
              </w:rPr>
            </w:pPr>
          </w:p>
          <w:p w14:paraId="0C633301">
            <w:pPr>
              <w:snapToGrid w:val="0"/>
              <w:spacing w:line="360" w:lineRule="auto"/>
              <w:ind w:firstLine="480" w:firstLineChars="200"/>
              <w:rPr>
                <w:rFonts w:hint="eastAsia"/>
                <w:color w:val="auto"/>
                <w:sz w:val="24"/>
                <w:highlight w:val="none"/>
              </w:rPr>
            </w:pPr>
          </w:p>
          <w:p w14:paraId="08BFF449">
            <w:pPr>
              <w:snapToGrid w:val="0"/>
              <w:spacing w:line="360" w:lineRule="auto"/>
              <w:ind w:firstLine="480" w:firstLineChars="200"/>
              <w:rPr>
                <w:rFonts w:hint="eastAsia"/>
                <w:color w:val="auto"/>
                <w:sz w:val="24"/>
                <w:highlight w:val="none"/>
              </w:rPr>
            </w:pPr>
          </w:p>
          <w:p w14:paraId="22D23A48">
            <w:pPr>
              <w:snapToGrid w:val="0"/>
              <w:spacing w:line="360" w:lineRule="auto"/>
              <w:ind w:firstLine="480" w:firstLineChars="200"/>
              <w:rPr>
                <w:rFonts w:hint="eastAsia"/>
                <w:color w:val="auto"/>
                <w:sz w:val="24"/>
                <w:highlight w:val="none"/>
              </w:rPr>
            </w:pPr>
          </w:p>
          <w:p w14:paraId="58F96ECA">
            <w:pPr>
              <w:snapToGrid w:val="0"/>
              <w:spacing w:line="360" w:lineRule="auto"/>
              <w:ind w:firstLine="480" w:firstLineChars="200"/>
              <w:rPr>
                <w:rFonts w:hint="eastAsia"/>
                <w:color w:val="auto"/>
                <w:sz w:val="24"/>
                <w:highlight w:val="none"/>
              </w:rPr>
            </w:pPr>
          </w:p>
          <w:p w14:paraId="05245711">
            <w:pPr>
              <w:snapToGrid w:val="0"/>
              <w:spacing w:line="360" w:lineRule="auto"/>
              <w:ind w:firstLine="480" w:firstLineChars="200"/>
              <w:rPr>
                <w:rFonts w:hint="eastAsia"/>
                <w:color w:val="auto"/>
                <w:sz w:val="24"/>
                <w:highlight w:val="none"/>
              </w:rPr>
            </w:pPr>
          </w:p>
          <w:p w14:paraId="4D1B734B">
            <w:pPr>
              <w:snapToGrid w:val="0"/>
              <w:spacing w:line="360" w:lineRule="auto"/>
              <w:ind w:firstLine="480" w:firstLineChars="200"/>
              <w:rPr>
                <w:rFonts w:hint="eastAsia"/>
                <w:color w:val="auto"/>
                <w:sz w:val="24"/>
                <w:highlight w:val="none"/>
              </w:rPr>
            </w:pPr>
          </w:p>
          <w:p w14:paraId="264F1F00">
            <w:pPr>
              <w:snapToGrid w:val="0"/>
              <w:spacing w:line="360" w:lineRule="auto"/>
              <w:ind w:firstLine="480" w:firstLineChars="200"/>
              <w:rPr>
                <w:rFonts w:hint="eastAsia"/>
                <w:color w:val="auto"/>
                <w:sz w:val="24"/>
                <w:highlight w:val="none"/>
              </w:rPr>
            </w:pPr>
          </w:p>
          <w:p w14:paraId="4BC1F28B">
            <w:pPr>
              <w:snapToGrid w:val="0"/>
              <w:spacing w:line="360" w:lineRule="auto"/>
              <w:ind w:firstLine="480" w:firstLineChars="200"/>
              <w:rPr>
                <w:rFonts w:hint="eastAsia"/>
                <w:color w:val="auto"/>
                <w:sz w:val="24"/>
                <w:highlight w:val="none"/>
              </w:rPr>
            </w:pPr>
          </w:p>
          <w:p w14:paraId="09DF27AB">
            <w:pPr>
              <w:snapToGrid w:val="0"/>
              <w:spacing w:line="360" w:lineRule="auto"/>
              <w:ind w:firstLine="480" w:firstLineChars="200"/>
              <w:rPr>
                <w:rFonts w:hint="eastAsia"/>
                <w:color w:val="auto"/>
                <w:sz w:val="24"/>
                <w:highlight w:val="none"/>
              </w:rPr>
            </w:pPr>
          </w:p>
          <w:p w14:paraId="5F906568">
            <w:pPr>
              <w:snapToGrid w:val="0"/>
              <w:spacing w:line="360" w:lineRule="auto"/>
              <w:ind w:firstLine="480" w:firstLineChars="200"/>
              <w:rPr>
                <w:rFonts w:hint="eastAsia"/>
                <w:color w:val="auto"/>
                <w:sz w:val="24"/>
                <w:highlight w:val="none"/>
              </w:rPr>
            </w:pPr>
          </w:p>
          <w:p w14:paraId="086EF65C">
            <w:pPr>
              <w:snapToGrid w:val="0"/>
              <w:spacing w:line="360" w:lineRule="auto"/>
              <w:ind w:firstLine="480" w:firstLineChars="200"/>
              <w:rPr>
                <w:rFonts w:hint="eastAsia"/>
                <w:color w:val="auto"/>
                <w:sz w:val="24"/>
                <w:highlight w:val="none"/>
              </w:rPr>
            </w:pPr>
          </w:p>
          <w:p w14:paraId="32BBFE4A">
            <w:pPr>
              <w:snapToGrid w:val="0"/>
              <w:spacing w:line="360" w:lineRule="auto"/>
              <w:ind w:firstLine="480" w:firstLineChars="200"/>
              <w:rPr>
                <w:rFonts w:hint="eastAsia"/>
                <w:color w:val="auto"/>
                <w:sz w:val="24"/>
                <w:highlight w:val="none"/>
              </w:rPr>
            </w:pPr>
          </w:p>
          <w:p w14:paraId="4FAEDB53">
            <w:pPr>
              <w:snapToGrid w:val="0"/>
              <w:spacing w:line="360" w:lineRule="auto"/>
              <w:ind w:firstLine="480" w:firstLineChars="200"/>
              <w:rPr>
                <w:rFonts w:hint="eastAsia"/>
                <w:color w:val="auto"/>
                <w:sz w:val="24"/>
                <w:highlight w:val="none"/>
              </w:rPr>
            </w:pPr>
          </w:p>
          <w:p w14:paraId="589FE107">
            <w:pPr>
              <w:snapToGrid w:val="0"/>
              <w:spacing w:line="360" w:lineRule="auto"/>
              <w:ind w:firstLine="480" w:firstLineChars="200"/>
              <w:rPr>
                <w:rFonts w:hint="eastAsia"/>
                <w:color w:val="auto"/>
                <w:sz w:val="24"/>
                <w:highlight w:val="none"/>
              </w:rPr>
            </w:pPr>
          </w:p>
          <w:p w14:paraId="763EE74B">
            <w:pPr>
              <w:snapToGrid w:val="0"/>
              <w:spacing w:line="360" w:lineRule="auto"/>
              <w:ind w:firstLine="480" w:firstLineChars="200"/>
              <w:rPr>
                <w:rFonts w:hint="eastAsia"/>
                <w:color w:val="auto"/>
                <w:sz w:val="24"/>
                <w:highlight w:val="none"/>
              </w:rPr>
            </w:pPr>
          </w:p>
          <w:p w14:paraId="28FB54F6">
            <w:pPr>
              <w:snapToGrid w:val="0"/>
              <w:spacing w:line="360" w:lineRule="auto"/>
              <w:ind w:firstLine="480" w:firstLineChars="200"/>
              <w:rPr>
                <w:rFonts w:hint="eastAsia"/>
                <w:color w:val="auto"/>
                <w:sz w:val="24"/>
                <w:highlight w:val="none"/>
              </w:rPr>
            </w:pPr>
          </w:p>
          <w:p w14:paraId="5AF4E35E">
            <w:pPr>
              <w:snapToGrid w:val="0"/>
              <w:spacing w:line="360" w:lineRule="auto"/>
              <w:ind w:firstLine="480" w:firstLineChars="200"/>
              <w:rPr>
                <w:rFonts w:hint="eastAsia"/>
                <w:color w:val="auto"/>
                <w:sz w:val="24"/>
                <w:highlight w:val="none"/>
              </w:rPr>
            </w:pPr>
          </w:p>
          <w:p w14:paraId="454CABC9">
            <w:pPr>
              <w:snapToGrid w:val="0"/>
              <w:spacing w:line="360" w:lineRule="auto"/>
              <w:ind w:firstLine="480" w:firstLineChars="200"/>
              <w:rPr>
                <w:rFonts w:hint="eastAsia"/>
                <w:color w:val="auto"/>
                <w:sz w:val="24"/>
                <w:highlight w:val="none"/>
              </w:rPr>
            </w:pPr>
          </w:p>
          <w:p w14:paraId="747C0720">
            <w:pPr>
              <w:snapToGrid w:val="0"/>
              <w:spacing w:line="360" w:lineRule="auto"/>
              <w:ind w:firstLine="480" w:firstLineChars="200"/>
              <w:rPr>
                <w:rFonts w:hint="eastAsia"/>
                <w:color w:val="auto"/>
                <w:sz w:val="24"/>
                <w:highlight w:val="none"/>
              </w:rPr>
            </w:pPr>
          </w:p>
          <w:p w14:paraId="61987408">
            <w:pPr>
              <w:snapToGrid w:val="0"/>
              <w:spacing w:line="360" w:lineRule="auto"/>
              <w:rPr>
                <w:rFonts w:hint="eastAsia"/>
                <w:color w:val="auto"/>
                <w:sz w:val="24"/>
                <w:highlight w:val="none"/>
              </w:rPr>
            </w:pPr>
          </w:p>
          <w:p w14:paraId="7618C625">
            <w:pPr>
              <w:pStyle w:val="2"/>
              <w:rPr>
                <w:rFonts w:hint="eastAsia"/>
                <w:color w:val="auto"/>
                <w:highlight w:val="none"/>
              </w:rPr>
            </w:pPr>
          </w:p>
        </w:tc>
      </w:tr>
    </w:tbl>
    <w:p w14:paraId="3CED336A">
      <w:pPr>
        <w:spacing w:line="360" w:lineRule="auto"/>
        <w:outlineLvl w:val="0"/>
        <w:rPr>
          <w:rFonts w:eastAsia="黑体"/>
          <w:color w:val="auto"/>
          <w:sz w:val="30"/>
          <w:highlight w:val="none"/>
        </w:rPr>
        <w:sectPr>
          <w:footerReference r:id="rId5" w:type="default"/>
          <w:pgSz w:w="11906" w:h="16838"/>
          <w:pgMar w:top="1304" w:right="1531" w:bottom="1304"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22E3F07">
      <w:pPr>
        <w:pStyle w:val="30"/>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11159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5" w:hRule="atLeast"/>
          <w:jc w:val="center"/>
        </w:trPr>
        <w:tc>
          <w:tcPr>
            <w:tcW w:w="456" w:type="dxa"/>
            <w:vAlign w:val="center"/>
          </w:tcPr>
          <w:p w14:paraId="30197CD7">
            <w:pPr>
              <w:pStyle w:val="30"/>
              <w:adjustRightInd w:val="0"/>
              <w:snapToGrid w:val="0"/>
              <w:spacing w:before="0" w:beforeAutospacing="0" w:after="0" w:afterAutospacing="0"/>
              <w:jc w:val="center"/>
              <w:rPr>
                <w:rFonts w:cs="宋体"/>
                <w:color w:val="auto"/>
                <w:szCs w:val="24"/>
                <w:highlight w:val="none"/>
              </w:rPr>
            </w:pPr>
          </w:p>
          <w:p w14:paraId="10B4D42A">
            <w:pPr>
              <w:pStyle w:val="30"/>
              <w:adjustRightInd w:val="0"/>
              <w:snapToGrid w:val="0"/>
              <w:spacing w:before="0" w:beforeAutospacing="0" w:after="0" w:afterAutospacing="0"/>
              <w:jc w:val="center"/>
              <w:rPr>
                <w:rFonts w:cs="宋体"/>
                <w:color w:val="auto"/>
                <w:szCs w:val="24"/>
                <w:highlight w:val="none"/>
              </w:rPr>
            </w:pPr>
          </w:p>
          <w:p w14:paraId="7571D5D2">
            <w:pPr>
              <w:pStyle w:val="30"/>
              <w:adjustRightInd w:val="0"/>
              <w:snapToGrid w:val="0"/>
              <w:spacing w:before="0" w:beforeAutospacing="0" w:after="0" w:afterAutospacing="0"/>
              <w:jc w:val="center"/>
              <w:rPr>
                <w:rFonts w:cs="宋体"/>
                <w:color w:val="auto"/>
                <w:szCs w:val="24"/>
                <w:highlight w:val="none"/>
              </w:rPr>
            </w:pPr>
          </w:p>
          <w:p w14:paraId="3BEE519C">
            <w:pPr>
              <w:pStyle w:val="30"/>
              <w:adjustRightInd w:val="0"/>
              <w:snapToGrid w:val="0"/>
              <w:spacing w:before="0" w:beforeAutospacing="0" w:after="0" w:afterAutospacing="0"/>
              <w:jc w:val="center"/>
              <w:rPr>
                <w:rFonts w:cs="宋体"/>
                <w:color w:val="auto"/>
                <w:szCs w:val="24"/>
                <w:highlight w:val="none"/>
              </w:rPr>
            </w:pPr>
          </w:p>
          <w:p w14:paraId="2F3D5C65">
            <w:pPr>
              <w:pStyle w:val="30"/>
              <w:adjustRightInd w:val="0"/>
              <w:snapToGrid w:val="0"/>
              <w:spacing w:before="0" w:beforeAutospacing="0" w:after="0" w:afterAutospacing="0"/>
              <w:jc w:val="center"/>
              <w:rPr>
                <w:rFonts w:cs="宋体"/>
                <w:color w:val="auto"/>
                <w:szCs w:val="24"/>
                <w:highlight w:val="none"/>
              </w:rPr>
            </w:pPr>
          </w:p>
          <w:p w14:paraId="7AD61171">
            <w:pPr>
              <w:pStyle w:val="30"/>
              <w:adjustRightInd w:val="0"/>
              <w:snapToGrid w:val="0"/>
              <w:spacing w:before="0" w:beforeAutospacing="0" w:after="0" w:afterAutospacing="0"/>
              <w:jc w:val="center"/>
              <w:rPr>
                <w:rFonts w:cs="宋体"/>
                <w:color w:val="auto"/>
                <w:szCs w:val="24"/>
                <w:highlight w:val="none"/>
              </w:rPr>
            </w:pPr>
          </w:p>
          <w:p w14:paraId="069FE448">
            <w:pPr>
              <w:pStyle w:val="30"/>
              <w:adjustRightInd w:val="0"/>
              <w:snapToGrid w:val="0"/>
              <w:spacing w:before="0" w:beforeAutospacing="0" w:after="0" w:afterAutospacing="0"/>
              <w:jc w:val="center"/>
              <w:rPr>
                <w:rFonts w:cs="宋体"/>
                <w:color w:val="auto"/>
                <w:szCs w:val="24"/>
                <w:highlight w:val="none"/>
              </w:rPr>
            </w:pPr>
          </w:p>
          <w:p w14:paraId="33B18FE0">
            <w:pPr>
              <w:pStyle w:val="30"/>
              <w:adjustRightInd w:val="0"/>
              <w:snapToGrid w:val="0"/>
              <w:spacing w:before="0" w:beforeAutospacing="0" w:after="0" w:afterAutospacing="0"/>
              <w:jc w:val="center"/>
              <w:rPr>
                <w:rFonts w:cs="宋体"/>
                <w:color w:val="auto"/>
                <w:szCs w:val="24"/>
                <w:highlight w:val="none"/>
              </w:rPr>
            </w:pPr>
          </w:p>
          <w:p w14:paraId="431E261D">
            <w:pPr>
              <w:pStyle w:val="30"/>
              <w:adjustRightInd w:val="0"/>
              <w:snapToGrid w:val="0"/>
              <w:spacing w:before="0" w:beforeAutospacing="0" w:after="0" w:afterAutospacing="0"/>
              <w:jc w:val="center"/>
              <w:rPr>
                <w:rFonts w:cs="宋体"/>
                <w:color w:val="auto"/>
                <w:szCs w:val="24"/>
                <w:highlight w:val="none"/>
              </w:rPr>
            </w:pPr>
          </w:p>
          <w:p w14:paraId="057A3DEC">
            <w:pPr>
              <w:pStyle w:val="30"/>
              <w:adjustRightInd w:val="0"/>
              <w:snapToGrid w:val="0"/>
              <w:spacing w:before="0" w:beforeAutospacing="0" w:after="0" w:afterAutospacing="0"/>
              <w:jc w:val="center"/>
              <w:rPr>
                <w:rFonts w:cs="宋体"/>
                <w:color w:val="auto"/>
                <w:szCs w:val="24"/>
                <w:highlight w:val="none"/>
              </w:rPr>
            </w:pPr>
          </w:p>
          <w:p w14:paraId="55352E90">
            <w:pPr>
              <w:pStyle w:val="30"/>
              <w:adjustRightInd w:val="0"/>
              <w:snapToGrid w:val="0"/>
              <w:spacing w:before="0" w:beforeAutospacing="0" w:after="0" w:afterAutospacing="0"/>
              <w:jc w:val="center"/>
              <w:rPr>
                <w:rFonts w:cs="宋体"/>
                <w:color w:val="auto"/>
                <w:szCs w:val="24"/>
                <w:highlight w:val="none"/>
              </w:rPr>
            </w:pPr>
          </w:p>
          <w:p w14:paraId="39250C34">
            <w:pPr>
              <w:pStyle w:val="30"/>
              <w:adjustRightInd w:val="0"/>
              <w:snapToGrid w:val="0"/>
              <w:spacing w:before="0" w:beforeAutospacing="0" w:after="0" w:afterAutospacing="0"/>
              <w:jc w:val="center"/>
              <w:rPr>
                <w:rFonts w:cs="宋体"/>
                <w:color w:val="auto"/>
                <w:szCs w:val="24"/>
                <w:highlight w:val="none"/>
              </w:rPr>
            </w:pPr>
          </w:p>
          <w:p w14:paraId="0B86DA2D">
            <w:pPr>
              <w:pStyle w:val="30"/>
              <w:adjustRightInd w:val="0"/>
              <w:snapToGrid w:val="0"/>
              <w:spacing w:before="0" w:beforeAutospacing="0" w:after="0" w:afterAutospacing="0"/>
              <w:jc w:val="center"/>
              <w:rPr>
                <w:rFonts w:cs="宋体"/>
                <w:color w:val="auto"/>
                <w:szCs w:val="24"/>
                <w:highlight w:val="none"/>
              </w:rPr>
            </w:pPr>
          </w:p>
          <w:p w14:paraId="503272A6">
            <w:pPr>
              <w:pStyle w:val="30"/>
              <w:adjustRightInd w:val="0"/>
              <w:snapToGrid w:val="0"/>
              <w:spacing w:before="0" w:beforeAutospacing="0" w:after="0" w:afterAutospacing="0"/>
              <w:jc w:val="center"/>
              <w:rPr>
                <w:rFonts w:cs="宋体"/>
                <w:color w:val="auto"/>
                <w:szCs w:val="24"/>
                <w:highlight w:val="none"/>
              </w:rPr>
            </w:pPr>
          </w:p>
          <w:p w14:paraId="7BF93499">
            <w:pPr>
              <w:pStyle w:val="30"/>
              <w:adjustRightInd w:val="0"/>
              <w:snapToGrid w:val="0"/>
              <w:spacing w:before="0" w:beforeAutospacing="0" w:after="0" w:afterAutospacing="0"/>
              <w:jc w:val="center"/>
              <w:rPr>
                <w:rFonts w:cs="宋体"/>
                <w:color w:val="auto"/>
                <w:szCs w:val="24"/>
                <w:highlight w:val="none"/>
              </w:rPr>
            </w:pPr>
          </w:p>
          <w:p w14:paraId="2E92FC1F">
            <w:pPr>
              <w:pStyle w:val="30"/>
              <w:adjustRightInd w:val="0"/>
              <w:snapToGrid w:val="0"/>
              <w:spacing w:before="0" w:beforeAutospacing="0" w:after="0" w:afterAutospacing="0"/>
              <w:jc w:val="center"/>
              <w:rPr>
                <w:rFonts w:cs="宋体"/>
                <w:color w:val="auto"/>
                <w:szCs w:val="24"/>
                <w:highlight w:val="none"/>
              </w:rPr>
            </w:pPr>
          </w:p>
          <w:p w14:paraId="17ED2B56">
            <w:pPr>
              <w:pStyle w:val="30"/>
              <w:adjustRightInd w:val="0"/>
              <w:snapToGrid w:val="0"/>
              <w:spacing w:before="0" w:beforeAutospacing="0" w:after="0" w:afterAutospacing="0"/>
              <w:jc w:val="center"/>
              <w:rPr>
                <w:rFonts w:cs="宋体"/>
                <w:color w:val="auto"/>
                <w:szCs w:val="24"/>
                <w:highlight w:val="none"/>
              </w:rPr>
            </w:pPr>
          </w:p>
          <w:p w14:paraId="2C7CA48A">
            <w:pPr>
              <w:pStyle w:val="30"/>
              <w:adjustRightInd w:val="0"/>
              <w:snapToGrid w:val="0"/>
              <w:spacing w:before="0" w:beforeAutospacing="0" w:after="0" w:afterAutospacing="0"/>
              <w:jc w:val="center"/>
              <w:rPr>
                <w:rFonts w:cs="宋体"/>
                <w:color w:val="auto"/>
                <w:szCs w:val="24"/>
                <w:highlight w:val="none"/>
              </w:rPr>
            </w:pPr>
          </w:p>
          <w:p w14:paraId="68385D77">
            <w:pPr>
              <w:pStyle w:val="30"/>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346003FB">
            <w:pPr>
              <w:pStyle w:val="30"/>
              <w:adjustRightInd w:val="0"/>
              <w:snapToGrid w:val="0"/>
              <w:spacing w:before="0" w:beforeAutospacing="0" w:after="0" w:afterAutospacing="0"/>
              <w:jc w:val="center"/>
              <w:rPr>
                <w:rFonts w:cs="宋体"/>
                <w:color w:val="auto"/>
                <w:szCs w:val="24"/>
                <w:highlight w:val="none"/>
              </w:rPr>
            </w:pPr>
          </w:p>
          <w:p w14:paraId="60656237">
            <w:pPr>
              <w:pStyle w:val="30"/>
              <w:adjustRightInd w:val="0"/>
              <w:snapToGrid w:val="0"/>
              <w:spacing w:before="0" w:beforeAutospacing="0" w:after="0" w:afterAutospacing="0"/>
              <w:jc w:val="center"/>
              <w:rPr>
                <w:rFonts w:cs="宋体"/>
                <w:color w:val="auto"/>
                <w:szCs w:val="24"/>
                <w:highlight w:val="none"/>
              </w:rPr>
            </w:pPr>
          </w:p>
          <w:p w14:paraId="7BC320D8">
            <w:pPr>
              <w:pStyle w:val="30"/>
              <w:adjustRightInd w:val="0"/>
              <w:snapToGrid w:val="0"/>
              <w:spacing w:before="0" w:beforeAutospacing="0" w:after="0" w:afterAutospacing="0"/>
              <w:jc w:val="center"/>
              <w:rPr>
                <w:rFonts w:cs="宋体"/>
                <w:color w:val="auto"/>
                <w:szCs w:val="24"/>
                <w:highlight w:val="none"/>
              </w:rPr>
            </w:pPr>
          </w:p>
          <w:p w14:paraId="6D940C3C">
            <w:pPr>
              <w:pStyle w:val="30"/>
              <w:adjustRightInd w:val="0"/>
              <w:snapToGrid w:val="0"/>
              <w:spacing w:before="0" w:beforeAutospacing="0" w:after="0" w:afterAutospacing="0"/>
              <w:jc w:val="center"/>
              <w:rPr>
                <w:rFonts w:cs="宋体"/>
                <w:color w:val="auto"/>
                <w:szCs w:val="24"/>
                <w:highlight w:val="none"/>
              </w:rPr>
            </w:pPr>
          </w:p>
          <w:p w14:paraId="3D217FE0">
            <w:pPr>
              <w:pStyle w:val="30"/>
              <w:adjustRightInd w:val="0"/>
              <w:snapToGrid w:val="0"/>
              <w:spacing w:before="0" w:beforeAutospacing="0" w:after="0" w:afterAutospacing="0"/>
              <w:jc w:val="center"/>
              <w:rPr>
                <w:rFonts w:cs="宋体"/>
                <w:color w:val="auto"/>
                <w:szCs w:val="24"/>
                <w:highlight w:val="none"/>
              </w:rPr>
            </w:pPr>
          </w:p>
          <w:p w14:paraId="6612D870">
            <w:pPr>
              <w:pStyle w:val="30"/>
              <w:adjustRightInd w:val="0"/>
              <w:snapToGrid w:val="0"/>
              <w:spacing w:before="0" w:beforeAutospacing="0" w:after="0" w:afterAutospacing="0"/>
              <w:jc w:val="center"/>
              <w:rPr>
                <w:rFonts w:cs="宋体"/>
                <w:color w:val="auto"/>
                <w:szCs w:val="24"/>
                <w:highlight w:val="none"/>
              </w:rPr>
            </w:pPr>
          </w:p>
          <w:p w14:paraId="2A74C530">
            <w:pPr>
              <w:pStyle w:val="30"/>
              <w:adjustRightInd w:val="0"/>
              <w:snapToGrid w:val="0"/>
              <w:spacing w:before="0" w:beforeAutospacing="0" w:after="0" w:afterAutospacing="0"/>
              <w:jc w:val="center"/>
              <w:rPr>
                <w:rFonts w:cs="宋体"/>
                <w:color w:val="auto"/>
                <w:szCs w:val="24"/>
                <w:highlight w:val="none"/>
              </w:rPr>
            </w:pPr>
          </w:p>
          <w:p w14:paraId="0809B146">
            <w:pPr>
              <w:pStyle w:val="30"/>
              <w:adjustRightInd w:val="0"/>
              <w:snapToGrid w:val="0"/>
              <w:spacing w:before="0" w:beforeAutospacing="0" w:after="0" w:afterAutospacing="0"/>
              <w:jc w:val="center"/>
              <w:rPr>
                <w:rFonts w:cs="宋体"/>
                <w:color w:val="auto"/>
                <w:szCs w:val="24"/>
                <w:highlight w:val="none"/>
              </w:rPr>
            </w:pPr>
          </w:p>
          <w:p w14:paraId="32417439">
            <w:pPr>
              <w:pStyle w:val="30"/>
              <w:adjustRightInd w:val="0"/>
              <w:snapToGrid w:val="0"/>
              <w:spacing w:before="0" w:beforeAutospacing="0" w:after="0" w:afterAutospacing="0"/>
              <w:jc w:val="center"/>
              <w:rPr>
                <w:rFonts w:cs="宋体"/>
                <w:color w:val="auto"/>
                <w:szCs w:val="24"/>
                <w:highlight w:val="none"/>
              </w:rPr>
            </w:pPr>
          </w:p>
          <w:p w14:paraId="7AB4AEE5">
            <w:pPr>
              <w:pStyle w:val="30"/>
              <w:adjustRightInd w:val="0"/>
              <w:snapToGrid w:val="0"/>
              <w:spacing w:before="0" w:beforeAutospacing="0" w:after="0" w:afterAutospacing="0"/>
              <w:jc w:val="center"/>
              <w:rPr>
                <w:rFonts w:cs="宋体"/>
                <w:color w:val="auto"/>
                <w:szCs w:val="24"/>
                <w:highlight w:val="none"/>
              </w:rPr>
            </w:pPr>
          </w:p>
          <w:p w14:paraId="78E066B8">
            <w:pPr>
              <w:pStyle w:val="30"/>
              <w:adjustRightInd w:val="0"/>
              <w:snapToGrid w:val="0"/>
              <w:spacing w:before="0" w:beforeAutospacing="0" w:after="0" w:afterAutospacing="0"/>
              <w:jc w:val="center"/>
              <w:rPr>
                <w:rFonts w:cs="宋体"/>
                <w:color w:val="auto"/>
                <w:szCs w:val="24"/>
                <w:highlight w:val="none"/>
              </w:rPr>
            </w:pPr>
          </w:p>
          <w:p w14:paraId="4131B716">
            <w:pPr>
              <w:pStyle w:val="30"/>
              <w:adjustRightInd w:val="0"/>
              <w:snapToGrid w:val="0"/>
              <w:spacing w:before="0" w:beforeAutospacing="0" w:after="0" w:afterAutospacing="0"/>
              <w:jc w:val="center"/>
              <w:rPr>
                <w:rFonts w:cs="宋体"/>
                <w:color w:val="auto"/>
                <w:szCs w:val="24"/>
                <w:highlight w:val="none"/>
              </w:rPr>
            </w:pPr>
          </w:p>
          <w:p w14:paraId="2E1CF403">
            <w:pPr>
              <w:pStyle w:val="30"/>
              <w:adjustRightInd w:val="0"/>
              <w:snapToGrid w:val="0"/>
              <w:spacing w:before="0" w:beforeAutospacing="0" w:after="0" w:afterAutospacing="0"/>
              <w:jc w:val="center"/>
              <w:rPr>
                <w:rFonts w:cs="宋体"/>
                <w:color w:val="auto"/>
                <w:szCs w:val="24"/>
                <w:highlight w:val="none"/>
              </w:rPr>
            </w:pPr>
          </w:p>
          <w:p w14:paraId="5F7FE6CD">
            <w:pPr>
              <w:pStyle w:val="30"/>
              <w:adjustRightInd w:val="0"/>
              <w:snapToGrid w:val="0"/>
              <w:spacing w:before="0" w:beforeAutospacing="0" w:after="0" w:afterAutospacing="0"/>
              <w:jc w:val="center"/>
              <w:rPr>
                <w:rFonts w:cs="宋体"/>
                <w:color w:val="auto"/>
                <w:szCs w:val="24"/>
                <w:highlight w:val="none"/>
              </w:rPr>
            </w:pPr>
          </w:p>
          <w:p w14:paraId="19306CAF">
            <w:pPr>
              <w:pStyle w:val="30"/>
              <w:adjustRightInd w:val="0"/>
              <w:snapToGrid w:val="0"/>
              <w:spacing w:before="0" w:beforeAutospacing="0" w:after="0" w:afterAutospacing="0"/>
              <w:jc w:val="center"/>
              <w:rPr>
                <w:rFonts w:cs="宋体"/>
                <w:color w:val="auto"/>
                <w:szCs w:val="24"/>
                <w:highlight w:val="none"/>
              </w:rPr>
            </w:pPr>
          </w:p>
          <w:p w14:paraId="04DEFE2D">
            <w:pPr>
              <w:pStyle w:val="30"/>
              <w:adjustRightInd w:val="0"/>
              <w:snapToGrid w:val="0"/>
              <w:spacing w:before="0" w:beforeAutospacing="0" w:after="0" w:afterAutospacing="0"/>
              <w:jc w:val="center"/>
              <w:rPr>
                <w:rFonts w:cs="宋体"/>
                <w:color w:val="auto"/>
                <w:szCs w:val="24"/>
                <w:highlight w:val="none"/>
              </w:rPr>
            </w:pPr>
          </w:p>
          <w:p w14:paraId="51F48FBE">
            <w:pPr>
              <w:pStyle w:val="30"/>
              <w:adjustRightInd w:val="0"/>
              <w:snapToGrid w:val="0"/>
              <w:spacing w:before="0" w:beforeAutospacing="0" w:after="0" w:afterAutospacing="0"/>
              <w:jc w:val="center"/>
              <w:rPr>
                <w:rFonts w:cs="宋体"/>
                <w:color w:val="auto"/>
                <w:szCs w:val="24"/>
                <w:highlight w:val="none"/>
              </w:rPr>
            </w:pPr>
          </w:p>
          <w:p w14:paraId="477A249A">
            <w:pPr>
              <w:pStyle w:val="30"/>
              <w:adjustRightInd w:val="0"/>
              <w:snapToGrid w:val="0"/>
              <w:spacing w:before="0" w:beforeAutospacing="0" w:after="0" w:afterAutospacing="0"/>
              <w:jc w:val="center"/>
              <w:rPr>
                <w:rFonts w:cs="宋体"/>
                <w:color w:val="auto"/>
                <w:szCs w:val="24"/>
                <w:highlight w:val="none"/>
              </w:rPr>
            </w:pPr>
          </w:p>
          <w:p w14:paraId="2EDB357E">
            <w:pPr>
              <w:pStyle w:val="30"/>
              <w:adjustRightInd w:val="0"/>
              <w:snapToGrid w:val="0"/>
              <w:spacing w:before="0" w:beforeAutospacing="0" w:after="0" w:afterAutospacing="0"/>
              <w:jc w:val="center"/>
              <w:rPr>
                <w:rFonts w:cs="宋体"/>
                <w:color w:val="auto"/>
                <w:szCs w:val="24"/>
                <w:highlight w:val="none"/>
              </w:rPr>
            </w:pPr>
          </w:p>
          <w:p w14:paraId="63ADFA10">
            <w:pPr>
              <w:pStyle w:val="30"/>
              <w:adjustRightInd w:val="0"/>
              <w:snapToGrid w:val="0"/>
              <w:spacing w:before="0" w:beforeAutospacing="0" w:after="0" w:afterAutospacing="0"/>
              <w:jc w:val="center"/>
              <w:rPr>
                <w:rFonts w:cs="宋体"/>
                <w:color w:val="auto"/>
                <w:szCs w:val="24"/>
                <w:highlight w:val="none"/>
              </w:rPr>
            </w:pPr>
          </w:p>
          <w:p w14:paraId="192E55CE">
            <w:pPr>
              <w:pStyle w:val="30"/>
              <w:adjustRightInd w:val="0"/>
              <w:snapToGrid w:val="0"/>
              <w:spacing w:before="0" w:beforeAutospacing="0" w:after="0" w:afterAutospacing="0"/>
              <w:jc w:val="center"/>
              <w:rPr>
                <w:rFonts w:cs="宋体"/>
                <w:color w:val="auto"/>
                <w:szCs w:val="24"/>
                <w:highlight w:val="none"/>
              </w:rPr>
            </w:pPr>
          </w:p>
          <w:p w14:paraId="00EED6F4">
            <w:pPr>
              <w:pStyle w:val="30"/>
              <w:adjustRightInd w:val="0"/>
              <w:snapToGrid w:val="0"/>
              <w:spacing w:before="0" w:beforeAutospacing="0" w:after="0" w:afterAutospacing="0"/>
              <w:jc w:val="center"/>
              <w:rPr>
                <w:rFonts w:cs="宋体"/>
                <w:color w:val="auto"/>
                <w:szCs w:val="24"/>
                <w:highlight w:val="none"/>
              </w:rPr>
            </w:pPr>
          </w:p>
          <w:p w14:paraId="41579007">
            <w:pPr>
              <w:pStyle w:val="30"/>
              <w:adjustRightInd w:val="0"/>
              <w:snapToGrid w:val="0"/>
              <w:spacing w:before="0" w:beforeAutospacing="0" w:after="0" w:afterAutospacing="0"/>
              <w:jc w:val="center"/>
              <w:rPr>
                <w:rFonts w:cs="宋体"/>
                <w:color w:val="auto"/>
                <w:szCs w:val="24"/>
                <w:highlight w:val="none"/>
              </w:rPr>
            </w:pPr>
          </w:p>
          <w:p w14:paraId="6C1D6077">
            <w:pPr>
              <w:pStyle w:val="30"/>
              <w:adjustRightInd w:val="0"/>
              <w:snapToGrid w:val="0"/>
              <w:spacing w:before="0" w:beforeAutospacing="0" w:after="0" w:afterAutospacing="0"/>
              <w:jc w:val="center"/>
              <w:rPr>
                <w:rFonts w:cs="宋体"/>
                <w:color w:val="auto"/>
                <w:szCs w:val="24"/>
                <w:highlight w:val="none"/>
              </w:rPr>
            </w:pPr>
          </w:p>
          <w:p w14:paraId="17F2BCF6">
            <w:pPr>
              <w:pStyle w:val="30"/>
              <w:adjustRightInd w:val="0"/>
              <w:snapToGrid w:val="0"/>
              <w:spacing w:before="0" w:beforeAutospacing="0" w:after="0" w:afterAutospacing="0"/>
              <w:jc w:val="center"/>
              <w:rPr>
                <w:rFonts w:cs="宋体"/>
                <w:color w:val="auto"/>
                <w:szCs w:val="24"/>
                <w:highlight w:val="none"/>
              </w:rPr>
            </w:pPr>
          </w:p>
          <w:p w14:paraId="07E88312">
            <w:pPr>
              <w:pStyle w:val="30"/>
              <w:adjustRightInd w:val="0"/>
              <w:snapToGrid w:val="0"/>
              <w:spacing w:before="0" w:beforeAutospacing="0" w:after="0" w:afterAutospacing="0"/>
              <w:jc w:val="center"/>
              <w:rPr>
                <w:rFonts w:cs="宋体"/>
                <w:color w:val="auto"/>
                <w:szCs w:val="24"/>
                <w:highlight w:val="none"/>
              </w:rPr>
            </w:pPr>
          </w:p>
          <w:p w14:paraId="25CE3715">
            <w:pPr>
              <w:pStyle w:val="30"/>
              <w:adjustRightInd w:val="0"/>
              <w:snapToGrid w:val="0"/>
              <w:spacing w:before="0" w:beforeAutospacing="0" w:after="0" w:afterAutospacing="0"/>
              <w:jc w:val="center"/>
              <w:rPr>
                <w:rFonts w:cs="宋体"/>
                <w:color w:val="auto"/>
                <w:szCs w:val="24"/>
                <w:highlight w:val="none"/>
              </w:rPr>
            </w:pPr>
          </w:p>
          <w:p w14:paraId="0BEEBBA3">
            <w:pPr>
              <w:pStyle w:val="30"/>
              <w:adjustRightInd w:val="0"/>
              <w:snapToGrid w:val="0"/>
              <w:spacing w:before="0" w:beforeAutospacing="0" w:after="0" w:afterAutospacing="0"/>
              <w:jc w:val="center"/>
              <w:rPr>
                <w:rFonts w:cs="宋体"/>
                <w:color w:val="auto"/>
                <w:szCs w:val="24"/>
                <w:highlight w:val="none"/>
              </w:rPr>
            </w:pPr>
          </w:p>
          <w:p w14:paraId="6F6AC8B0">
            <w:pPr>
              <w:pStyle w:val="30"/>
              <w:adjustRightInd w:val="0"/>
              <w:snapToGrid w:val="0"/>
              <w:spacing w:before="0" w:beforeAutospacing="0" w:after="0" w:afterAutospacing="0"/>
              <w:jc w:val="center"/>
              <w:rPr>
                <w:rFonts w:cs="宋体"/>
                <w:color w:val="auto"/>
                <w:szCs w:val="24"/>
                <w:highlight w:val="none"/>
              </w:rPr>
            </w:pPr>
          </w:p>
          <w:p w14:paraId="166CF955">
            <w:pPr>
              <w:pStyle w:val="30"/>
              <w:adjustRightInd w:val="0"/>
              <w:snapToGrid w:val="0"/>
              <w:spacing w:before="0" w:beforeAutospacing="0" w:after="0" w:afterAutospacing="0"/>
              <w:jc w:val="center"/>
              <w:rPr>
                <w:rFonts w:cs="宋体"/>
                <w:color w:val="auto"/>
                <w:szCs w:val="24"/>
                <w:highlight w:val="none"/>
              </w:rPr>
            </w:pPr>
          </w:p>
          <w:p w14:paraId="63DF1330">
            <w:pPr>
              <w:pStyle w:val="30"/>
              <w:adjustRightInd w:val="0"/>
              <w:snapToGrid w:val="0"/>
              <w:spacing w:before="0" w:beforeAutospacing="0" w:after="0" w:afterAutospacing="0"/>
              <w:jc w:val="center"/>
              <w:rPr>
                <w:rFonts w:cs="宋体"/>
                <w:color w:val="auto"/>
                <w:szCs w:val="24"/>
                <w:highlight w:val="none"/>
              </w:rPr>
            </w:pPr>
          </w:p>
          <w:p w14:paraId="66DD670B">
            <w:pPr>
              <w:pStyle w:val="30"/>
              <w:adjustRightInd w:val="0"/>
              <w:snapToGrid w:val="0"/>
              <w:spacing w:before="0" w:beforeAutospacing="0" w:after="0" w:afterAutospacing="0"/>
              <w:jc w:val="center"/>
              <w:rPr>
                <w:rFonts w:cs="宋体"/>
                <w:color w:val="auto"/>
                <w:szCs w:val="24"/>
                <w:highlight w:val="none"/>
              </w:rPr>
            </w:pPr>
          </w:p>
          <w:p w14:paraId="5613C327">
            <w:pPr>
              <w:pStyle w:val="30"/>
              <w:adjustRightInd w:val="0"/>
              <w:snapToGrid w:val="0"/>
              <w:spacing w:before="0" w:beforeAutospacing="0" w:after="0" w:afterAutospacing="0"/>
              <w:jc w:val="center"/>
              <w:rPr>
                <w:rFonts w:cs="宋体"/>
                <w:color w:val="auto"/>
                <w:szCs w:val="24"/>
                <w:highlight w:val="none"/>
              </w:rPr>
            </w:pPr>
          </w:p>
          <w:p w14:paraId="5467B3B3">
            <w:pPr>
              <w:pStyle w:val="30"/>
              <w:adjustRightInd w:val="0"/>
              <w:snapToGrid w:val="0"/>
              <w:spacing w:before="0" w:beforeAutospacing="0" w:after="0" w:afterAutospacing="0"/>
              <w:jc w:val="center"/>
              <w:rPr>
                <w:rFonts w:cs="宋体"/>
                <w:color w:val="auto"/>
                <w:szCs w:val="24"/>
                <w:highlight w:val="none"/>
              </w:rPr>
            </w:pPr>
          </w:p>
          <w:p w14:paraId="42E3A557">
            <w:pPr>
              <w:pStyle w:val="30"/>
              <w:adjustRightInd w:val="0"/>
              <w:snapToGrid w:val="0"/>
              <w:spacing w:before="0" w:beforeAutospacing="0" w:after="0" w:afterAutospacing="0"/>
              <w:jc w:val="both"/>
              <w:rPr>
                <w:rFonts w:cs="宋体"/>
                <w:color w:val="auto"/>
                <w:szCs w:val="24"/>
                <w:highlight w:val="none"/>
              </w:rPr>
            </w:pPr>
          </w:p>
          <w:p w14:paraId="52336DE0">
            <w:pPr>
              <w:pStyle w:val="30"/>
              <w:adjustRightInd w:val="0"/>
              <w:snapToGrid w:val="0"/>
              <w:spacing w:before="0" w:beforeAutospacing="0" w:after="0" w:afterAutospacing="0"/>
              <w:jc w:val="center"/>
              <w:rPr>
                <w:rFonts w:hint="eastAsia" w:cs="宋体"/>
                <w:color w:val="auto"/>
                <w:szCs w:val="24"/>
                <w:highlight w:val="none"/>
              </w:rPr>
            </w:pPr>
          </w:p>
          <w:p w14:paraId="55FF2F99">
            <w:pPr>
              <w:pStyle w:val="30"/>
              <w:adjustRightInd w:val="0"/>
              <w:snapToGrid w:val="0"/>
              <w:spacing w:before="0" w:beforeAutospacing="0" w:after="0" w:afterAutospacing="0"/>
              <w:jc w:val="center"/>
              <w:rPr>
                <w:rFonts w:hint="eastAsia" w:cs="宋体"/>
                <w:color w:val="auto"/>
                <w:szCs w:val="24"/>
                <w:highlight w:val="none"/>
              </w:rPr>
            </w:pPr>
          </w:p>
          <w:p w14:paraId="5B99CB28">
            <w:pPr>
              <w:pStyle w:val="30"/>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602053D6">
            <w:pPr>
              <w:pStyle w:val="30"/>
              <w:adjustRightInd w:val="0"/>
              <w:snapToGrid w:val="0"/>
              <w:spacing w:before="0" w:beforeAutospacing="0" w:after="0" w:afterAutospacing="0"/>
              <w:jc w:val="center"/>
              <w:rPr>
                <w:rFonts w:cs="宋体"/>
                <w:color w:val="auto"/>
                <w:szCs w:val="24"/>
                <w:highlight w:val="none"/>
              </w:rPr>
            </w:pPr>
          </w:p>
          <w:p w14:paraId="03470C65">
            <w:pPr>
              <w:pStyle w:val="30"/>
              <w:adjustRightInd w:val="0"/>
              <w:snapToGrid w:val="0"/>
              <w:spacing w:before="0" w:beforeAutospacing="0" w:after="0" w:afterAutospacing="0"/>
              <w:jc w:val="center"/>
              <w:rPr>
                <w:rFonts w:cs="宋体"/>
                <w:color w:val="auto"/>
                <w:szCs w:val="24"/>
                <w:highlight w:val="none"/>
              </w:rPr>
            </w:pPr>
          </w:p>
          <w:p w14:paraId="4A69AC7B">
            <w:pPr>
              <w:pStyle w:val="30"/>
              <w:adjustRightInd w:val="0"/>
              <w:snapToGrid w:val="0"/>
              <w:spacing w:before="0" w:beforeAutospacing="0" w:after="0" w:afterAutospacing="0"/>
              <w:jc w:val="center"/>
              <w:rPr>
                <w:rFonts w:cs="宋体"/>
                <w:color w:val="auto"/>
                <w:szCs w:val="24"/>
                <w:highlight w:val="none"/>
              </w:rPr>
            </w:pPr>
          </w:p>
          <w:p w14:paraId="79A0F887">
            <w:pPr>
              <w:pStyle w:val="30"/>
              <w:adjustRightInd w:val="0"/>
              <w:snapToGrid w:val="0"/>
              <w:spacing w:before="0" w:beforeAutospacing="0" w:after="0" w:afterAutospacing="0"/>
              <w:jc w:val="center"/>
              <w:rPr>
                <w:rFonts w:cs="宋体"/>
                <w:color w:val="auto"/>
                <w:szCs w:val="24"/>
                <w:highlight w:val="none"/>
              </w:rPr>
            </w:pPr>
          </w:p>
          <w:p w14:paraId="7901204E">
            <w:pPr>
              <w:pStyle w:val="30"/>
              <w:adjustRightInd w:val="0"/>
              <w:snapToGrid w:val="0"/>
              <w:spacing w:before="0" w:beforeAutospacing="0" w:after="0" w:afterAutospacing="0"/>
              <w:jc w:val="center"/>
              <w:rPr>
                <w:rFonts w:cs="宋体"/>
                <w:color w:val="auto"/>
                <w:szCs w:val="24"/>
                <w:highlight w:val="none"/>
              </w:rPr>
            </w:pPr>
          </w:p>
          <w:p w14:paraId="773887F0">
            <w:pPr>
              <w:pStyle w:val="30"/>
              <w:adjustRightInd w:val="0"/>
              <w:snapToGrid w:val="0"/>
              <w:spacing w:before="0" w:beforeAutospacing="0" w:after="0" w:afterAutospacing="0"/>
              <w:jc w:val="center"/>
              <w:rPr>
                <w:rFonts w:cs="宋体"/>
                <w:color w:val="auto"/>
                <w:szCs w:val="24"/>
                <w:highlight w:val="none"/>
              </w:rPr>
            </w:pPr>
          </w:p>
          <w:p w14:paraId="07B18B14">
            <w:pPr>
              <w:pStyle w:val="30"/>
              <w:adjustRightInd w:val="0"/>
              <w:snapToGrid w:val="0"/>
              <w:spacing w:before="0" w:beforeAutospacing="0" w:after="0" w:afterAutospacing="0"/>
              <w:jc w:val="center"/>
              <w:rPr>
                <w:rFonts w:cs="宋体"/>
                <w:color w:val="auto"/>
                <w:szCs w:val="24"/>
                <w:highlight w:val="none"/>
              </w:rPr>
            </w:pPr>
          </w:p>
          <w:p w14:paraId="0D124491">
            <w:pPr>
              <w:pStyle w:val="30"/>
              <w:adjustRightInd w:val="0"/>
              <w:snapToGrid w:val="0"/>
              <w:spacing w:before="0" w:beforeAutospacing="0" w:after="0" w:afterAutospacing="0"/>
              <w:jc w:val="center"/>
              <w:rPr>
                <w:rFonts w:cs="宋体"/>
                <w:color w:val="auto"/>
                <w:szCs w:val="24"/>
                <w:highlight w:val="none"/>
              </w:rPr>
            </w:pPr>
          </w:p>
          <w:p w14:paraId="6AF390CD">
            <w:pPr>
              <w:pStyle w:val="30"/>
              <w:adjustRightInd w:val="0"/>
              <w:snapToGrid w:val="0"/>
              <w:spacing w:before="0" w:beforeAutospacing="0" w:after="0" w:afterAutospacing="0"/>
              <w:jc w:val="center"/>
              <w:rPr>
                <w:rFonts w:cs="宋体"/>
                <w:color w:val="auto"/>
                <w:szCs w:val="24"/>
                <w:highlight w:val="none"/>
              </w:rPr>
            </w:pPr>
          </w:p>
          <w:p w14:paraId="5386216D">
            <w:pPr>
              <w:pStyle w:val="30"/>
              <w:adjustRightInd w:val="0"/>
              <w:snapToGrid w:val="0"/>
              <w:spacing w:before="0" w:beforeAutospacing="0" w:after="0" w:afterAutospacing="0"/>
              <w:jc w:val="center"/>
              <w:rPr>
                <w:rFonts w:cs="宋体"/>
                <w:color w:val="auto"/>
                <w:szCs w:val="24"/>
                <w:highlight w:val="none"/>
              </w:rPr>
            </w:pPr>
          </w:p>
          <w:p w14:paraId="733115E4">
            <w:pPr>
              <w:pStyle w:val="30"/>
              <w:adjustRightInd w:val="0"/>
              <w:snapToGrid w:val="0"/>
              <w:spacing w:before="0" w:beforeAutospacing="0" w:after="0" w:afterAutospacing="0"/>
              <w:jc w:val="center"/>
              <w:rPr>
                <w:rFonts w:cs="宋体"/>
                <w:color w:val="auto"/>
                <w:szCs w:val="24"/>
                <w:highlight w:val="none"/>
              </w:rPr>
            </w:pPr>
          </w:p>
          <w:p w14:paraId="50EBA00E">
            <w:pPr>
              <w:pStyle w:val="30"/>
              <w:adjustRightInd w:val="0"/>
              <w:snapToGrid w:val="0"/>
              <w:spacing w:before="0" w:beforeAutospacing="0" w:after="0" w:afterAutospacing="0"/>
              <w:jc w:val="center"/>
              <w:rPr>
                <w:rFonts w:cs="宋体"/>
                <w:color w:val="auto"/>
                <w:szCs w:val="24"/>
                <w:highlight w:val="none"/>
              </w:rPr>
            </w:pPr>
          </w:p>
          <w:p w14:paraId="6AF91A28">
            <w:pPr>
              <w:pStyle w:val="30"/>
              <w:adjustRightInd w:val="0"/>
              <w:snapToGrid w:val="0"/>
              <w:spacing w:before="0" w:beforeAutospacing="0" w:after="0" w:afterAutospacing="0"/>
              <w:jc w:val="center"/>
              <w:rPr>
                <w:rFonts w:cs="宋体"/>
                <w:color w:val="auto"/>
                <w:szCs w:val="24"/>
                <w:highlight w:val="none"/>
              </w:rPr>
            </w:pPr>
          </w:p>
          <w:p w14:paraId="5152FB16">
            <w:pPr>
              <w:pStyle w:val="30"/>
              <w:adjustRightInd w:val="0"/>
              <w:snapToGrid w:val="0"/>
              <w:spacing w:before="0" w:beforeAutospacing="0" w:after="0" w:afterAutospacing="0"/>
              <w:jc w:val="center"/>
              <w:rPr>
                <w:rFonts w:cs="宋体"/>
                <w:color w:val="auto"/>
                <w:szCs w:val="24"/>
                <w:highlight w:val="none"/>
              </w:rPr>
            </w:pPr>
          </w:p>
          <w:p w14:paraId="64CC9C10">
            <w:pPr>
              <w:pStyle w:val="30"/>
              <w:adjustRightInd w:val="0"/>
              <w:snapToGrid w:val="0"/>
              <w:spacing w:before="0" w:beforeAutospacing="0" w:after="0" w:afterAutospacing="0"/>
              <w:jc w:val="center"/>
              <w:rPr>
                <w:rFonts w:cs="宋体"/>
                <w:color w:val="auto"/>
                <w:szCs w:val="24"/>
                <w:highlight w:val="none"/>
              </w:rPr>
            </w:pPr>
          </w:p>
          <w:p w14:paraId="3C2C631E">
            <w:pPr>
              <w:pStyle w:val="30"/>
              <w:adjustRightInd w:val="0"/>
              <w:snapToGrid w:val="0"/>
              <w:spacing w:before="0" w:beforeAutospacing="0" w:after="0" w:afterAutospacing="0"/>
              <w:jc w:val="both"/>
              <w:rPr>
                <w:rFonts w:cs="宋体"/>
                <w:color w:val="auto"/>
                <w:szCs w:val="24"/>
                <w:highlight w:val="none"/>
              </w:rPr>
            </w:pPr>
          </w:p>
          <w:p w14:paraId="2FD6F26D">
            <w:pPr>
              <w:pStyle w:val="30"/>
              <w:adjustRightInd w:val="0"/>
              <w:snapToGrid w:val="0"/>
              <w:spacing w:before="0" w:beforeAutospacing="0" w:after="0" w:afterAutospacing="0"/>
              <w:jc w:val="center"/>
              <w:rPr>
                <w:rFonts w:cs="宋体"/>
                <w:color w:val="auto"/>
                <w:szCs w:val="24"/>
                <w:highlight w:val="none"/>
              </w:rPr>
            </w:pPr>
          </w:p>
          <w:p w14:paraId="711D5839">
            <w:pPr>
              <w:pStyle w:val="30"/>
              <w:adjustRightInd w:val="0"/>
              <w:snapToGrid w:val="0"/>
              <w:spacing w:before="0" w:beforeAutospacing="0" w:after="0" w:afterAutospacing="0"/>
              <w:jc w:val="center"/>
              <w:rPr>
                <w:rFonts w:cs="宋体"/>
                <w:color w:val="auto"/>
                <w:szCs w:val="24"/>
                <w:highlight w:val="none"/>
              </w:rPr>
            </w:pPr>
          </w:p>
          <w:p w14:paraId="262C7767">
            <w:pPr>
              <w:pStyle w:val="30"/>
              <w:adjustRightInd w:val="0"/>
              <w:snapToGrid w:val="0"/>
              <w:spacing w:before="0" w:beforeAutospacing="0" w:after="0" w:afterAutospacing="0"/>
              <w:jc w:val="center"/>
              <w:rPr>
                <w:rFonts w:cs="宋体"/>
                <w:color w:val="auto"/>
                <w:szCs w:val="24"/>
                <w:highlight w:val="none"/>
              </w:rPr>
            </w:pPr>
          </w:p>
          <w:p w14:paraId="4A8E98DB">
            <w:pPr>
              <w:pStyle w:val="30"/>
              <w:adjustRightInd w:val="0"/>
              <w:snapToGrid w:val="0"/>
              <w:spacing w:before="0" w:beforeAutospacing="0" w:after="0" w:afterAutospacing="0"/>
              <w:jc w:val="center"/>
              <w:rPr>
                <w:rFonts w:cs="宋体"/>
                <w:color w:val="auto"/>
                <w:szCs w:val="24"/>
                <w:highlight w:val="none"/>
              </w:rPr>
            </w:pPr>
          </w:p>
          <w:p w14:paraId="178B13C2">
            <w:pPr>
              <w:pStyle w:val="30"/>
              <w:adjustRightInd w:val="0"/>
              <w:snapToGrid w:val="0"/>
              <w:spacing w:before="0" w:beforeAutospacing="0" w:after="0" w:afterAutospacing="0"/>
              <w:jc w:val="center"/>
              <w:rPr>
                <w:rFonts w:cs="宋体"/>
                <w:color w:val="auto"/>
                <w:szCs w:val="24"/>
                <w:highlight w:val="none"/>
              </w:rPr>
            </w:pPr>
          </w:p>
          <w:p w14:paraId="6F2D8248">
            <w:pPr>
              <w:pStyle w:val="30"/>
              <w:adjustRightInd w:val="0"/>
              <w:snapToGrid w:val="0"/>
              <w:spacing w:before="0" w:beforeAutospacing="0" w:after="0" w:afterAutospacing="0"/>
              <w:jc w:val="center"/>
              <w:rPr>
                <w:rFonts w:cs="宋体"/>
                <w:color w:val="auto"/>
                <w:szCs w:val="24"/>
                <w:highlight w:val="none"/>
              </w:rPr>
            </w:pPr>
          </w:p>
          <w:p w14:paraId="791B0410">
            <w:pPr>
              <w:pStyle w:val="30"/>
              <w:adjustRightInd w:val="0"/>
              <w:snapToGrid w:val="0"/>
              <w:spacing w:before="0" w:beforeAutospacing="0" w:after="0" w:afterAutospacing="0"/>
              <w:jc w:val="center"/>
              <w:rPr>
                <w:rFonts w:cs="宋体"/>
                <w:color w:val="auto"/>
                <w:szCs w:val="24"/>
                <w:highlight w:val="none"/>
              </w:rPr>
            </w:pPr>
          </w:p>
          <w:p w14:paraId="37FDE73F">
            <w:pPr>
              <w:pStyle w:val="30"/>
              <w:adjustRightInd w:val="0"/>
              <w:snapToGrid w:val="0"/>
              <w:spacing w:before="0" w:beforeAutospacing="0" w:after="0" w:afterAutospacing="0"/>
              <w:jc w:val="center"/>
              <w:rPr>
                <w:rFonts w:cs="宋体"/>
                <w:color w:val="auto"/>
                <w:szCs w:val="24"/>
                <w:highlight w:val="none"/>
              </w:rPr>
            </w:pPr>
          </w:p>
          <w:p w14:paraId="0FDD5A28">
            <w:pPr>
              <w:pStyle w:val="30"/>
              <w:adjustRightInd w:val="0"/>
              <w:snapToGrid w:val="0"/>
              <w:spacing w:before="0" w:beforeAutospacing="0" w:after="0" w:afterAutospacing="0"/>
              <w:jc w:val="center"/>
              <w:rPr>
                <w:rFonts w:cs="宋体"/>
                <w:color w:val="auto"/>
                <w:szCs w:val="24"/>
                <w:highlight w:val="none"/>
              </w:rPr>
            </w:pPr>
          </w:p>
          <w:p w14:paraId="073D0AD6">
            <w:pPr>
              <w:pStyle w:val="30"/>
              <w:adjustRightInd w:val="0"/>
              <w:snapToGrid w:val="0"/>
              <w:spacing w:before="0" w:beforeAutospacing="0" w:after="0" w:afterAutospacing="0"/>
              <w:jc w:val="center"/>
              <w:rPr>
                <w:rFonts w:cs="宋体"/>
                <w:color w:val="auto"/>
                <w:szCs w:val="24"/>
                <w:highlight w:val="none"/>
              </w:rPr>
            </w:pPr>
          </w:p>
          <w:p w14:paraId="5F18BEBC">
            <w:pPr>
              <w:pStyle w:val="30"/>
              <w:adjustRightInd w:val="0"/>
              <w:snapToGrid w:val="0"/>
              <w:spacing w:before="0" w:beforeAutospacing="0" w:after="0" w:afterAutospacing="0"/>
              <w:jc w:val="center"/>
              <w:rPr>
                <w:rFonts w:cs="宋体"/>
                <w:color w:val="auto"/>
                <w:szCs w:val="24"/>
                <w:highlight w:val="none"/>
              </w:rPr>
            </w:pPr>
          </w:p>
          <w:p w14:paraId="0EC89705">
            <w:pPr>
              <w:pStyle w:val="30"/>
              <w:adjustRightInd w:val="0"/>
              <w:snapToGrid w:val="0"/>
              <w:spacing w:before="0" w:beforeAutospacing="0" w:after="0" w:afterAutospacing="0"/>
              <w:jc w:val="center"/>
              <w:rPr>
                <w:rFonts w:cs="宋体"/>
                <w:color w:val="auto"/>
                <w:szCs w:val="24"/>
                <w:highlight w:val="none"/>
              </w:rPr>
            </w:pPr>
          </w:p>
          <w:p w14:paraId="0075A92E">
            <w:pPr>
              <w:pStyle w:val="30"/>
              <w:adjustRightInd w:val="0"/>
              <w:snapToGrid w:val="0"/>
              <w:spacing w:before="0" w:beforeAutospacing="0" w:after="0" w:afterAutospacing="0"/>
              <w:jc w:val="center"/>
              <w:rPr>
                <w:rFonts w:cs="宋体"/>
                <w:color w:val="auto"/>
                <w:szCs w:val="24"/>
                <w:highlight w:val="none"/>
              </w:rPr>
            </w:pPr>
          </w:p>
          <w:p w14:paraId="7283D0EA">
            <w:pPr>
              <w:pStyle w:val="30"/>
              <w:adjustRightInd w:val="0"/>
              <w:snapToGrid w:val="0"/>
              <w:spacing w:before="0" w:beforeAutospacing="0" w:after="0" w:afterAutospacing="0"/>
              <w:jc w:val="center"/>
              <w:rPr>
                <w:rFonts w:cs="宋体"/>
                <w:color w:val="auto"/>
                <w:szCs w:val="24"/>
                <w:highlight w:val="none"/>
              </w:rPr>
            </w:pPr>
          </w:p>
          <w:p w14:paraId="7B66B0A3">
            <w:pPr>
              <w:pStyle w:val="30"/>
              <w:adjustRightInd w:val="0"/>
              <w:snapToGrid w:val="0"/>
              <w:spacing w:before="0" w:beforeAutospacing="0" w:after="0" w:afterAutospacing="0"/>
              <w:jc w:val="center"/>
              <w:rPr>
                <w:rFonts w:cs="宋体"/>
                <w:color w:val="auto"/>
                <w:szCs w:val="24"/>
                <w:highlight w:val="none"/>
              </w:rPr>
            </w:pPr>
          </w:p>
          <w:p w14:paraId="1C7EAB27">
            <w:pPr>
              <w:pStyle w:val="30"/>
              <w:adjustRightInd w:val="0"/>
              <w:snapToGrid w:val="0"/>
              <w:spacing w:before="0" w:beforeAutospacing="0" w:after="0" w:afterAutospacing="0"/>
              <w:jc w:val="center"/>
              <w:rPr>
                <w:rFonts w:cs="宋体"/>
                <w:color w:val="auto"/>
                <w:szCs w:val="24"/>
                <w:highlight w:val="none"/>
              </w:rPr>
            </w:pPr>
          </w:p>
          <w:p w14:paraId="06DD0CDA">
            <w:pPr>
              <w:pStyle w:val="30"/>
              <w:adjustRightInd w:val="0"/>
              <w:snapToGrid w:val="0"/>
              <w:spacing w:before="0" w:beforeAutospacing="0" w:after="0" w:afterAutospacing="0"/>
              <w:jc w:val="center"/>
              <w:rPr>
                <w:rFonts w:cs="宋体"/>
                <w:color w:val="auto"/>
                <w:szCs w:val="24"/>
                <w:highlight w:val="none"/>
              </w:rPr>
            </w:pPr>
          </w:p>
          <w:p w14:paraId="0E3E8A09">
            <w:pPr>
              <w:pStyle w:val="30"/>
              <w:adjustRightInd w:val="0"/>
              <w:snapToGrid w:val="0"/>
              <w:spacing w:before="0" w:beforeAutospacing="0" w:after="0" w:afterAutospacing="0"/>
              <w:jc w:val="center"/>
              <w:rPr>
                <w:rFonts w:cs="宋体"/>
                <w:color w:val="auto"/>
                <w:szCs w:val="24"/>
                <w:highlight w:val="none"/>
              </w:rPr>
            </w:pPr>
          </w:p>
          <w:p w14:paraId="23889D29">
            <w:pPr>
              <w:pStyle w:val="30"/>
              <w:adjustRightInd w:val="0"/>
              <w:snapToGrid w:val="0"/>
              <w:spacing w:before="0" w:beforeAutospacing="0" w:after="0" w:afterAutospacing="0"/>
              <w:jc w:val="center"/>
              <w:rPr>
                <w:rFonts w:cs="宋体"/>
                <w:color w:val="auto"/>
                <w:szCs w:val="24"/>
                <w:highlight w:val="none"/>
              </w:rPr>
            </w:pPr>
          </w:p>
          <w:p w14:paraId="681D0947">
            <w:pPr>
              <w:pStyle w:val="30"/>
              <w:adjustRightInd w:val="0"/>
              <w:snapToGrid w:val="0"/>
              <w:spacing w:before="0" w:beforeAutospacing="0" w:after="0" w:afterAutospacing="0"/>
              <w:jc w:val="center"/>
              <w:rPr>
                <w:rFonts w:cs="宋体"/>
                <w:color w:val="auto"/>
                <w:szCs w:val="24"/>
                <w:highlight w:val="none"/>
              </w:rPr>
            </w:pPr>
          </w:p>
          <w:p w14:paraId="49FBF8F2">
            <w:pPr>
              <w:pStyle w:val="30"/>
              <w:adjustRightInd w:val="0"/>
              <w:snapToGrid w:val="0"/>
              <w:spacing w:before="0" w:beforeAutospacing="0" w:after="0" w:afterAutospacing="0"/>
              <w:jc w:val="center"/>
              <w:rPr>
                <w:rFonts w:cs="宋体"/>
                <w:color w:val="auto"/>
                <w:szCs w:val="24"/>
                <w:highlight w:val="none"/>
              </w:rPr>
            </w:pPr>
          </w:p>
          <w:p w14:paraId="039DE44F">
            <w:pPr>
              <w:pStyle w:val="30"/>
              <w:adjustRightInd w:val="0"/>
              <w:snapToGrid w:val="0"/>
              <w:spacing w:before="0" w:beforeAutospacing="0" w:after="0" w:afterAutospacing="0"/>
              <w:jc w:val="center"/>
              <w:rPr>
                <w:rFonts w:cs="宋体"/>
                <w:color w:val="auto"/>
                <w:szCs w:val="24"/>
                <w:highlight w:val="none"/>
              </w:rPr>
            </w:pPr>
          </w:p>
          <w:p w14:paraId="65BDF2B9">
            <w:pPr>
              <w:pStyle w:val="30"/>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5B1327AA">
            <w:pPr>
              <w:pStyle w:val="30"/>
              <w:adjustRightInd w:val="0"/>
              <w:snapToGrid w:val="0"/>
              <w:spacing w:before="0" w:beforeAutospacing="0" w:after="0" w:afterAutospacing="0"/>
              <w:jc w:val="center"/>
              <w:rPr>
                <w:rFonts w:cs="宋体"/>
                <w:color w:val="auto"/>
                <w:szCs w:val="24"/>
                <w:highlight w:val="none"/>
              </w:rPr>
            </w:pPr>
          </w:p>
          <w:p w14:paraId="172ABBDF">
            <w:pPr>
              <w:pStyle w:val="30"/>
              <w:adjustRightInd w:val="0"/>
              <w:snapToGrid w:val="0"/>
              <w:spacing w:before="0" w:beforeAutospacing="0" w:after="0" w:afterAutospacing="0"/>
              <w:jc w:val="center"/>
              <w:rPr>
                <w:rFonts w:cs="宋体"/>
                <w:color w:val="auto"/>
                <w:szCs w:val="24"/>
                <w:highlight w:val="none"/>
              </w:rPr>
            </w:pPr>
          </w:p>
          <w:p w14:paraId="43DEEC7E">
            <w:pPr>
              <w:pStyle w:val="30"/>
              <w:adjustRightInd w:val="0"/>
              <w:snapToGrid w:val="0"/>
              <w:spacing w:before="0" w:beforeAutospacing="0" w:after="0" w:afterAutospacing="0"/>
              <w:jc w:val="center"/>
              <w:rPr>
                <w:rFonts w:cs="宋体"/>
                <w:color w:val="auto"/>
                <w:szCs w:val="24"/>
                <w:highlight w:val="none"/>
              </w:rPr>
            </w:pPr>
          </w:p>
          <w:p w14:paraId="1A9BF2D0">
            <w:pPr>
              <w:pStyle w:val="30"/>
              <w:adjustRightInd w:val="0"/>
              <w:snapToGrid w:val="0"/>
              <w:spacing w:before="0" w:beforeAutospacing="0" w:after="0" w:afterAutospacing="0"/>
              <w:jc w:val="both"/>
              <w:rPr>
                <w:rFonts w:cs="宋体"/>
                <w:color w:val="auto"/>
                <w:szCs w:val="24"/>
                <w:highlight w:val="none"/>
              </w:rPr>
            </w:pPr>
          </w:p>
          <w:p w14:paraId="269F8EDF">
            <w:pPr>
              <w:pStyle w:val="30"/>
              <w:adjustRightInd w:val="0"/>
              <w:snapToGrid w:val="0"/>
              <w:spacing w:before="0" w:beforeAutospacing="0" w:after="0" w:afterAutospacing="0"/>
              <w:jc w:val="center"/>
              <w:rPr>
                <w:rFonts w:cs="宋体"/>
                <w:color w:val="auto"/>
                <w:szCs w:val="24"/>
                <w:highlight w:val="none"/>
              </w:rPr>
            </w:pPr>
          </w:p>
        </w:tc>
        <w:tc>
          <w:tcPr>
            <w:tcW w:w="8604" w:type="dxa"/>
          </w:tcPr>
          <w:p w14:paraId="14467195">
            <w:pPr>
              <w:numPr>
                <w:ilvl w:val="0"/>
                <w:numId w:val="2"/>
              </w:numPr>
              <w:snapToGrid w:val="0"/>
              <w:spacing w:line="360" w:lineRule="auto"/>
              <w:ind w:firstLine="482" w:firstLineChars="200"/>
              <w:jc w:val="left"/>
              <w:rPr>
                <w:rFonts w:hint="eastAsia"/>
                <w:b/>
                <w:bCs/>
                <w:color w:val="auto"/>
                <w:sz w:val="24"/>
                <w:highlight w:val="none"/>
                <w:lang w:val="en-US" w:eastAsia="zh-CN"/>
              </w:rPr>
            </w:pPr>
            <w:r>
              <w:rPr>
                <w:rFonts w:hint="eastAsia"/>
                <w:b/>
                <w:bCs/>
                <w:color w:val="auto"/>
                <w:sz w:val="24"/>
                <w:highlight w:val="none"/>
                <w:lang w:val="en-US" w:eastAsia="zh-CN"/>
              </w:rPr>
              <w:t>项目由来</w:t>
            </w:r>
          </w:p>
          <w:p w14:paraId="48886BCC">
            <w:pPr>
              <w:pStyle w:val="2"/>
              <w:spacing w:line="360" w:lineRule="auto"/>
              <w:ind w:firstLine="480"/>
              <w:rPr>
                <w:rFonts w:hint="eastAsia" w:ascii="Times New Roman" w:hAnsi="Times New Roman" w:cs="Times New Roman"/>
                <w:color w:val="auto"/>
                <w:szCs w:val="32"/>
                <w:highlight w:val="none"/>
              </w:rPr>
            </w:pPr>
            <w:r>
              <w:rPr>
                <w:rFonts w:hint="eastAsia"/>
                <w:color w:val="auto"/>
                <w:highlight w:val="none"/>
                <w:lang w:val="en-US" w:eastAsia="zh-CN"/>
              </w:rPr>
              <w:t>汉中金塔矿业开发有限公司地址位于洋县戚氏街道办事处戚氏村五组，主要从事非金属矿物制品以及建筑材料制造。公司</w:t>
            </w:r>
            <w:r>
              <w:rPr>
                <w:rFonts w:hint="eastAsia"/>
                <w:color w:val="auto"/>
                <w:highlight w:val="none"/>
              </w:rPr>
              <w:t>于</w:t>
            </w:r>
            <w:r>
              <w:rPr>
                <w:rFonts w:ascii="Times New Roman" w:hAnsi="Times New Roman" w:cs="Times New Roman"/>
                <w:color w:val="auto"/>
                <w:highlight w:val="none"/>
              </w:rPr>
              <w:t>20</w:t>
            </w:r>
            <w:r>
              <w:rPr>
                <w:rFonts w:hint="eastAsia" w:ascii="Times New Roman" w:hAnsi="Times New Roman" w:cs="Times New Roman"/>
                <w:color w:val="auto"/>
                <w:highlight w:val="none"/>
                <w:lang w:val="en-US" w:eastAsia="zh-CN"/>
              </w:rPr>
              <w:t>21</w:t>
            </w:r>
            <w:r>
              <w:rPr>
                <w:rFonts w:hint="eastAsia"/>
                <w:color w:val="auto"/>
                <w:highlight w:val="none"/>
              </w:rPr>
              <w:t>年开始筹建“</w:t>
            </w:r>
            <w:r>
              <w:rPr>
                <w:rFonts w:hint="eastAsia"/>
                <w:color w:val="auto"/>
                <w:highlight w:val="none"/>
                <w:lang w:eastAsia="zh-CN"/>
              </w:rPr>
              <w:t>汉中金塔矿业开发有限公司</w:t>
            </w:r>
            <w:r>
              <w:rPr>
                <w:rFonts w:hint="default" w:ascii="Times New Roman" w:hAnsi="Times New Roman" w:cs="Times New Roman"/>
                <w:color w:val="auto"/>
                <w:highlight w:val="none"/>
                <w:lang w:eastAsia="zh-CN"/>
              </w:rPr>
              <w:t>30</w:t>
            </w:r>
            <w:r>
              <w:rPr>
                <w:rFonts w:hint="eastAsia"/>
                <w:color w:val="auto"/>
                <w:highlight w:val="none"/>
                <w:lang w:eastAsia="zh-CN"/>
              </w:rPr>
              <w:t>万吨天然彩砂加工项目</w:t>
            </w:r>
            <w:r>
              <w:rPr>
                <w:rFonts w:hint="eastAsia"/>
                <w:color w:val="auto"/>
                <w:highlight w:val="none"/>
              </w:rPr>
              <w:t>”</w:t>
            </w:r>
            <w:r>
              <w:rPr>
                <w:rFonts w:hint="eastAsia" w:ascii="Times New Roman" w:hAnsi="Times New Roman" w:cs="Times New Roman"/>
                <w:color w:val="auto"/>
                <w:szCs w:val="32"/>
                <w:highlight w:val="none"/>
              </w:rPr>
              <w:t>，同时委托汉中市</w:t>
            </w:r>
            <w:r>
              <w:rPr>
                <w:rFonts w:hint="eastAsia" w:ascii="Times New Roman" w:hAnsi="Times New Roman" w:cs="Times New Roman"/>
                <w:color w:val="auto"/>
                <w:szCs w:val="32"/>
                <w:highlight w:val="none"/>
                <w:lang w:eastAsia="zh-CN"/>
              </w:rPr>
              <w:t>环境工程规划设计</w:t>
            </w:r>
            <w:r>
              <w:rPr>
                <w:rFonts w:hint="eastAsia" w:ascii="Times New Roman" w:hAnsi="Times New Roman" w:cs="Times New Roman"/>
                <w:color w:val="auto"/>
                <w:szCs w:val="32"/>
                <w:highlight w:val="none"/>
              </w:rPr>
              <w:t>有限公司编制</w:t>
            </w:r>
            <w:r>
              <w:rPr>
                <w:rFonts w:hint="eastAsia" w:ascii="Times New Roman" w:hAnsi="Times New Roman" w:cs="Times New Roman"/>
                <w:color w:val="auto"/>
                <w:szCs w:val="32"/>
                <w:highlight w:val="none"/>
                <w:lang w:eastAsia="zh-CN"/>
              </w:rPr>
              <w:t>环境影响报告表</w:t>
            </w:r>
            <w:r>
              <w:rPr>
                <w:rFonts w:hint="eastAsia" w:ascii="Times New Roman" w:hAnsi="Times New Roman" w:cs="Times New Roman"/>
                <w:color w:val="auto"/>
                <w:szCs w:val="32"/>
                <w:highlight w:val="none"/>
              </w:rPr>
              <w:t>，并</w:t>
            </w:r>
            <w:r>
              <w:rPr>
                <w:rFonts w:hint="eastAsia" w:ascii="Times New Roman" w:hAnsi="Times New Roman" w:cs="Times New Roman"/>
                <w:color w:val="auto"/>
                <w:szCs w:val="32"/>
                <w:highlight w:val="none"/>
                <w:lang w:eastAsia="zh-CN"/>
              </w:rPr>
              <w:t>已</w:t>
            </w:r>
            <w:r>
              <w:rPr>
                <w:rFonts w:hint="eastAsia" w:ascii="Times New Roman" w:hAnsi="Times New Roman" w:cs="Times New Roman"/>
                <w:color w:val="auto"/>
                <w:szCs w:val="32"/>
                <w:highlight w:val="none"/>
              </w:rPr>
              <w:t>于20</w:t>
            </w:r>
            <w:r>
              <w:rPr>
                <w:rFonts w:hint="eastAsia" w:ascii="Times New Roman" w:hAnsi="Times New Roman" w:cs="Times New Roman"/>
                <w:color w:val="auto"/>
                <w:szCs w:val="32"/>
                <w:highlight w:val="none"/>
                <w:lang w:val="en-US" w:eastAsia="zh-CN"/>
              </w:rPr>
              <w:t>21</w:t>
            </w:r>
            <w:r>
              <w:rPr>
                <w:rFonts w:hint="eastAsia" w:ascii="Times New Roman" w:hAnsi="Times New Roman" w:cs="Times New Roman"/>
                <w:color w:val="auto"/>
                <w:szCs w:val="32"/>
                <w:highlight w:val="none"/>
              </w:rPr>
              <w:t>年</w:t>
            </w:r>
            <w:r>
              <w:rPr>
                <w:rFonts w:hint="eastAsia" w:ascii="Times New Roman" w:hAnsi="Times New Roman" w:cs="Times New Roman"/>
                <w:color w:val="auto"/>
                <w:szCs w:val="32"/>
                <w:highlight w:val="none"/>
                <w:lang w:val="en-US" w:eastAsia="zh-CN"/>
              </w:rPr>
              <w:t>5</w:t>
            </w:r>
            <w:r>
              <w:rPr>
                <w:rFonts w:hint="eastAsia" w:ascii="Times New Roman" w:hAnsi="Times New Roman" w:cs="Times New Roman"/>
                <w:color w:val="auto"/>
                <w:szCs w:val="32"/>
                <w:highlight w:val="none"/>
              </w:rPr>
              <w:t>月</w:t>
            </w:r>
            <w:r>
              <w:rPr>
                <w:rFonts w:hint="eastAsia" w:ascii="Times New Roman" w:hAnsi="Times New Roman" w:cs="Times New Roman"/>
                <w:color w:val="auto"/>
                <w:szCs w:val="32"/>
                <w:highlight w:val="none"/>
                <w:lang w:val="en-US" w:eastAsia="zh-CN"/>
              </w:rPr>
              <w:t>21</w:t>
            </w:r>
            <w:r>
              <w:rPr>
                <w:rFonts w:hint="eastAsia" w:ascii="Times New Roman" w:hAnsi="Times New Roman" w:cs="Times New Roman"/>
                <w:color w:val="auto"/>
                <w:szCs w:val="32"/>
                <w:highlight w:val="none"/>
              </w:rPr>
              <w:t>日取得汉中市</w:t>
            </w:r>
            <w:r>
              <w:rPr>
                <w:rFonts w:hint="eastAsia" w:ascii="Times New Roman" w:hAnsi="Times New Roman" w:cs="Times New Roman"/>
                <w:color w:val="auto"/>
                <w:szCs w:val="32"/>
                <w:highlight w:val="none"/>
                <w:lang w:eastAsia="zh-CN"/>
              </w:rPr>
              <w:t>生态环境局洋县分局</w:t>
            </w:r>
            <w:r>
              <w:rPr>
                <w:rFonts w:hint="eastAsia" w:ascii="Times New Roman" w:hAnsi="Times New Roman" w:cs="Times New Roman"/>
                <w:color w:val="auto"/>
                <w:szCs w:val="32"/>
                <w:highlight w:val="none"/>
              </w:rPr>
              <w:t>出具的环境影响报告</w:t>
            </w:r>
            <w:r>
              <w:rPr>
                <w:rFonts w:hint="eastAsia" w:ascii="Times New Roman" w:hAnsi="Times New Roman" w:cs="Times New Roman"/>
                <w:color w:val="auto"/>
                <w:szCs w:val="32"/>
                <w:highlight w:val="none"/>
                <w:lang w:eastAsia="zh-CN"/>
              </w:rPr>
              <w:t>表</w:t>
            </w:r>
            <w:r>
              <w:rPr>
                <w:rFonts w:hint="eastAsia" w:ascii="Times New Roman" w:hAnsi="Times New Roman" w:cs="Times New Roman"/>
                <w:color w:val="auto"/>
                <w:szCs w:val="32"/>
                <w:highlight w:val="none"/>
              </w:rPr>
              <w:t>批复（</w:t>
            </w:r>
            <w:r>
              <w:rPr>
                <w:rFonts w:hint="eastAsia" w:ascii="Times New Roman" w:hAnsi="Times New Roman" w:cs="Times New Roman"/>
                <w:color w:val="auto"/>
                <w:szCs w:val="32"/>
                <w:highlight w:val="none"/>
                <w:lang w:eastAsia="zh-CN"/>
              </w:rPr>
              <w:t>洋</w:t>
            </w:r>
            <w:r>
              <w:rPr>
                <w:rFonts w:hint="eastAsia" w:ascii="Times New Roman" w:hAnsi="Times New Roman" w:cs="Times New Roman"/>
                <w:color w:val="auto"/>
                <w:szCs w:val="32"/>
                <w:highlight w:val="none"/>
              </w:rPr>
              <w:t>环</w:t>
            </w:r>
            <w:r>
              <w:rPr>
                <w:rFonts w:hint="eastAsia" w:ascii="Times New Roman" w:hAnsi="Times New Roman" w:cs="Times New Roman"/>
                <w:color w:val="auto"/>
                <w:szCs w:val="32"/>
                <w:highlight w:val="none"/>
                <w:lang w:eastAsia="zh-CN"/>
              </w:rPr>
              <w:t>评</w:t>
            </w:r>
            <w:r>
              <w:rPr>
                <w:rFonts w:hint="eastAsia" w:ascii="Times New Roman" w:hAnsi="Times New Roman" w:cs="Times New Roman"/>
                <w:color w:val="auto"/>
                <w:szCs w:val="32"/>
                <w:highlight w:val="none"/>
              </w:rPr>
              <w:t>批字[</w:t>
            </w:r>
            <w:r>
              <w:rPr>
                <w:rFonts w:hint="eastAsia" w:ascii="Times New Roman" w:hAnsi="Times New Roman" w:cs="Times New Roman"/>
                <w:color w:val="auto"/>
                <w:highlight w:val="none"/>
              </w:rPr>
              <w:t>20</w:t>
            </w:r>
            <w:r>
              <w:rPr>
                <w:rFonts w:hint="eastAsia" w:ascii="Times New Roman" w:hAnsi="Times New Roman" w:cs="Times New Roman"/>
                <w:color w:val="auto"/>
                <w:highlight w:val="none"/>
                <w:lang w:val="en-US" w:eastAsia="zh-CN"/>
              </w:rPr>
              <w:t>21</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val="en-US" w:eastAsia="zh-CN"/>
              </w:rPr>
              <w:t>6</w:t>
            </w:r>
            <w:r>
              <w:rPr>
                <w:rFonts w:hint="eastAsia"/>
                <w:color w:val="auto"/>
                <w:highlight w:val="none"/>
              </w:rPr>
              <w:t>号</w:t>
            </w:r>
            <w:r>
              <w:rPr>
                <w:rFonts w:hint="eastAsia" w:ascii="Times New Roman" w:hAnsi="Times New Roman" w:cs="Times New Roman"/>
                <w:color w:val="auto"/>
                <w:szCs w:val="32"/>
                <w:highlight w:val="none"/>
              </w:rPr>
              <w:t>）。</w:t>
            </w:r>
          </w:p>
          <w:p w14:paraId="0B1DE5A7">
            <w:pPr>
              <w:pStyle w:val="2"/>
              <w:spacing w:line="360" w:lineRule="auto"/>
              <w:ind w:firstLine="480"/>
              <w:rPr>
                <w:rFonts w:hint="default"/>
                <w:color w:val="auto"/>
                <w:highlight w:val="none"/>
                <w:lang w:val="en-US" w:eastAsia="zh-CN"/>
              </w:rPr>
            </w:pPr>
            <w:r>
              <w:rPr>
                <w:rFonts w:hint="eastAsia"/>
                <w:color w:val="auto"/>
                <w:highlight w:val="none"/>
                <w:lang w:val="en-US" w:eastAsia="zh-CN"/>
              </w:rPr>
              <w:t>汉中金塔矿业开发有限公司</w:t>
            </w:r>
            <w:r>
              <w:rPr>
                <w:rFonts w:hint="eastAsia" w:ascii="Times New Roman" w:hAnsi="Times New Roman" w:cs="Times New Roman"/>
                <w:color w:val="auto"/>
                <w:szCs w:val="32"/>
                <w:highlight w:val="none"/>
              </w:rPr>
              <w:t>在取得环评批复后，</w:t>
            </w:r>
            <w:r>
              <w:rPr>
                <w:rFonts w:hint="eastAsia" w:ascii="Times New Roman" w:hAnsi="Times New Roman" w:cs="Times New Roman"/>
                <w:color w:val="auto"/>
                <w:szCs w:val="32"/>
                <w:highlight w:val="none"/>
                <w:lang w:eastAsia="zh-CN"/>
              </w:rPr>
              <w:t>开始筹建并生产</w:t>
            </w:r>
            <w:r>
              <w:rPr>
                <w:rFonts w:hint="eastAsia"/>
                <w:color w:val="auto"/>
                <w:highlight w:val="none"/>
                <w:lang w:eastAsia="zh-CN"/>
              </w:rPr>
              <w:t>彩砂及钙粉，平稳运行至</w:t>
            </w:r>
            <w:r>
              <w:rPr>
                <w:rFonts w:hint="eastAsia" w:ascii="Times New Roman" w:hAnsi="Times New Roman" w:cs="Times New Roman"/>
                <w:color w:val="auto"/>
                <w:highlight w:val="none"/>
                <w:lang w:val="en-US" w:eastAsia="zh-CN"/>
              </w:rPr>
              <w:t>今</w:t>
            </w:r>
            <w:r>
              <w:rPr>
                <w:rFonts w:hint="eastAsia"/>
                <w:color w:val="auto"/>
                <w:highlight w:val="none"/>
                <w:lang w:val="en-US" w:eastAsia="zh-CN"/>
              </w:rPr>
              <w:t>。本次计划增加腻子粉、石膏粉及砂浆生产线，并扩大产能，</w:t>
            </w:r>
            <w:r>
              <w:rPr>
                <w:rFonts w:hint="eastAsia" w:ascii="Times New Roman" w:hAnsi="Times New Roman" w:cs="Times New Roman"/>
                <w:color w:val="auto"/>
                <w:szCs w:val="32"/>
                <w:highlight w:val="none"/>
                <w:lang w:val="en-US" w:eastAsia="zh-CN"/>
              </w:rPr>
              <w:t>经对比文件—《污染影响类建设项目重大变动清单（试行）》（环办环评函[2020]688号）可知，本次变动满足清单中的部分要求，结合文件—《关于加强建设项目重大变动环境影响评价管理工作的通知》（陕环环评函[2021]11号）判定，本项目属重大变动，</w:t>
            </w:r>
            <w:r>
              <w:rPr>
                <w:rFonts w:hint="eastAsia"/>
                <w:color w:val="auto"/>
                <w:sz w:val="24"/>
                <w:szCs w:val="24"/>
                <w:highlight w:val="none"/>
                <w:lang w:eastAsia="zh-CN" w:bidi="ar"/>
              </w:rPr>
              <w:t>需</w:t>
            </w:r>
            <w:r>
              <w:rPr>
                <w:rFonts w:hint="eastAsia"/>
                <w:color w:val="auto"/>
                <w:sz w:val="24"/>
                <w:szCs w:val="24"/>
                <w:highlight w:val="none"/>
                <w:lang w:bidi="ar"/>
              </w:rPr>
              <w:t>重新报批</w:t>
            </w:r>
            <w:r>
              <w:rPr>
                <w:rFonts w:hint="eastAsia"/>
                <w:color w:val="auto"/>
                <w:sz w:val="24"/>
                <w:szCs w:val="24"/>
                <w:highlight w:val="none"/>
                <w:lang w:eastAsia="zh-CN" w:bidi="ar"/>
              </w:rPr>
              <w:t>。</w:t>
            </w:r>
          </w:p>
          <w:p w14:paraId="27DEB510">
            <w:pPr>
              <w:pStyle w:val="2"/>
              <w:spacing w:line="360" w:lineRule="auto"/>
              <w:ind w:firstLine="482" w:firstLineChars="200"/>
              <w:rPr>
                <w:rFonts w:hint="eastAsia" w:ascii="Times New Roman" w:hAnsi="Times New Roman" w:cs="Times New Roman"/>
                <w:b/>
                <w:bCs/>
                <w:color w:val="auto"/>
                <w:szCs w:val="32"/>
                <w:highlight w:val="none"/>
              </w:rPr>
            </w:pPr>
            <w:r>
              <w:rPr>
                <w:rFonts w:hint="eastAsia" w:ascii="Times New Roman" w:hAnsi="Times New Roman" w:cs="Times New Roman"/>
                <w:b/>
                <w:bCs/>
                <w:color w:val="auto"/>
                <w:szCs w:val="32"/>
                <w:highlight w:val="none"/>
              </w:rPr>
              <w:t>2、项目</w:t>
            </w:r>
            <w:r>
              <w:rPr>
                <w:rFonts w:hint="eastAsia" w:ascii="Times New Roman" w:hAnsi="Times New Roman" w:cs="Times New Roman"/>
                <w:b/>
                <w:bCs/>
                <w:color w:val="auto"/>
                <w:szCs w:val="32"/>
                <w:highlight w:val="none"/>
                <w:lang w:eastAsia="zh-CN"/>
              </w:rPr>
              <w:t>重大变动</w:t>
            </w:r>
            <w:r>
              <w:rPr>
                <w:rFonts w:hint="eastAsia" w:ascii="Times New Roman" w:hAnsi="Times New Roman" w:cs="Times New Roman"/>
                <w:b/>
                <w:bCs/>
                <w:color w:val="auto"/>
                <w:szCs w:val="32"/>
                <w:highlight w:val="none"/>
              </w:rPr>
              <w:t>分析</w:t>
            </w:r>
          </w:p>
          <w:p w14:paraId="17285D1F">
            <w:pPr>
              <w:pStyle w:val="2"/>
              <w:spacing w:line="360" w:lineRule="auto"/>
              <w:ind w:firstLine="480" w:firstLineChars="200"/>
              <w:rPr>
                <w:rFonts w:hint="eastAsia" w:ascii="Times New Roman" w:hAnsi="Times New Roman" w:cs="Times New Roman"/>
                <w:color w:val="auto"/>
                <w:szCs w:val="32"/>
                <w:highlight w:val="none"/>
              </w:rPr>
            </w:pPr>
            <w:r>
              <w:rPr>
                <w:rFonts w:hint="eastAsia" w:ascii="Times New Roman" w:hAnsi="Times New Roman" w:cs="Times New Roman"/>
                <w:color w:val="auto"/>
                <w:szCs w:val="32"/>
                <w:highlight w:val="none"/>
              </w:rPr>
              <w:t>通过对比文件—</w:t>
            </w:r>
            <w:r>
              <w:rPr>
                <w:rFonts w:hint="eastAsia" w:ascii="Times New Roman" w:hAnsi="Times New Roman" w:cs="Times New Roman"/>
                <w:color w:val="auto"/>
                <w:szCs w:val="32"/>
                <w:highlight w:val="none"/>
                <w:lang w:val="en-US" w:eastAsia="zh-CN"/>
              </w:rPr>
              <w:t>《污染影响类建设项目重大变动清单（试行）》（环办环评函[2020]688号）</w:t>
            </w:r>
            <w:r>
              <w:rPr>
                <w:rFonts w:hint="eastAsia" w:ascii="Times New Roman" w:hAnsi="Times New Roman" w:cs="Times New Roman"/>
                <w:color w:val="auto"/>
                <w:szCs w:val="32"/>
                <w:highlight w:val="none"/>
              </w:rPr>
              <w:t>，项目建设性质、规模、地点等发生变化，且达到相应要求时，按重大变动执行。具体对比如下：</w:t>
            </w:r>
          </w:p>
          <w:p w14:paraId="5AB212E8">
            <w:pPr>
              <w:tabs>
                <w:tab w:val="left" w:leader="middleDot" w:pos="8399"/>
              </w:tabs>
              <w:ind w:firstLine="420"/>
              <w:jc w:val="center"/>
              <w:rPr>
                <w:rFonts w:hint="eastAsia"/>
                <w:b/>
                <w:color w:val="auto"/>
                <w:highlight w:val="none"/>
                <w:lang w:bidi="ar"/>
              </w:rPr>
            </w:pPr>
            <w:r>
              <w:rPr>
                <w:rFonts w:hint="eastAsia"/>
                <w:b/>
                <w:color w:val="auto"/>
                <w:highlight w:val="none"/>
                <w:lang w:bidi="ar"/>
              </w:rPr>
              <w:t>表2-1  对比结果一览表</w:t>
            </w:r>
          </w:p>
          <w:tbl>
            <w:tblPr>
              <w:tblStyle w:val="36"/>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24"/>
              <w:gridCol w:w="4337"/>
              <w:gridCol w:w="2220"/>
            </w:tblGrid>
            <w:tr w14:paraId="151A4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8" w:type="dxa"/>
                  <w:noWrap w:val="0"/>
                  <w:vAlign w:val="center"/>
                </w:tcPr>
                <w:p w14:paraId="5F53A114">
                  <w:pPr>
                    <w:widowControl/>
                    <w:adjustRightInd w:val="0"/>
                    <w:snapToGrid w:val="0"/>
                    <w:jc w:val="center"/>
                    <w:rPr>
                      <w:rFonts w:hint="eastAsia"/>
                      <w:color w:val="auto"/>
                      <w:highlight w:val="none"/>
                      <w:lang w:bidi="ar"/>
                    </w:rPr>
                  </w:pPr>
                  <w:r>
                    <w:rPr>
                      <w:rFonts w:hint="eastAsia"/>
                      <w:color w:val="auto"/>
                      <w:highlight w:val="none"/>
                      <w:lang w:bidi="ar"/>
                    </w:rPr>
                    <w:t>文件名称</w:t>
                  </w:r>
                </w:p>
              </w:tc>
              <w:tc>
                <w:tcPr>
                  <w:tcW w:w="5061" w:type="dxa"/>
                  <w:gridSpan w:val="2"/>
                  <w:noWrap w:val="0"/>
                  <w:vAlign w:val="center"/>
                </w:tcPr>
                <w:p w14:paraId="3CD5E2A2">
                  <w:pPr>
                    <w:widowControl/>
                    <w:adjustRightInd w:val="0"/>
                    <w:snapToGrid w:val="0"/>
                    <w:jc w:val="center"/>
                    <w:rPr>
                      <w:rFonts w:hint="eastAsia"/>
                      <w:color w:val="auto"/>
                      <w:highlight w:val="none"/>
                      <w:lang w:bidi="ar"/>
                    </w:rPr>
                  </w:pPr>
                  <w:r>
                    <w:rPr>
                      <w:rFonts w:hint="eastAsia"/>
                      <w:color w:val="auto"/>
                      <w:szCs w:val="32"/>
                      <w:highlight w:val="none"/>
                    </w:rPr>
                    <w:t>变动清单类别</w:t>
                  </w:r>
                </w:p>
              </w:tc>
              <w:tc>
                <w:tcPr>
                  <w:tcW w:w="2220" w:type="dxa"/>
                  <w:noWrap w:val="0"/>
                  <w:vAlign w:val="center"/>
                </w:tcPr>
                <w:p w14:paraId="4E9A4371">
                  <w:pPr>
                    <w:widowControl/>
                    <w:adjustRightInd w:val="0"/>
                    <w:snapToGrid w:val="0"/>
                    <w:jc w:val="center"/>
                    <w:rPr>
                      <w:rFonts w:hint="eastAsia"/>
                      <w:color w:val="auto"/>
                      <w:highlight w:val="none"/>
                      <w:lang w:bidi="ar"/>
                    </w:rPr>
                  </w:pPr>
                  <w:r>
                    <w:rPr>
                      <w:rFonts w:hint="eastAsia"/>
                      <w:color w:val="auto"/>
                      <w:highlight w:val="none"/>
                      <w:lang w:bidi="ar"/>
                    </w:rPr>
                    <w:t>对比结果</w:t>
                  </w:r>
                </w:p>
              </w:tc>
            </w:tr>
            <w:tr w14:paraId="322F6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38" w:type="dxa"/>
                  <w:vMerge w:val="restart"/>
                  <w:noWrap w:val="0"/>
                  <w:vAlign w:val="center"/>
                </w:tcPr>
                <w:p w14:paraId="0594F4E4">
                  <w:pPr>
                    <w:widowControl/>
                    <w:jc w:val="center"/>
                    <w:rPr>
                      <w:rFonts w:hint="eastAsia"/>
                      <w:color w:val="auto"/>
                      <w:szCs w:val="32"/>
                      <w:highlight w:val="none"/>
                      <w:lang w:eastAsia="zh-CN"/>
                    </w:rPr>
                  </w:pPr>
                </w:p>
                <w:p w14:paraId="6FD29550">
                  <w:pPr>
                    <w:widowControl/>
                    <w:jc w:val="center"/>
                    <w:rPr>
                      <w:rFonts w:hint="eastAsia"/>
                      <w:color w:val="auto"/>
                      <w:szCs w:val="32"/>
                      <w:highlight w:val="none"/>
                      <w:lang w:eastAsia="zh-CN"/>
                    </w:rPr>
                  </w:pPr>
                </w:p>
                <w:p w14:paraId="7E9E04E7">
                  <w:pPr>
                    <w:widowControl/>
                    <w:jc w:val="both"/>
                    <w:rPr>
                      <w:rFonts w:hint="eastAsia"/>
                      <w:color w:val="auto"/>
                      <w:szCs w:val="32"/>
                      <w:highlight w:val="none"/>
                      <w:lang w:eastAsia="zh-CN"/>
                    </w:rPr>
                  </w:pPr>
                </w:p>
                <w:p w14:paraId="2009BB4A">
                  <w:pPr>
                    <w:widowControl/>
                    <w:jc w:val="center"/>
                    <w:rPr>
                      <w:rFonts w:hint="eastAsia" w:ascii="Times New Roman" w:hAnsi="Times New Roman" w:cs="Times New Roman"/>
                      <w:color w:val="auto"/>
                      <w:szCs w:val="32"/>
                      <w:highlight w:val="none"/>
                      <w:lang w:val="en-US" w:eastAsia="zh-CN"/>
                    </w:rPr>
                  </w:pPr>
                </w:p>
                <w:p w14:paraId="10753A24">
                  <w:pPr>
                    <w:widowControl/>
                    <w:jc w:val="center"/>
                    <w:rPr>
                      <w:rFonts w:hint="eastAsia" w:ascii="Times New Roman" w:hAnsi="Times New Roman" w:cs="Times New Roman"/>
                      <w:color w:val="auto"/>
                      <w:szCs w:val="32"/>
                      <w:highlight w:val="none"/>
                      <w:lang w:val="en-US" w:eastAsia="zh-CN"/>
                    </w:rPr>
                  </w:pPr>
                </w:p>
                <w:p w14:paraId="21A7985E">
                  <w:pPr>
                    <w:widowControl/>
                    <w:jc w:val="center"/>
                    <w:rPr>
                      <w:rFonts w:hint="eastAsia" w:ascii="Times New Roman" w:hAnsi="Times New Roman" w:cs="Times New Roman"/>
                      <w:color w:val="auto"/>
                      <w:szCs w:val="32"/>
                      <w:highlight w:val="none"/>
                      <w:lang w:val="en-US" w:eastAsia="zh-CN"/>
                    </w:rPr>
                  </w:pPr>
                </w:p>
                <w:p w14:paraId="5FFC547D">
                  <w:pPr>
                    <w:widowControl/>
                    <w:jc w:val="center"/>
                    <w:rPr>
                      <w:rFonts w:hint="eastAsia" w:ascii="Times New Roman" w:hAnsi="Times New Roman" w:cs="Times New Roman"/>
                      <w:color w:val="auto"/>
                      <w:szCs w:val="32"/>
                      <w:highlight w:val="none"/>
                      <w:lang w:val="en-US" w:eastAsia="zh-CN"/>
                    </w:rPr>
                  </w:pPr>
                </w:p>
                <w:p w14:paraId="44F0CC1A">
                  <w:pPr>
                    <w:widowControl/>
                    <w:jc w:val="center"/>
                    <w:rPr>
                      <w:rFonts w:hint="eastAsia" w:ascii="Times New Roman" w:hAnsi="Times New Roman" w:cs="Times New Roman"/>
                      <w:color w:val="auto"/>
                      <w:szCs w:val="32"/>
                      <w:highlight w:val="none"/>
                      <w:lang w:val="en-US" w:eastAsia="zh-CN"/>
                    </w:rPr>
                  </w:pPr>
                </w:p>
                <w:p w14:paraId="0EE4A4EE">
                  <w:pPr>
                    <w:widowControl/>
                    <w:jc w:val="center"/>
                    <w:rPr>
                      <w:rFonts w:hint="eastAsia" w:ascii="Times New Roman" w:hAnsi="Times New Roman" w:cs="Times New Roman"/>
                      <w:color w:val="auto"/>
                      <w:szCs w:val="32"/>
                      <w:highlight w:val="none"/>
                      <w:lang w:val="en-US" w:eastAsia="zh-CN"/>
                    </w:rPr>
                  </w:pPr>
                </w:p>
                <w:p w14:paraId="60C51DAE">
                  <w:pPr>
                    <w:widowControl/>
                    <w:jc w:val="center"/>
                    <w:rPr>
                      <w:rFonts w:hint="eastAsia" w:ascii="Times New Roman" w:hAnsi="Times New Roman" w:cs="Times New Roman"/>
                      <w:color w:val="auto"/>
                      <w:szCs w:val="32"/>
                      <w:highlight w:val="none"/>
                      <w:lang w:val="en-US" w:eastAsia="zh-CN"/>
                    </w:rPr>
                  </w:pPr>
                </w:p>
                <w:p w14:paraId="67CC9123">
                  <w:pPr>
                    <w:widowControl/>
                    <w:jc w:val="center"/>
                    <w:rPr>
                      <w:rFonts w:hint="eastAsia" w:ascii="Times New Roman" w:hAnsi="Times New Roman" w:cs="Times New Roman"/>
                      <w:color w:val="auto"/>
                      <w:szCs w:val="32"/>
                      <w:highlight w:val="none"/>
                      <w:lang w:val="en-US" w:eastAsia="zh-CN"/>
                    </w:rPr>
                  </w:pPr>
                </w:p>
                <w:p w14:paraId="25F967C1">
                  <w:pPr>
                    <w:widowControl/>
                    <w:jc w:val="center"/>
                    <w:rPr>
                      <w:rFonts w:hint="eastAsia" w:ascii="Times New Roman" w:hAnsi="Times New Roman" w:cs="Times New Roman"/>
                      <w:color w:val="auto"/>
                      <w:szCs w:val="32"/>
                      <w:highlight w:val="none"/>
                      <w:lang w:val="en-US" w:eastAsia="zh-CN"/>
                    </w:rPr>
                  </w:pPr>
                </w:p>
                <w:p w14:paraId="244457FA">
                  <w:pPr>
                    <w:widowControl/>
                    <w:jc w:val="center"/>
                    <w:rPr>
                      <w:rFonts w:hint="eastAsia" w:ascii="Times New Roman" w:hAnsi="Times New Roman" w:cs="Times New Roman"/>
                      <w:color w:val="auto"/>
                      <w:szCs w:val="32"/>
                      <w:highlight w:val="none"/>
                      <w:lang w:val="en-US" w:eastAsia="zh-CN"/>
                    </w:rPr>
                  </w:pPr>
                </w:p>
                <w:p w14:paraId="531EC4F4">
                  <w:pPr>
                    <w:widowControl/>
                    <w:jc w:val="center"/>
                    <w:rPr>
                      <w:rFonts w:hint="eastAsia" w:ascii="Times New Roman" w:hAnsi="Times New Roman" w:cs="Times New Roman"/>
                      <w:color w:val="auto"/>
                      <w:szCs w:val="32"/>
                      <w:highlight w:val="none"/>
                      <w:lang w:val="en-US" w:eastAsia="zh-CN"/>
                    </w:rPr>
                  </w:pPr>
                </w:p>
                <w:p w14:paraId="222C034F">
                  <w:pPr>
                    <w:widowControl/>
                    <w:jc w:val="center"/>
                    <w:rPr>
                      <w:rFonts w:hint="eastAsia" w:ascii="Times New Roman" w:hAnsi="Times New Roman" w:cs="Times New Roman"/>
                      <w:color w:val="auto"/>
                      <w:szCs w:val="32"/>
                      <w:highlight w:val="none"/>
                      <w:lang w:val="en-US" w:eastAsia="zh-CN"/>
                    </w:rPr>
                  </w:pPr>
                </w:p>
                <w:p w14:paraId="65E19BDD">
                  <w:pPr>
                    <w:widowControl/>
                    <w:jc w:val="center"/>
                    <w:rPr>
                      <w:rFonts w:hint="eastAsia" w:ascii="Times New Roman" w:hAnsi="Times New Roman" w:cs="Times New Roman"/>
                      <w:color w:val="auto"/>
                      <w:szCs w:val="32"/>
                      <w:highlight w:val="none"/>
                      <w:lang w:val="en-US" w:eastAsia="zh-CN"/>
                    </w:rPr>
                  </w:pPr>
                </w:p>
                <w:p w14:paraId="42BF1FA1">
                  <w:pPr>
                    <w:widowControl/>
                    <w:jc w:val="center"/>
                    <w:rPr>
                      <w:rFonts w:hint="eastAsia" w:ascii="Times New Roman" w:hAnsi="Times New Roman" w:cs="Times New Roman"/>
                      <w:color w:val="auto"/>
                      <w:szCs w:val="32"/>
                      <w:highlight w:val="none"/>
                      <w:lang w:val="en-US" w:eastAsia="zh-CN"/>
                    </w:rPr>
                  </w:pPr>
                </w:p>
                <w:p w14:paraId="7CDE52F6">
                  <w:pPr>
                    <w:widowControl/>
                    <w:jc w:val="center"/>
                    <w:rPr>
                      <w:rFonts w:hint="eastAsia" w:ascii="Times New Roman" w:hAnsi="Times New Roman" w:cs="Times New Roman"/>
                      <w:color w:val="auto"/>
                      <w:szCs w:val="32"/>
                      <w:highlight w:val="none"/>
                      <w:lang w:val="en-US" w:eastAsia="zh-CN"/>
                    </w:rPr>
                  </w:pPr>
                </w:p>
                <w:p w14:paraId="74D38100">
                  <w:pPr>
                    <w:widowControl/>
                    <w:jc w:val="center"/>
                    <w:rPr>
                      <w:rFonts w:hint="eastAsia" w:ascii="Times New Roman" w:hAnsi="Times New Roman" w:cs="Times New Roman"/>
                      <w:color w:val="auto"/>
                      <w:szCs w:val="32"/>
                      <w:highlight w:val="none"/>
                      <w:lang w:val="en-US" w:eastAsia="zh-CN"/>
                    </w:rPr>
                  </w:pPr>
                </w:p>
                <w:p w14:paraId="6C7E50CF">
                  <w:pPr>
                    <w:widowControl/>
                    <w:jc w:val="center"/>
                    <w:rPr>
                      <w:rFonts w:hint="eastAsia" w:ascii="Times New Roman" w:hAnsi="Times New Roman" w:cs="Times New Roman"/>
                      <w:color w:val="auto"/>
                      <w:szCs w:val="32"/>
                      <w:highlight w:val="none"/>
                      <w:lang w:val="en-US" w:eastAsia="zh-CN"/>
                    </w:rPr>
                  </w:pPr>
                </w:p>
                <w:p w14:paraId="2E88F419">
                  <w:pPr>
                    <w:widowControl/>
                    <w:jc w:val="center"/>
                    <w:rPr>
                      <w:rFonts w:hint="eastAsia" w:ascii="Times New Roman" w:hAnsi="Times New Roman" w:cs="Times New Roman"/>
                      <w:color w:val="auto"/>
                      <w:szCs w:val="32"/>
                      <w:highlight w:val="none"/>
                      <w:lang w:val="en-US" w:eastAsia="zh-CN"/>
                    </w:rPr>
                  </w:pPr>
                </w:p>
                <w:p w14:paraId="3082FC5F">
                  <w:pPr>
                    <w:widowControl/>
                    <w:jc w:val="center"/>
                    <w:rPr>
                      <w:rFonts w:hint="eastAsia" w:ascii="Times New Roman" w:hAnsi="Times New Roman" w:cs="Times New Roman"/>
                      <w:color w:val="auto"/>
                      <w:szCs w:val="32"/>
                      <w:highlight w:val="none"/>
                      <w:lang w:val="en-US" w:eastAsia="zh-CN"/>
                    </w:rPr>
                  </w:pPr>
                </w:p>
                <w:p w14:paraId="39712006">
                  <w:pPr>
                    <w:widowControl/>
                    <w:jc w:val="center"/>
                    <w:rPr>
                      <w:rFonts w:hint="eastAsia" w:ascii="Times New Roman" w:hAnsi="Times New Roman" w:cs="Times New Roman"/>
                      <w:color w:val="auto"/>
                      <w:szCs w:val="32"/>
                      <w:highlight w:val="none"/>
                      <w:lang w:val="en-US" w:eastAsia="zh-CN"/>
                    </w:rPr>
                  </w:pPr>
                </w:p>
                <w:p w14:paraId="202B503F">
                  <w:pPr>
                    <w:widowControl/>
                    <w:jc w:val="center"/>
                    <w:rPr>
                      <w:rFonts w:hint="eastAsia" w:ascii="Times New Roman" w:hAnsi="Times New Roman" w:cs="Times New Roman"/>
                      <w:color w:val="auto"/>
                      <w:szCs w:val="32"/>
                      <w:highlight w:val="none"/>
                      <w:lang w:val="en-US" w:eastAsia="zh-CN"/>
                    </w:rPr>
                  </w:pPr>
                </w:p>
                <w:p w14:paraId="3066AF34">
                  <w:pPr>
                    <w:widowControl/>
                    <w:jc w:val="center"/>
                    <w:rPr>
                      <w:rFonts w:hint="eastAsia" w:ascii="Times New Roman" w:hAnsi="Times New Roman" w:cs="Times New Roman"/>
                      <w:color w:val="auto"/>
                      <w:szCs w:val="32"/>
                      <w:highlight w:val="none"/>
                      <w:lang w:val="en-US" w:eastAsia="zh-CN"/>
                    </w:rPr>
                  </w:pPr>
                </w:p>
                <w:p w14:paraId="274F10EC">
                  <w:pPr>
                    <w:widowControl/>
                    <w:jc w:val="center"/>
                    <w:rPr>
                      <w:rFonts w:hint="eastAsia" w:ascii="Times New Roman" w:hAnsi="Times New Roman" w:cs="Times New Roman"/>
                      <w:color w:val="auto"/>
                      <w:szCs w:val="32"/>
                      <w:highlight w:val="none"/>
                      <w:lang w:val="en-US" w:eastAsia="zh-CN"/>
                    </w:rPr>
                  </w:pPr>
                </w:p>
                <w:p w14:paraId="1C61F59C">
                  <w:pPr>
                    <w:widowControl/>
                    <w:jc w:val="center"/>
                    <w:rPr>
                      <w:rFonts w:hint="eastAsia" w:ascii="Times New Roman" w:hAnsi="Times New Roman" w:cs="Times New Roman"/>
                      <w:color w:val="auto"/>
                      <w:szCs w:val="32"/>
                      <w:highlight w:val="none"/>
                      <w:lang w:val="en-US" w:eastAsia="zh-CN"/>
                    </w:rPr>
                  </w:pPr>
                </w:p>
                <w:p w14:paraId="35C3F2A5">
                  <w:pPr>
                    <w:widowControl/>
                    <w:jc w:val="center"/>
                    <w:rPr>
                      <w:rFonts w:hint="eastAsia" w:ascii="Times New Roman" w:hAnsi="Times New Roman" w:cs="Times New Roman"/>
                      <w:color w:val="auto"/>
                      <w:szCs w:val="32"/>
                      <w:highlight w:val="none"/>
                      <w:lang w:val="en-US" w:eastAsia="zh-CN"/>
                    </w:rPr>
                  </w:pPr>
                </w:p>
                <w:p w14:paraId="3FCF313B">
                  <w:pPr>
                    <w:widowControl/>
                    <w:jc w:val="center"/>
                    <w:rPr>
                      <w:rFonts w:hint="eastAsia" w:ascii="Times New Roman" w:hAnsi="Times New Roman" w:cs="Times New Roman"/>
                      <w:color w:val="auto"/>
                      <w:szCs w:val="32"/>
                      <w:highlight w:val="none"/>
                      <w:lang w:val="en-US" w:eastAsia="zh-CN"/>
                    </w:rPr>
                  </w:pPr>
                </w:p>
                <w:p w14:paraId="5432F201">
                  <w:pPr>
                    <w:widowControl/>
                    <w:jc w:val="center"/>
                    <w:rPr>
                      <w:rFonts w:hint="eastAsia" w:ascii="Times New Roman" w:hAnsi="Times New Roman" w:cs="Times New Roman"/>
                      <w:color w:val="auto"/>
                      <w:szCs w:val="32"/>
                      <w:highlight w:val="none"/>
                      <w:lang w:val="en-US" w:eastAsia="zh-CN"/>
                    </w:rPr>
                  </w:pPr>
                </w:p>
                <w:p w14:paraId="50BD1F2A">
                  <w:pPr>
                    <w:widowControl/>
                    <w:jc w:val="center"/>
                    <w:rPr>
                      <w:color w:val="auto"/>
                      <w:highlight w:val="none"/>
                      <w:lang w:bidi="ar"/>
                    </w:rPr>
                  </w:pPr>
                  <w:r>
                    <w:rPr>
                      <w:rFonts w:hint="eastAsia" w:ascii="Times New Roman" w:hAnsi="Times New Roman" w:cs="Times New Roman"/>
                      <w:color w:val="auto"/>
                      <w:szCs w:val="32"/>
                      <w:highlight w:val="none"/>
                      <w:lang w:val="en-US" w:eastAsia="zh-CN"/>
                    </w:rPr>
                    <w:t>《污染影响类建设项目重大变动清单（试行）》（环办环评函[2020]688号）</w:t>
                  </w:r>
                </w:p>
              </w:tc>
              <w:tc>
                <w:tcPr>
                  <w:tcW w:w="724" w:type="dxa"/>
                  <w:noWrap w:val="0"/>
                  <w:vAlign w:val="center"/>
                </w:tcPr>
                <w:p w14:paraId="1B1ADC72">
                  <w:pPr>
                    <w:widowControl/>
                    <w:adjustRightInd w:val="0"/>
                    <w:snapToGrid w:val="0"/>
                    <w:jc w:val="center"/>
                    <w:rPr>
                      <w:rFonts w:hint="eastAsia" w:eastAsia="宋体"/>
                      <w:color w:val="auto"/>
                      <w:szCs w:val="32"/>
                      <w:highlight w:val="none"/>
                      <w:lang w:eastAsia="zh-CN"/>
                    </w:rPr>
                  </w:pPr>
                  <w:r>
                    <w:rPr>
                      <w:rFonts w:hint="eastAsia"/>
                      <w:color w:val="auto"/>
                      <w:szCs w:val="32"/>
                      <w:highlight w:val="none"/>
                      <w:lang w:eastAsia="zh-CN"/>
                    </w:rPr>
                    <w:t>性质</w:t>
                  </w:r>
                </w:p>
              </w:tc>
              <w:tc>
                <w:tcPr>
                  <w:tcW w:w="4337" w:type="dxa"/>
                  <w:noWrap w:val="0"/>
                  <w:vAlign w:val="center"/>
                </w:tcPr>
                <w:p w14:paraId="17D3EC93">
                  <w:pPr>
                    <w:widowControl/>
                    <w:adjustRightInd w:val="0"/>
                    <w:snapToGrid w:val="0"/>
                    <w:jc w:val="center"/>
                    <w:rPr>
                      <w:rFonts w:hint="eastAsia"/>
                      <w:color w:val="auto"/>
                      <w:szCs w:val="32"/>
                      <w:highlight w:val="none"/>
                    </w:rPr>
                  </w:pPr>
                  <w:r>
                    <w:rPr>
                      <w:rFonts w:hint="eastAsia"/>
                      <w:color w:val="auto"/>
                      <w:szCs w:val="32"/>
                      <w:highlight w:val="none"/>
                    </w:rPr>
                    <w:t>建设项目开发、使用功能发生变化的</w:t>
                  </w:r>
                </w:p>
              </w:tc>
              <w:tc>
                <w:tcPr>
                  <w:tcW w:w="2220" w:type="dxa"/>
                  <w:noWrap w:val="0"/>
                  <w:vAlign w:val="center"/>
                </w:tcPr>
                <w:p w14:paraId="15682122">
                  <w:pPr>
                    <w:widowControl/>
                    <w:adjustRightInd w:val="0"/>
                    <w:snapToGrid w:val="0"/>
                    <w:jc w:val="both"/>
                    <w:rPr>
                      <w:rFonts w:hint="eastAsia" w:eastAsia="宋体"/>
                      <w:color w:val="auto"/>
                      <w:highlight w:val="none"/>
                      <w:lang w:eastAsia="zh-CN" w:bidi="ar"/>
                    </w:rPr>
                  </w:pPr>
                  <w:r>
                    <w:rPr>
                      <w:rFonts w:hint="eastAsia"/>
                      <w:color w:val="auto"/>
                      <w:highlight w:val="none"/>
                      <w:lang w:eastAsia="zh-CN" w:bidi="ar"/>
                    </w:rPr>
                    <w:t>对比变动前后，</w:t>
                  </w:r>
                  <w:r>
                    <w:rPr>
                      <w:rFonts w:hint="eastAsia"/>
                      <w:color w:val="auto"/>
                      <w:szCs w:val="32"/>
                      <w:highlight w:val="none"/>
                    </w:rPr>
                    <w:t>建设项目开发、使用功能</w:t>
                  </w:r>
                  <w:r>
                    <w:rPr>
                      <w:rFonts w:hint="eastAsia"/>
                      <w:color w:val="auto"/>
                      <w:szCs w:val="32"/>
                      <w:highlight w:val="none"/>
                      <w:lang w:eastAsia="zh-CN"/>
                    </w:rPr>
                    <w:t>均未</w:t>
                  </w:r>
                  <w:r>
                    <w:rPr>
                      <w:rFonts w:hint="eastAsia"/>
                      <w:color w:val="auto"/>
                      <w:szCs w:val="32"/>
                      <w:highlight w:val="none"/>
                    </w:rPr>
                    <w:t>发生变化</w:t>
                  </w:r>
                  <w:r>
                    <w:rPr>
                      <w:rFonts w:hint="eastAsia"/>
                      <w:color w:val="auto"/>
                      <w:szCs w:val="32"/>
                      <w:highlight w:val="none"/>
                      <w:lang w:eastAsia="zh-CN"/>
                    </w:rPr>
                    <w:t>。</w:t>
                  </w:r>
                </w:p>
              </w:tc>
            </w:tr>
            <w:tr w14:paraId="4ED42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14:paraId="226D730C">
                  <w:pPr>
                    <w:widowControl/>
                    <w:jc w:val="center"/>
                    <w:rPr>
                      <w:color w:val="auto"/>
                      <w:highlight w:val="none"/>
                      <w:lang w:bidi="ar"/>
                    </w:rPr>
                  </w:pPr>
                </w:p>
              </w:tc>
              <w:tc>
                <w:tcPr>
                  <w:tcW w:w="724" w:type="dxa"/>
                  <w:noWrap w:val="0"/>
                  <w:vAlign w:val="center"/>
                </w:tcPr>
                <w:p w14:paraId="14F6227C">
                  <w:pPr>
                    <w:widowControl/>
                    <w:adjustRightInd w:val="0"/>
                    <w:snapToGrid w:val="0"/>
                    <w:jc w:val="center"/>
                    <w:rPr>
                      <w:rFonts w:hint="eastAsia"/>
                      <w:color w:val="auto"/>
                      <w:highlight w:val="none"/>
                      <w:lang w:bidi="ar"/>
                    </w:rPr>
                  </w:pPr>
                  <w:r>
                    <w:rPr>
                      <w:rFonts w:hint="eastAsia"/>
                      <w:color w:val="auto"/>
                      <w:highlight w:val="none"/>
                      <w:lang w:bidi="ar"/>
                    </w:rPr>
                    <w:t>规模</w:t>
                  </w:r>
                </w:p>
              </w:tc>
              <w:tc>
                <w:tcPr>
                  <w:tcW w:w="4337" w:type="dxa"/>
                  <w:noWrap w:val="0"/>
                  <w:vAlign w:val="center"/>
                </w:tcPr>
                <w:p w14:paraId="4E081105">
                  <w:pPr>
                    <w:widowControl/>
                    <w:adjustRightInd w:val="0"/>
                    <w:snapToGrid w:val="0"/>
                    <w:rPr>
                      <w:rFonts w:hint="eastAsia"/>
                      <w:color w:val="auto"/>
                      <w:highlight w:val="none"/>
                      <w:lang w:bidi="ar"/>
                    </w:rPr>
                  </w:pPr>
                  <w:r>
                    <w:rPr>
                      <w:rFonts w:hint="eastAsia" w:ascii="宋体" w:hAnsi="宋体" w:eastAsia="宋体" w:cs="宋体"/>
                      <w:color w:val="auto"/>
                      <w:highlight w:val="none"/>
                      <w:lang w:bidi="ar"/>
                    </w:rPr>
                    <w:t>①</w:t>
                  </w:r>
                  <w:r>
                    <w:rPr>
                      <w:rFonts w:hint="eastAsia"/>
                      <w:color w:val="auto"/>
                      <w:highlight w:val="none"/>
                      <w:lang w:bidi="ar"/>
                    </w:rPr>
                    <w:t>生产、处置或储存能力增大30%及以上的。</w:t>
                  </w:r>
                </w:p>
                <w:p w14:paraId="4FD8F669">
                  <w:pPr>
                    <w:widowControl/>
                    <w:adjustRightInd w:val="0"/>
                    <w:snapToGrid w:val="0"/>
                    <w:rPr>
                      <w:rFonts w:hint="eastAsia"/>
                      <w:color w:val="auto"/>
                      <w:highlight w:val="none"/>
                      <w:lang w:bidi="ar"/>
                    </w:rPr>
                  </w:pPr>
                  <w:r>
                    <w:rPr>
                      <w:rFonts w:hint="eastAsia" w:ascii="宋体" w:hAnsi="宋体" w:eastAsia="宋体" w:cs="宋体"/>
                      <w:color w:val="auto"/>
                      <w:highlight w:val="none"/>
                      <w:lang w:bidi="ar"/>
                    </w:rPr>
                    <w:t>②</w:t>
                  </w:r>
                  <w:r>
                    <w:rPr>
                      <w:rFonts w:hint="eastAsia"/>
                      <w:color w:val="auto"/>
                      <w:highlight w:val="none"/>
                      <w:lang w:bidi="ar"/>
                    </w:rPr>
                    <w:t>生产、处置或储存能力增大，导致废水第一类污染物排放量增加的。</w:t>
                  </w:r>
                </w:p>
                <w:p w14:paraId="13D17E0E">
                  <w:pPr>
                    <w:widowControl/>
                    <w:adjustRightInd w:val="0"/>
                    <w:snapToGrid w:val="0"/>
                    <w:rPr>
                      <w:rFonts w:hint="eastAsia"/>
                      <w:color w:val="auto"/>
                      <w:highlight w:val="none"/>
                      <w:lang w:bidi="ar"/>
                    </w:rPr>
                  </w:pPr>
                  <w:r>
                    <w:rPr>
                      <w:rFonts w:hint="eastAsia" w:ascii="宋体" w:hAnsi="宋体" w:eastAsia="宋体" w:cs="宋体"/>
                      <w:color w:val="auto"/>
                      <w:highlight w:val="none"/>
                      <w:lang w:bidi="ar"/>
                    </w:rPr>
                    <w:t>③位于环境质量不达标区的建设项目生产、处置或储存能力增大，导致相应污染物排放量增加的(细颗粒物不达标区，相应污染物为二氧化硫、氮氧化物、可吸入颗粒物、挥发性有机物</w:t>
                  </w:r>
                  <w:r>
                    <w:rPr>
                      <w:rFonts w:hint="eastAsia" w:ascii="宋体" w:hAnsi="宋体" w:eastAsia="宋体" w:cs="宋体"/>
                      <w:color w:val="auto"/>
                      <w:highlight w:val="none"/>
                      <w:lang w:eastAsia="zh-CN" w:bidi="ar"/>
                    </w:rPr>
                    <w:t>；</w:t>
                  </w:r>
                  <w:r>
                    <w:rPr>
                      <w:rFonts w:hint="eastAsia" w:ascii="宋体" w:hAnsi="宋体" w:eastAsia="宋体" w:cs="宋体"/>
                      <w:color w:val="auto"/>
                      <w:highlight w:val="none"/>
                      <w:lang w:bidi="ar"/>
                    </w:rPr>
                    <w:t>臭氧不达标区，相应污染物为氮氧化物、挥发性有机物</w:t>
                  </w:r>
                  <w:r>
                    <w:rPr>
                      <w:rFonts w:hint="eastAsia" w:ascii="宋体" w:hAnsi="宋体" w:eastAsia="宋体" w:cs="宋体"/>
                      <w:color w:val="auto"/>
                      <w:highlight w:val="none"/>
                      <w:lang w:eastAsia="zh-CN" w:bidi="ar"/>
                    </w:rPr>
                    <w:t>；</w:t>
                  </w:r>
                  <w:r>
                    <w:rPr>
                      <w:rFonts w:hint="eastAsia" w:ascii="宋体" w:hAnsi="宋体" w:eastAsia="宋体" w:cs="宋体"/>
                      <w:color w:val="auto"/>
                      <w:highlight w:val="none"/>
                      <w:lang w:bidi="ar"/>
                    </w:rPr>
                    <w:t>其他大气、水污染物因子不达标区，相应污染物为超标污染因子)</w:t>
                  </w:r>
                  <w:r>
                    <w:rPr>
                      <w:rFonts w:hint="eastAsia" w:ascii="宋体" w:hAnsi="宋体" w:eastAsia="宋体" w:cs="宋体"/>
                      <w:color w:val="auto"/>
                      <w:highlight w:val="none"/>
                      <w:lang w:eastAsia="zh-CN" w:bidi="ar"/>
                    </w:rPr>
                    <w:t>；</w:t>
                  </w:r>
                  <w:r>
                    <w:rPr>
                      <w:rFonts w:hint="eastAsia" w:ascii="宋体" w:hAnsi="宋体" w:eastAsia="宋体" w:cs="宋体"/>
                      <w:color w:val="auto"/>
                      <w:highlight w:val="none"/>
                      <w:lang w:bidi="ar"/>
                    </w:rPr>
                    <w:t>位于达标区的建设项目生产、处置或储存能力增大，导致污染物排放量增加</w:t>
                  </w:r>
                  <w:r>
                    <w:rPr>
                      <w:rFonts w:hint="default" w:ascii="Times New Roman" w:hAnsi="Times New Roman" w:eastAsia="宋体" w:cs="Times New Roman"/>
                      <w:color w:val="auto"/>
                      <w:highlight w:val="none"/>
                      <w:lang w:bidi="ar"/>
                    </w:rPr>
                    <w:t>10%</w:t>
                  </w:r>
                  <w:r>
                    <w:rPr>
                      <w:rFonts w:hint="eastAsia" w:ascii="宋体" w:hAnsi="宋体" w:eastAsia="宋体" w:cs="宋体"/>
                      <w:color w:val="auto"/>
                      <w:highlight w:val="none"/>
                      <w:lang w:bidi="ar"/>
                    </w:rPr>
                    <w:t>及以上的。</w:t>
                  </w:r>
                </w:p>
              </w:tc>
              <w:tc>
                <w:tcPr>
                  <w:tcW w:w="2220" w:type="dxa"/>
                  <w:noWrap w:val="0"/>
                  <w:vAlign w:val="center"/>
                </w:tcPr>
                <w:p w14:paraId="6A0A25A7">
                  <w:pPr>
                    <w:widowControl/>
                    <w:adjustRightInd w:val="0"/>
                    <w:snapToGrid w:val="0"/>
                    <w:jc w:val="left"/>
                    <w:rPr>
                      <w:rFonts w:hint="default" w:eastAsia="宋体"/>
                      <w:color w:val="auto"/>
                      <w:highlight w:val="none"/>
                      <w:lang w:val="en-US" w:eastAsia="zh-CN" w:bidi="ar"/>
                    </w:rPr>
                  </w:pPr>
                  <w:r>
                    <w:rPr>
                      <w:rFonts w:hint="eastAsia"/>
                      <w:color w:val="auto"/>
                      <w:highlight w:val="none"/>
                      <w:lang w:eastAsia="zh-CN" w:bidi="ar"/>
                    </w:rPr>
                    <w:t>对比变动前后，生产规模超过</w:t>
                  </w:r>
                  <w:r>
                    <w:rPr>
                      <w:rFonts w:hint="eastAsia"/>
                      <w:color w:val="auto"/>
                      <w:highlight w:val="none"/>
                      <w:lang w:val="en-US" w:eastAsia="zh-CN" w:bidi="ar"/>
                    </w:rPr>
                    <w:t>30%，废水第一污染物未增加。本项目位于环境质量达标区，由于生产规模增大，而导致污染物排放量增加10%（详见下文分析）。</w:t>
                  </w:r>
                </w:p>
              </w:tc>
            </w:tr>
            <w:tr w14:paraId="0CC57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8" w:type="dxa"/>
                  <w:vMerge w:val="continue"/>
                  <w:noWrap w:val="0"/>
                  <w:vAlign w:val="center"/>
                </w:tcPr>
                <w:p w14:paraId="6DD4E94F">
                  <w:pPr>
                    <w:widowControl/>
                    <w:jc w:val="center"/>
                    <w:rPr>
                      <w:color w:val="auto"/>
                      <w:highlight w:val="none"/>
                      <w:lang w:bidi="ar"/>
                    </w:rPr>
                  </w:pPr>
                </w:p>
              </w:tc>
              <w:tc>
                <w:tcPr>
                  <w:tcW w:w="724" w:type="dxa"/>
                  <w:noWrap w:val="0"/>
                  <w:vAlign w:val="center"/>
                </w:tcPr>
                <w:p w14:paraId="6D5BF888">
                  <w:pPr>
                    <w:widowControl/>
                    <w:adjustRightInd w:val="0"/>
                    <w:snapToGrid w:val="0"/>
                    <w:jc w:val="center"/>
                    <w:rPr>
                      <w:rFonts w:hint="eastAsia"/>
                      <w:color w:val="auto"/>
                      <w:highlight w:val="none"/>
                      <w:lang w:bidi="ar"/>
                    </w:rPr>
                  </w:pPr>
                  <w:r>
                    <w:rPr>
                      <w:rFonts w:hint="eastAsia"/>
                      <w:color w:val="auto"/>
                      <w:highlight w:val="none"/>
                      <w:lang w:bidi="ar"/>
                    </w:rPr>
                    <w:t>地点</w:t>
                  </w:r>
                </w:p>
              </w:tc>
              <w:tc>
                <w:tcPr>
                  <w:tcW w:w="4337" w:type="dxa"/>
                  <w:noWrap w:val="0"/>
                  <w:vAlign w:val="center"/>
                </w:tcPr>
                <w:p w14:paraId="180E90B3">
                  <w:pPr>
                    <w:widowControl/>
                    <w:adjustRightInd w:val="0"/>
                    <w:snapToGrid w:val="0"/>
                    <w:rPr>
                      <w:color w:val="auto"/>
                      <w:highlight w:val="none"/>
                      <w:lang w:bidi="ar"/>
                    </w:rPr>
                  </w:pPr>
                  <w:r>
                    <w:rPr>
                      <w:rFonts w:hint="eastAsia"/>
                      <w:color w:val="auto"/>
                      <w:highlight w:val="none"/>
                      <w:lang w:bidi="ar"/>
                    </w:rPr>
                    <w:t>重新选址</w:t>
                  </w:r>
                  <w:r>
                    <w:rPr>
                      <w:rFonts w:hint="eastAsia"/>
                      <w:color w:val="auto"/>
                      <w:highlight w:val="none"/>
                      <w:lang w:eastAsia="zh-CN" w:bidi="ar"/>
                    </w:rPr>
                    <w:t>：</w:t>
                  </w:r>
                  <w:r>
                    <w:rPr>
                      <w:rFonts w:hint="eastAsia"/>
                      <w:color w:val="auto"/>
                      <w:highlight w:val="none"/>
                      <w:lang w:bidi="ar"/>
                    </w:rPr>
                    <w:t>在原厂址附近调整</w:t>
                  </w:r>
                  <w:r>
                    <w:rPr>
                      <w:rFonts w:hint="eastAsia"/>
                      <w:color w:val="auto"/>
                      <w:highlight w:val="none"/>
                      <w:lang w:eastAsia="zh-CN" w:bidi="ar"/>
                    </w:rPr>
                    <w:t>（</w:t>
                  </w:r>
                  <w:r>
                    <w:rPr>
                      <w:rFonts w:hint="eastAsia"/>
                      <w:color w:val="auto"/>
                      <w:highlight w:val="none"/>
                      <w:lang w:bidi="ar"/>
                    </w:rPr>
                    <w:t>包括总平面布置变化</w:t>
                  </w:r>
                  <w:r>
                    <w:rPr>
                      <w:rFonts w:hint="eastAsia"/>
                      <w:color w:val="auto"/>
                      <w:highlight w:val="none"/>
                      <w:lang w:eastAsia="zh-CN" w:bidi="ar"/>
                    </w:rPr>
                    <w:t>）</w:t>
                  </w:r>
                  <w:r>
                    <w:rPr>
                      <w:rFonts w:hint="eastAsia"/>
                      <w:color w:val="auto"/>
                      <w:highlight w:val="none"/>
                      <w:lang w:bidi="ar"/>
                    </w:rPr>
                    <w:t>导致环境防护距离范围变化且新增敏感点的。</w:t>
                  </w:r>
                </w:p>
              </w:tc>
              <w:tc>
                <w:tcPr>
                  <w:tcW w:w="2220" w:type="dxa"/>
                  <w:noWrap w:val="0"/>
                  <w:vAlign w:val="center"/>
                </w:tcPr>
                <w:p w14:paraId="3CCE475A">
                  <w:pPr>
                    <w:widowControl/>
                    <w:adjustRightInd w:val="0"/>
                    <w:snapToGrid w:val="0"/>
                    <w:jc w:val="left"/>
                    <w:rPr>
                      <w:rFonts w:hint="eastAsia"/>
                      <w:color w:val="auto"/>
                      <w:highlight w:val="none"/>
                      <w:lang w:bidi="ar"/>
                    </w:rPr>
                  </w:pPr>
                  <w:r>
                    <w:rPr>
                      <w:rFonts w:hint="eastAsia"/>
                      <w:color w:val="auto"/>
                      <w:highlight w:val="none"/>
                      <w:lang w:bidi="ar"/>
                    </w:rPr>
                    <w:t>本次变动在原厂址内进行，总平面布局亦未发生变化。</w:t>
                  </w:r>
                </w:p>
              </w:tc>
            </w:tr>
            <w:tr w14:paraId="77396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14:paraId="348A37DC">
                  <w:pPr>
                    <w:widowControl/>
                    <w:jc w:val="center"/>
                    <w:rPr>
                      <w:color w:val="auto"/>
                      <w:highlight w:val="none"/>
                      <w:lang w:bidi="ar"/>
                    </w:rPr>
                  </w:pPr>
                </w:p>
              </w:tc>
              <w:tc>
                <w:tcPr>
                  <w:tcW w:w="724" w:type="dxa"/>
                  <w:noWrap w:val="0"/>
                  <w:vAlign w:val="center"/>
                </w:tcPr>
                <w:p w14:paraId="1E9E9D79">
                  <w:pPr>
                    <w:widowControl/>
                    <w:adjustRightInd w:val="0"/>
                    <w:snapToGrid w:val="0"/>
                    <w:jc w:val="center"/>
                    <w:rPr>
                      <w:rFonts w:hint="eastAsia"/>
                      <w:color w:val="auto"/>
                      <w:highlight w:val="none"/>
                      <w:lang w:bidi="ar"/>
                    </w:rPr>
                  </w:pPr>
                  <w:r>
                    <w:rPr>
                      <w:rFonts w:hint="eastAsia"/>
                      <w:color w:val="auto"/>
                      <w:highlight w:val="none"/>
                      <w:lang w:bidi="ar"/>
                    </w:rPr>
                    <w:t>生产</w:t>
                  </w:r>
                </w:p>
                <w:p w14:paraId="767DE71E">
                  <w:pPr>
                    <w:widowControl/>
                    <w:adjustRightInd w:val="0"/>
                    <w:snapToGrid w:val="0"/>
                    <w:jc w:val="center"/>
                    <w:rPr>
                      <w:color w:val="auto"/>
                      <w:highlight w:val="none"/>
                      <w:lang w:bidi="ar"/>
                    </w:rPr>
                  </w:pPr>
                  <w:r>
                    <w:rPr>
                      <w:rFonts w:hint="eastAsia"/>
                      <w:color w:val="auto"/>
                      <w:highlight w:val="none"/>
                      <w:lang w:bidi="ar"/>
                    </w:rPr>
                    <w:t>工艺</w:t>
                  </w:r>
                </w:p>
              </w:tc>
              <w:tc>
                <w:tcPr>
                  <w:tcW w:w="4337" w:type="dxa"/>
                  <w:noWrap w:val="0"/>
                  <w:vAlign w:val="center"/>
                </w:tcPr>
                <w:p w14:paraId="39D49D5B">
                  <w:pPr>
                    <w:widowControl/>
                    <w:adjustRightInd w:val="0"/>
                    <w:snapToGrid w:val="0"/>
                    <w:jc w:val="left"/>
                    <w:rPr>
                      <w:rFonts w:hint="eastAsia" w:eastAsia="宋体"/>
                      <w:color w:val="auto"/>
                      <w:highlight w:val="none"/>
                      <w:lang w:eastAsia="zh-CN" w:bidi="ar"/>
                    </w:rPr>
                  </w:pPr>
                  <w:r>
                    <w:rPr>
                      <w:rFonts w:hint="eastAsia"/>
                      <w:color w:val="auto"/>
                      <w:highlight w:val="none"/>
                      <w:lang w:bidi="ar"/>
                    </w:rPr>
                    <w:t>新增产品品种或生产工艺</w:t>
                  </w:r>
                  <w:r>
                    <w:rPr>
                      <w:rFonts w:hint="eastAsia"/>
                      <w:color w:val="auto"/>
                      <w:highlight w:val="none"/>
                      <w:lang w:eastAsia="zh-CN" w:bidi="ar"/>
                    </w:rPr>
                    <w:t>（</w:t>
                  </w:r>
                  <w:r>
                    <w:rPr>
                      <w:rFonts w:hint="eastAsia"/>
                      <w:color w:val="auto"/>
                      <w:highlight w:val="none"/>
                      <w:lang w:bidi="ar"/>
                    </w:rPr>
                    <w:t>含主要生产装置、设备及配套设施</w:t>
                  </w:r>
                  <w:r>
                    <w:rPr>
                      <w:rFonts w:hint="eastAsia"/>
                      <w:color w:val="auto"/>
                      <w:highlight w:val="none"/>
                      <w:lang w:eastAsia="zh-CN" w:bidi="ar"/>
                    </w:rPr>
                    <w:t>）</w:t>
                  </w:r>
                  <w:r>
                    <w:rPr>
                      <w:rFonts w:hint="eastAsia"/>
                      <w:color w:val="auto"/>
                      <w:highlight w:val="none"/>
                      <w:lang w:bidi="ar"/>
                    </w:rPr>
                    <w:t>、主要原辅材料、燃料变化，导致以下情形之一</w:t>
                  </w:r>
                  <w:r>
                    <w:rPr>
                      <w:rFonts w:hint="eastAsia"/>
                      <w:color w:val="auto"/>
                      <w:highlight w:val="none"/>
                      <w:lang w:eastAsia="zh-CN" w:bidi="ar"/>
                    </w:rPr>
                    <w:t>：</w:t>
                  </w:r>
                </w:p>
                <w:p w14:paraId="27536ED6">
                  <w:pPr>
                    <w:widowControl/>
                    <w:adjustRightInd w:val="0"/>
                    <w:snapToGrid w:val="0"/>
                    <w:jc w:val="left"/>
                    <w:rPr>
                      <w:rFonts w:hint="eastAsia" w:eastAsia="宋体"/>
                      <w:color w:val="auto"/>
                      <w:highlight w:val="none"/>
                      <w:lang w:eastAsia="zh-CN" w:bidi="ar"/>
                    </w:rPr>
                  </w:pPr>
                  <w:r>
                    <w:rPr>
                      <w:rFonts w:hint="eastAsia" w:ascii="宋体" w:hAnsi="宋体" w:eastAsia="宋体" w:cs="宋体"/>
                      <w:color w:val="auto"/>
                      <w:highlight w:val="none"/>
                      <w:lang w:bidi="ar"/>
                    </w:rPr>
                    <w:t>①</w:t>
                  </w:r>
                  <w:r>
                    <w:rPr>
                      <w:rFonts w:hint="eastAsia"/>
                      <w:color w:val="auto"/>
                      <w:highlight w:val="none"/>
                      <w:lang w:bidi="ar"/>
                    </w:rPr>
                    <w:t>新增排放污染物种类的</w:t>
                  </w:r>
                  <w:r>
                    <w:rPr>
                      <w:rFonts w:hint="eastAsia"/>
                      <w:color w:val="auto"/>
                      <w:highlight w:val="none"/>
                      <w:lang w:eastAsia="zh-CN" w:bidi="ar"/>
                    </w:rPr>
                    <w:t>（</w:t>
                  </w:r>
                  <w:r>
                    <w:rPr>
                      <w:rFonts w:hint="eastAsia"/>
                      <w:color w:val="auto"/>
                      <w:highlight w:val="none"/>
                      <w:lang w:bidi="ar"/>
                    </w:rPr>
                    <w:t>毒性、挥发性降低的除外</w:t>
                  </w:r>
                  <w:r>
                    <w:rPr>
                      <w:rFonts w:hint="eastAsia"/>
                      <w:color w:val="auto"/>
                      <w:highlight w:val="none"/>
                      <w:lang w:eastAsia="zh-CN" w:bidi="ar"/>
                    </w:rPr>
                    <w:t>）；</w:t>
                  </w:r>
                </w:p>
                <w:p w14:paraId="501A274D">
                  <w:pPr>
                    <w:widowControl/>
                    <w:adjustRightInd w:val="0"/>
                    <w:snapToGrid w:val="0"/>
                    <w:jc w:val="left"/>
                    <w:rPr>
                      <w:rFonts w:hint="eastAsia" w:eastAsia="宋体"/>
                      <w:color w:val="auto"/>
                      <w:highlight w:val="none"/>
                      <w:lang w:eastAsia="zh-CN" w:bidi="ar"/>
                    </w:rPr>
                  </w:pPr>
                  <w:r>
                    <w:rPr>
                      <w:rFonts w:hint="eastAsia" w:ascii="宋体" w:hAnsi="宋体" w:eastAsia="宋体" w:cs="宋体"/>
                      <w:color w:val="auto"/>
                      <w:highlight w:val="none"/>
                      <w:lang w:bidi="ar"/>
                    </w:rPr>
                    <w:t>②</w:t>
                  </w:r>
                  <w:r>
                    <w:rPr>
                      <w:rFonts w:hint="eastAsia"/>
                      <w:color w:val="auto"/>
                      <w:highlight w:val="none"/>
                      <w:lang w:bidi="ar"/>
                    </w:rPr>
                    <w:t>位于环境质量不达标区的建设项目相应污染物排放量增加的</w:t>
                  </w:r>
                  <w:r>
                    <w:rPr>
                      <w:rFonts w:hint="eastAsia"/>
                      <w:color w:val="auto"/>
                      <w:highlight w:val="none"/>
                      <w:lang w:eastAsia="zh-CN" w:bidi="ar"/>
                    </w:rPr>
                    <w:t>；</w:t>
                  </w:r>
                </w:p>
                <w:p w14:paraId="0533115C">
                  <w:pPr>
                    <w:widowControl/>
                    <w:adjustRightInd w:val="0"/>
                    <w:snapToGrid w:val="0"/>
                    <w:jc w:val="left"/>
                    <w:rPr>
                      <w:rFonts w:hint="eastAsia" w:eastAsia="宋体"/>
                      <w:color w:val="auto"/>
                      <w:highlight w:val="none"/>
                      <w:lang w:eastAsia="zh-CN" w:bidi="ar"/>
                    </w:rPr>
                  </w:pPr>
                  <w:r>
                    <w:rPr>
                      <w:rFonts w:hint="eastAsia" w:ascii="宋体" w:hAnsi="宋体" w:eastAsia="宋体" w:cs="宋体"/>
                      <w:color w:val="auto"/>
                      <w:highlight w:val="none"/>
                      <w:lang w:bidi="ar"/>
                    </w:rPr>
                    <w:t>③</w:t>
                  </w:r>
                  <w:r>
                    <w:rPr>
                      <w:rFonts w:hint="eastAsia"/>
                      <w:color w:val="auto"/>
                      <w:highlight w:val="none"/>
                      <w:lang w:bidi="ar"/>
                    </w:rPr>
                    <w:t>废水第一类污染物排放量增加的</w:t>
                  </w:r>
                  <w:r>
                    <w:rPr>
                      <w:rFonts w:hint="eastAsia"/>
                      <w:color w:val="auto"/>
                      <w:highlight w:val="none"/>
                      <w:lang w:eastAsia="zh-CN" w:bidi="ar"/>
                    </w:rPr>
                    <w:t>；</w:t>
                  </w:r>
                </w:p>
                <w:p w14:paraId="47133D48">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④</w:t>
                  </w:r>
                  <w:r>
                    <w:rPr>
                      <w:rFonts w:hint="eastAsia"/>
                      <w:color w:val="auto"/>
                      <w:highlight w:val="none"/>
                      <w:lang w:bidi="ar"/>
                    </w:rPr>
                    <w:t>其他污染物排放量增加10%及以上的。</w:t>
                  </w:r>
                </w:p>
                <w:p w14:paraId="39243BAE">
                  <w:pPr>
                    <w:widowControl/>
                    <w:adjustRightInd w:val="0"/>
                    <w:snapToGrid w:val="0"/>
                    <w:jc w:val="left"/>
                    <w:rPr>
                      <w:color w:val="auto"/>
                      <w:highlight w:val="none"/>
                      <w:lang w:bidi="ar"/>
                    </w:rPr>
                  </w:pPr>
                  <w:r>
                    <w:rPr>
                      <w:rFonts w:hint="eastAsia" w:ascii="宋体" w:hAnsi="宋体" w:eastAsia="宋体" w:cs="宋体"/>
                      <w:color w:val="auto"/>
                      <w:highlight w:val="none"/>
                      <w:lang w:bidi="ar"/>
                    </w:rPr>
                    <w:t>⑤</w:t>
                  </w:r>
                  <w:r>
                    <w:rPr>
                      <w:rFonts w:hint="eastAsia"/>
                      <w:color w:val="auto"/>
                      <w:highlight w:val="none"/>
                      <w:lang w:bidi="ar"/>
                    </w:rPr>
                    <w:t>物料运输、装卸、贮存方式变化，导致大气污染物无组织排放量增加10%及以上的。</w:t>
                  </w:r>
                </w:p>
              </w:tc>
              <w:tc>
                <w:tcPr>
                  <w:tcW w:w="2220" w:type="dxa"/>
                  <w:noWrap w:val="0"/>
                  <w:vAlign w:val="center"/>
                </w:tcPr>
                <w:p w14:paraId="490B2A4D">
                  <w:pPr>
                    <w:pStyle w:val="45"/>
                    <w:jc w:val="both"/>
                    <w:rPr>
                      <w:rFonts w:hint="eastAsia" w:hAnsi="宋体"/>
                      <w:color w:val="auto"/>
                      <w:sz w:val="21"/>
                      <w:szCs w:val="21"/>
                      <w:highlight w:val="none"/>
                    </w:rPr>
                  </w:pPr>
                  <w:r>
                    <w:rPr>
                      <w:rFonts w:hint="default" w:ascii="Times New Roman" w:hAnsi="Times New Roman" w:cs="Times New Roman"/>
                      <w:color w:val="auto"/>
                      <w:sz w:val="21"/>
                      <w:szCs w:val="21"/>
                      <w:highlight w:val="none"/>
                      <w:lang w:eastAsia="zh-CN"/>
                    </w:rPr>
                    <w:t>本项目位于环境质量达标区，本次变动新原料种类</w:t>
                  </w:r>
                  <w:r>
                    <w:rPr>
                      <w:rFonts w:hint="eastAsia" w:ascii="Times New Roman" w:cs="Times New Roman"/>
                      <w:color w:val="auto"/>
                      <w:sz w:val="21"/>
                      <w:szCs w:val="21"/>
                      <w:highlight w:val="none"/>
                      <w:lang w:eastAsia="zh-CN"/>
                    </w:rPr>
                    <w:t>、生产工艺及</w:t>
                  </w:r>
                  <w:r>
                    <w:rPr>
                      <w:rFonts w:hint="default" w:ascii="Times New Roman" w:hAnsi="Times New Roman" w:cs="Times New Roman"/>
                      <w:color w:val="auto"/>
                      <w:sz w:val="21"/>
                      <w:szCs w:val="21"/>
                      <w:highlight w:val="none"/>
                      <w:lang w:eastAsia="zh-CN"/>
                    </w:rPr>
                    <w:t>产品种类，未导致左侧</w:t>
                  </w:r>
                  <w:r>
                    <w:rPr>
                      <w:rFonts w:hint="default" w:ascii="Times New Roman" w:hAnsi="Times New Roman" w:cs="Times New Roman"/>
                      <w:color w:val="auto"/>
                      <w:sz w:val="21"/>
                      <w:szCs w:val="21"/>
                      <w:highlight w:val="none"/>
                      <w:lang w:val="en-US" w:eastAsia="zh-CN"/>
                    </w:rPr>
                    <w:t>5种情形发生</w:t>
                  </w:r>
                  <w:r>
                    <w:rPr>
                      <w:rFonts w:hint="default" w:ascii="Times New Roman" w:hAnsi="Times New Roman" w:cs="Times New Roman"/>
                      <w:color w:val="auto"/>
                      <w:sz w:val="21"/>
                      <w:szCs w:val="21"/>
                      <w:highlight w:val="none"/>
                      <w:lang w:eastAsia="zh-CN"/>
                    </w:rPr>
                    <w:t>。</w:t>
                  </w:r>
                </w:p>
              </w:tc>
            </w:tr>
            <w:tr w14:paraId="7389E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14:paraId="01404B91">
                  <w:pPr>
                    <w:widowControl/>
                    <w:jc w:val="center"/>
                    <w:rPr>
                      <w:color w:val="auto"/>
                      <w:highlight w:val="none"/>
                      <w:lang w:bidi="ar"/>
                    </w:rPr>
                  </w:pPr>
                </w:p>
              </w:tc>
              <w:tc>
                <w:tcPr>
                  <w:tcW w:w="724" w:type="dxa"/>
                  <w:noWrap w:val="0"/>
                  <w:vAlign w:val="center"/>
                </w:tcPr>
                <w:p w14:paraId="006E349E">
                  <w:pPr>
                    <w:widowControl/>
                    <w:adjustRightInd w:val="0"/>
                    <w:snapToGrid w:val="0"/>
                    <w:jc w:val="center"/>
                    <w:rPr>
                      <w:rFonts w:hint="eastAsia"/>
                      <w:color w:val="auto"/>
                      <w:highlight w:val="none"/>
                      <w:lang w:bidi="ar"/>
                    </w:rPr>
                  </w:pPr>
                  <w:r>
                    <w:rPr>
                      <w:rFonts w:hint="eastAsia"/>
                      <w:color w:val="auto"/>
                      <w:highlight w:val="none"/>
                      <w:lang w:bidi="ar"/>
                    </w:rPr>
                    <w:t>环境保护措施</w:t>
                  </w:r>
                </w:p>
              </w:tc>
              <w:tc>
                <w:tcPr>
                  <w:tcW w:w="4337" w:type="dxa"/>
                  <w:noWrap w:val="0"/>
                  <w:vAlign w:val="center"/>
                </w:tcPr>
                <w:p w14:paraId="744C48D8">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①</w:t>
                  </w:r>
                  <w:r>
                    <w:rPr>
                      <w:rFonts w:hint="eastAsia"/>
                      <w:color w:val="auto"/>
                      <w:highlight w:val="none"/>
                      <w:lang w:bidi="ar"/>
                    </w:rPr>
                    <w:t>废气、废水污染防治措施变化，导致第6条中所列情形之一</w:t>
                  </w:r>
                  <w:r>
                    <w:rPr>
                      <w:rFonts w:hint="eastAsia"/>
                      <w:color w:val="auto"/>
                      <w:highlight w:val="none"/>
                      <w:lang w:eastAsia="zh-CN" w:bidi="ar"/>
                    </w:rPr>
                    <w:t>（</w:t>
                  </w:r>
                  <w:r>
                    <w:rPr>
                      <w:rFonts w:hint="eastAsia"/>
                      <w:color w:val="auto"/>
                      <w:highlight w:val="none"/>
                      <w:lang w:bidi="ar"/>
                    </w:rPr>
                    <w:t>废气无组织排放改为有组织排放、污染防治措施强化或改进的除外</w:t>
                  </w:r>
                  <w:r>
                    <w:rPr>
                      <w:rFonts w:hint="eastAsia"/>
                      <w:color w:val="auto"/>
                      <w:highlight w:val="none"/>
                      <w:lang w:eastAsia="zh-CN" w:bidi="ar"/>
                    </w:rPr>
                    <w:t>）</w:t>
                  </w:r>
                  <w:r>
                    <w:rPr>
                      <w:rFonts w:hint="eastAsia"/>
                      <w:color w:val="auto"/>
                      <w:highlight w:val="none"/>
                      <w:lang w:bidi="ar"/>
                    </w:rPr>
                    <w:t>或大气污染物无组织排放量增加10%及以上的。</w:t>
                  </w:r>
                </w:p>
                <w:p w14:paraId="3F83E69A">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②</w:t>
                  </w:r>
                  <w:r>
                    <w:rPr>
                      <w:rFonts w:hint="eastAsia"/>
                      <w:color w:val="auto"/>
                      <w:highlight w:val="none"/>
                      <w:lang w:bidi="ar"/>
                    </w:rPr>
                    <w:t>新增废水直接排放口</w:t>
                  </w:r>
                  <w:r>
                    <w:rPr>
                      <w:rFonts w:hint="eastAsia"/>
                      <w:color w:val="auto"/>
                      <w:highlight w:val="none"/>
                      <w:lang w:eastAsia="zh-CN" w:bidi="ar"/>
                    </w:rPr>
                    <w:t>；</w:t>
                  </w:r>
                  <w:r>
                    <w:rPr>
                      <w:rFonts w:hint="eastAsia"/>
                      <w:color w:val="auto"/>
                      <w:highlight w:val="none"/>
                      <w:lang w:bidi="ar"/>
                    </w:rPr>
                    <w:t>废水由间接排放改为直接排放</w:t>
                  </w:r>
                  <w:r>
                    <w:rPr>
                      <w:rFonts w:hint="eastAsia"/>
                      <w:color w:val="auto"/>
                      <w:highlight w:val="none"/>
                      <w:lang w:eastAsia="zh-CN" w:bidi="ar"/>
                    </w:rPr>
                    <w:t>；</w:t>
                  </w:r>
                  <w:r>
                    <w:rPr>
                      <w:rFonts w:hint="eastAsia"/>
                      <w:color w:val="auto"/>
                      <w:highlight w:val="none"/>
                      <w:lang w:bidi="ar"/>
                    </w:rPr>
                    <w:t>废水直接排放口位置变化，导致不利环境影响加重的。</w:t>
                  </w:r>
                </w:p>
                <w:p w14:paraId="7B5C228E">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③</w:t>
                  </w:r>
                  <w:r>
                    <w:rPr>
                      <w:rFonts w:hint="eastAsia"/>
                      <w:color w:val="auto"/>
                      <w:highlight w:val="none"/>
                      <w:lang w:bidi="ar"/>
                    </w:rPr>
                    <w:t>新增废气主要排放口</w:t>
                  </w:r>
                  <w:r>
                    <w:rPr>
                      <w:rFonts w:hint="eastAsia"/>
                      <w:color w:val="auto"/>
                      <w:highlight w:val="none"/>
                      <w:lang w:eastAsia="zh-CN" w:bidi="ar"/>
                    </w:rPr>
                    <w:t>（</w:t>
                  </w:r>
                  <w:r>
                    <w:rPr>
                      <w:rFonts w:hint="eastAsia"/>
                      <w:color w:val="auto"/>
                      <w:highlight w:val="none"/>
                      <w:lang w:bidi="ar"/>
                    </w:rPr>
                    <w:t>废气无组织排放改为有组织排放的除外</w:t>
                  </w:r>
                  <w:r>
                    <w:rPr>
                      <w:rFonts w:hint="eastAsia"/>
                      <w:color w:val="auto"/>
                      <w:highlight w:val="none"/>
                      <w:lang w:eastAsia="zh-CN" w:bidi="ar"/>
                    </w:rPr>
                    <w:t>）；</w:t>
                  </w:r>
                  <w:r>
                    <w:rPr>
                      <w:rFonts w:hint="eastAsia"/>
                      <w:color w:val="auto"/>
                      <w:highlight w:val="none"/>
                      <w:lang w:bidi="ar"/>
                    </w:rPr>
                    <w:t>主要排放口排气筒高度降低10%及以上的。</w:t>
                  </w:r>
                </w:p>
                <w:p w14:paraId="2BC96374">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④</w:t>
                  </w:r>
                  <w:r>
                    <w:rPr>
                      <w:rFonts w:hint="eastAsia"/>
                      <w:color w:val="auto"/>
                      <w:highlight w:val="none"/>
                      <w:lang w:bidi="ar"/>
                    </w:rPr>
                    <w:t>噪声、土壤或地下水污染防治措施变化，导致不利环境影响加重的。</w:t>
                  </w:r>
                </w:p>
                <w:p w14:paraId="379BFD09">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⑤</w:t>
                  </w:r>
                  <w:r>
                    <w:rPr>
                      <w:rFonts w:hint="eastAsia"/>
                      <w:color w:val="auto"/>
                      <w:highlight w:val="none"/>
                      <w:lang w:bidi="ar"/>
                    </w:rPr>
                    <w:t>固体废物利用处置方式由委托外单位利用处置改为自行利用处置的</w:t>
                  </w:r>
                  <w:r>
                    <w:rPr>
                      <w:rFonts w:hint="eastAsia"/>
                      <w:color w:val="auto"/>
                      <w:highlight w:val="none"/>
                      <w:lang w:eastAsia="zh-CN" w:bidi="ar"/>
                    </w:rPr>
                    <w:t>（</w:t>
                  </w:r>
                  <w:r>
                    <w:rPr>
                      <w:rFonts w:hint="eastAsia"/>
                      <w:color w:val="auto"/>
                      <w:highlight w:val="none"/>
                      <w:lang w:bidi="ar"/>
                    </w:rPr>
                    <w:t>自行利用处置设施单独开展环境影响评价的除外</w:t>
                  </w:r>
                  <w:r>
                    <w:rPr>
                      <w:rFonts w:hint="eastAsia"/>
                      <w:color w:val="auto"/>
                      <w:highlight w:val="none"/>
                      <w:lang w:eastAsia="zh-CN" w:bidi="ar"/>
                    </w:rPr>
                    <w:t>）</w:t>
                  </w:r>
                </w:p>
                <w:p w14:paraId="600E7317">
                  <w:pPr>
                    <w:widowControl/>
                    <w:adjustRightInd w:val="0"/>
                    <w:snapToGrid w:val="0"/>
                    <w:jc w:val="left"/>
                    <w:rPr>
                      <w:rFonts w:hint="eastAsia"/>
                      <w:color w:val="auto"/>
                      <w:highlight w:val="none"/>
                      <w:lang w:bidi="ar"/>
                    </w:rPr>
                  </w:pPr>
                  <w:r>
                    <w:rPr>
                      <w:rFonts w:hint="eastAsia"/>
                      <w:color w:val="auto"/>
                      <w:highlight w:val="none"/>
                      <w:lang w:bidi="ar"/>
                    </w:rPr>
                    <w:t>固体废物自行处置方式变化，导致不利环境影响加重的。</w:t>
                  </w:r>
                </w:p>
                <w:p w14:paraId="44CD1E43">
                  <w:pPr>
                    <w:widowControl/>
                    <w:adjustRightInd w:val="0"/>
                    <w:snapToGrid w:val="0"/>
                    <w:jc w:val="left"/>
                    <w:rPr>
                      <w:rFonts w:hint="eastAsia"/>
                      <w:color w:val="auto"/>
                      <w:highlight w:val="none"/>
                      <w:lang w:bidi="ar"/>
                    </w:rPr>
                  </w:pPr>
                  <w:r>
                    <w:rPr>
                      <w:rFonts w:hint="eastAsia" w:ascii="宋体" w:hAnsi="宋体" w:eastAsia="宋体" w:cs="宋体"/>
                      <w:color w:val="auto"/>
                      <w:highlight w:val="none"/>
                      <w:lang w:bidi="ar"/>
                    </w:rPr>
                    <w:t>⑥</w:t>
                  </w:r>
                  <w:r>
                    <w:rPr>
                      <w:rFonts w:hint="eastAsia"/>
                      <w:color w:val="auto"/>
                      <w:highlight w:val="none"/>
                      <w:lang w:bidi="ar"/>
                    </w:rPr>
                    <w:t>事故废水</w:t>
                  </w:r>
                  <w:r>
                    <w:rPr>
                      <w:rFonts w:hint="eastAsia"/>
                      <w:color w:val="auto"/>
                      <w:highlight w:val="none"/>
                      <w:lang w:eastAsia="zh-CN" w:bidi="ar"/>
                    </w:rPr>
                    <w:t>暂存</w:t>
                  </w:r>
                  <w:r>
                    <w:rPr>
                      <w:rFonts w:hint="eastAsia"/>
                      <w:color w:val="auto"/>
                      <w:highlight w:val="none"/>
                      <w:lang w:bidi="ar"/>
                    </w:rPr>
                    <w:t>能力或拦截设施变化，导致环境风险防范能力弱化或降低的。</w:t>
                  </w:r>
                </w:p>
              </w:tc>
              <w:tc>
                <w:tcPr>
                  <w:tcW w:w="2220" w:type="dxa"/>
                  <w:noWrap w:val="0"/>
                  <w:vAlign w:val="center"/>
                </w:tcPr>
                <w:p w14:paraId="6E755AC0">
                  <w:pPr>
                    <w:widowControl/>
                    <w:adjustRightInd w:val="0"/>
                    <w:snapToGrid w:val="0"/>
                    <w:jc w:val="left"/>
                    <w:rPr>
                      <w:rFonts w:hint="eastAsia" w:eastAsia="宋体"/>
                      <w:color w:val="auto"/>
                      <w:highlight w:val="none"/>
                      <w:lang w:eastAsia="zh-CN" w:bidi="ar"/>
                    </w:rPr>
                  </w:pPr>
                  <w:r>
                    <w:rPr>
                      <w:rFonts w:hint="eastAsia"/>
                      <w:color w:val="auto"/>
                      <w:highlight w:val="none"/>
                      <w:lang w:eastAsia="zh-CN" w:bidi="ar"/>
                    </w:rPr>
                    <w:t>本次变动不涉及左侧</w:t>
                  </w:r>
                  <w:r>
                    <w:rPr>
                      <w:rFonts w:hint="eastAsia"/>
                      <w:color w:val="auto"/>
                      <w:highlight w:val="none"/>
                      <w:lang w:val="en-US" w:eastAsia="zh-CN" w:bidi="ar"/>
                    </w:rPr>
                    <w:t>6种情形</w:t>
                  </w:r>
                  <w:r>
                    <w:rPr>
                      <w:rFonts w:hint="eastAsia"/>
                      <w:color w:val="auto"/>
                      <w:highlight w:val="none"/>
                      <w:lang w:eastAsia="zh-CN" w:bidi="ar"/>
                    </w:rPr>
                    <w:t>。</w:t>
                  </w:r>
                </w:p>
              </w:tc>
            </w:tr>
          </w:tbl>
          <w:p w14:paraId="75FB9CBB">
            <w:pPr>
              <w:spacing w:line="360" w:lineRule="auto"/>
              <w:ind w:firstLine="480" w:firstLineChars="200"/>
              <w:rPr>
                <w:rFonts w:hint="eastAsia"/>
                <w:b/>
                <w:bCs/>
                <w:color w:val="auto"/>
                <w:sz w:val="24"/>
                <w:highlight w:val="none"/>
                <w:lang w:val="en-US" w:eastAsia="zh-CN"/>
              </w:rPr>
            </w:pPr>
            <w:r>
              <w:rPr>
                <w:rFonts w:hint="eastAsia"/>
                <w:color w:val="auto"/>
                <w:sz w:val="24"/>
                <w:szCs w:val="24"/>
                <w:highlight w:val="none"/>
                <w:lang w:bidi="ar"/>
              </w:rPr>
              <w:t>综上，本项目</w:t>
            </w:r>
            <w:r>
              <w:rPr>
                <w:rFonts w:hint="eastAsia"/>
                <w:color w:val="auto"/>
                <w:sz w:val="24"/>
                <w:szCs w:val="24"/>
                <w:highlight w:val="none"/>
                <w:lang w:eastAsia="zh-CN" w:bidi="ar"/>
              </w:rPr>
              <w:t>属重大变动，故本次环评根据项目实际情况，按报告表编制技术指南要求进行编写。</w:t>
            </w:r>
          </w:p>
          <w:p w14:paraId="5FEF4029">
            <w:pPr>
              <w:numPr>
                <w:ilvl w:val="0"/>
                <w:numId w:val="0"/>
              </w:numPr>
              <w:spacing w:line="360" w:lineRule="auto"/>
              <w:ind w:firstLine="482" w:firstLineChars="200"/>
              <w:rPr>
                <w:b/>
                <w:bCs/>
                <w:color w:val="auto"/>
                <w:sz w:val="24"/>
                <w:szCs w:val="32"/>
                <w:highlight w:val="none"/>
              </w:rPr>
            </w:pPr>
            <w:r>
              <w:rPr>
                <w:rFonts w:hint="eastAsia"/>
                <w:b/>
                <w:bCs/>
                <w:color w:val="auto"/>
                <w:sz w:val="24"/>
                <w:szCs w:val="32"/>
                <w:highlight w:val="none"/>
                <w:lang w:val="en-US" w:eastAsia="zh-CN"/>
              </w:rPr>
              <w:t>3、</w:t>
            </w:r>
            <w:r>
              <w:rPr>
                <w:b/>
                <w:bCs/>
                <w:color w:val="auto"/>
                <w:sz w:val="24"/>
                <w:szCs w:val="32"/>
                <w:highlight w:val="none"/>
              </w:rPr>
              <w:t>项目组成</w:t>
            </w:r>
          </w:p>
          <w:p w14:paraId="42A6E7FF">
            <w:pPr>
              <w:snapToGrid w:val="0"/>
              <w:spacing w:line="360" w:lineRule="auto"/>
              <w:ind w:firstLine="480" w:firstLineChars="200"/>
              <w:rPr>
                <w:b/>
                <w:bCs/>
                <w:color w:val="auto"/>
                <w:sz w:val="21"/>
                <w:szCs w:val="21"/>
                <w:highlight w:val="none"/>
              </w:rPr>
            </w:pPr>
            <w:r>
              <w:rPr>
                <w:rFonts w:hint="eastAsia"/>
                <w:color w:val="auto"/>
                <w:sz w:val="24"/>
                <w:szCs w:val="32"/>
                <w:highlight w:val="none"/>
                <w:lang w:eastAsia="zh-CN"/>
              </w:rPr>
              <w:t>结合租赁合同可知，厂区总占地</w:t>
            </w:r>
            <w:r>
              <w:rPr>
                <w:rFonts w:hint="eastAsia"/>
                <w:color w:val="auto"/>
                <w:sz w:val="24"/>
                <w:szCs w:val="32"/>
                <w:highlight w:val="none"/>
                <w:lang w:val="en-US" w:eastAsia="zh-CN"/>
              </w:rPr>
              <w:t>28.3亩（约合18866.48m</w:t>
            </w:r>
            <w:r>
              <w:rPr>
                <w:rFonts w:hint="eastAsia"/>
                <w:color w:val="auto"/>
                <w:sz w:val="24"/>
                <w:szCs w:val="32"/>
                <w:highlight w:val="none"/>
                <w:vertAlign w:val="superscript"/>
                <w:lang w:val="en-US" w:eastAsia="zh-CN"/>
              </w:rPr>
              <w:t>2</w:t>
            </w:r>
            <w:r>
              <w:rPr>
                <w:rFonts w:hint="eastAsia"/>
                <w:color w:val="auto"/>
                <w:sz w:val="24"/>
                <w:szCs w:val="32"/>
                <w:highlight w:val="none"/>
                <w:lang w:val="en-US" w:eastAsia="zh-CN"/>
              </w:rPr>
              <w:t>），目前建设有一条彩砂及钙粉生产线，年产天然彩砂30万吨、钙粉5万吨，配套有生产车间、原料区、成品区及办公生活区等。考虑到市场变动和企业长远发展，本次计划在原有厂区内新增石膏粉、腻子粉和砂浆生产线各一条，预计年产腻子粉12万吨、石膏粉8万吨、砂浆6万吨。</w:t>
            </w:r>
            <w:r>
              <w:rPr>
                <w:rFonts w:hint="eastAsia"/>
                <w:color w:val="auto"/>
                <w:sz w:val="24"/>
                <w:szCs w:val="32"/>
                <w:highlight w:val="none"/>
                <w:lang w:eastAsia="zh-CN"/>
              </w:rPr>
              <w:t>变动前后</w:t>
            </w:r>
            <w:r>
              <w:rPr>
                <w:color w:val="auto"/>
                <w:sz w:val="24"/>
                <w:szCs w:val="32"/>
                <w:highlight w:val="none"/>
              </w:rPr>
              <w:t>具体组成及建设内容详见表2-</w:t>
            </w:r>
            <w:r>
              <w:rPr>
                <w:rFonts w:hint="eastAsia"/>
                <w:color w:val="auto"/>
                <w:sz w:val="24"/>
                <w:szCs w:val="32"/>
                <w:highlight w:val="none"/>
                <w:lang w:val="en-US" w:eastAsia="zh-CN"/>
              </w:rPr>
              <w:t>2</w:t>
            </w:r>
            <w:r>
              <w:rPr>
                <w:color w:val="auto"/>
                <w:sz w:val="24"/>
                <w:szCs w:val="32"/>
                <w:highlight w:val="none"/>
              </w:rPr>
              <w:t>：</w:t>
            </w:r>
          </w:p>
          <w:p w14:paraId="7035B6CB">
            <w:pPr>
              <w:pStyle w:val="45"/>
              <w:jc w:val="center"/>
              <w:rPr>
                <w:color w:val="auto"/>
                <w:sz w:val="21"/>
                <w:szCs w:val="21"/>
                <w:highlight w:val="none"/>
              </w:rPr>
            </w:pPr>
            <w:r>
              <w:rPr>
                <w:b/>
                <w:bCs/>
                <w:color w:val="auto"/>
                <w:sz w:val="21"/>
                <w:szCs w:val="21"/>
                <w:highlight w:val="none"/>
              </w:rPr>
              <w:t>表</w:t>
            </w:r>
            <w:r>
              <w:rPr>
                <w:rFonts w:hint="eastAsia" w:ascii="Times New Roman" w:cs="Times New Roman"/>
                <w:b/>
                <w:bCs/>
                <w:color w:val="auto"/>
                <w:kern w:val="2"/>
                <w:sz w:val="21"/>
                <w:szCs w:val="21"/>
                <w:highlight w:val="none"/>
              </w:rPr>
              <w:t>2-</w:t>
            </w:r>
            <w:r>
              <w:rPr>
                <w:rFonts w:hint="eastAsia" w:ascii="Times New Roman" w:cs="Times New Roman"/>
                <w:b/>
                <w:bCs/>
                <w:color w:val="auto"/>
                <w:kern w:val="2"/>
                <w:sz w:val="21"/>
                <w:szCs w:val="21"/>
                <w:highlight w:val="none"/>
                <w:lang w:val="en-US" w:eastAsia="zh-CN"/>
              </w:rPr>
              <w:t>2</w:t>
            </w:r>
            <w:r>
              <w:rPr>
                <w:rFonts w:hint="eastAsia" w:ascii="Times New Roman" w:cs="Times New Roman"/>
                <w:b/>
                <w:bCs/>
                <w:color w:val="auto"/>
                <w:kern w:val="2"/>
                <w:sz w:val="21"/>
                <w:szCs w:val="21"/>
                <w:highlight w:val="none"/>
              </w:rPr>
              <w:t xml:space="preserve"> </w:t>
            </w:r>
            <w:r>
              <w:rPr>
                <w:b/>
                <w:bCs/>
                <w:color w:val="auto"/>
                <w:sz w:val="21"/>
                <w:szCs w:val="21"/>
                <w:highlight w:val="none"/>
              </w:rPr>
              <w:t xml:space="preserve"> 项目建设内容及</w:t>
            </w:r>
            <w:r>
              <w:rPr>
                <w:rFonts w:hint="eastAsia"/>
                <w:b/>
                <w:bCs/>
                <w:color w:val="auto"/>
                <w:sz w:val="21"/>
                <w:szCs w:val="21"/>
                <w:highlight w:val="none"/>
                <w:lang w:eastAsia="zh-CN"/>
              </w:rPr>
              <w:t>变动情况</w:t>
            </w:r>
            <w:r>
              <w:rPr>
                <w:b/>
                <w:bCs/>
                <w:color w:val="auto"/>
                <w:sz w:val="21"/>
                <w:szCs w:val="21"/>
                <w:highlight w:val="none"/>
              </w:rPr>
              <w:t>一览表</w:t>
            </w:r>
          </w:p>
          <w:tbl>
            <w:tblPr>
              <w:tblStyle w:val="36"/>
              <w:tblW w:w="85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9"/>
              <w:gridCol w:w="896"/>
              <w:gridCol w:w="2792"/>
              <w:gridCol w:w="2549"/>
              <w:gridCol w:w="1316"/>
            </w:tblGrid>
            <w:tr w14:paraId="2028D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22" w:hRule="atLeast"/>
                <w:jc w:val="center"/>
              </w:trPr>
              <w:tc>
                <w:tcPr>
                  <w:tcW w:w="1875" w:type="dxa"/>
                  <w:gridSpan w:val="2"/>
                  <w:tcBorders>
                    <w:right w:val="single" w:color="auto" w:sz="4" w:space="0"/>
                    <w:tl2br w:val="nil"/>
                    <w:tr2bl w:val="nil"/>
                  </w:tcBorders>
                  <w:noWrap w:val="0"/>
                  <w:vAlign w:val="center"/>
                </w:tcPr>
                <w:p w14:paraId="4BAA74C8">
                  <w:pPr>
                    <w:pStyle w:val="103"/>
                    <w:snapToGrid w:val="0"/>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名称</w:t>
                  </w:r>
                </w:p>
              </w:tc>
              <w:tc>
                <w:tcPr>
                  <w:tcW w:w="2792" w:type="dxa"/>
                  <w:tcBorders>
                    <w:left w:val="single" w:color="auto" w:sz="4" w:space="0"/>
                    <w:right w:val="single" w:color="auto" w:sz="4" w:space="0"/>
                    <w:tl2br w:val="nil"/>
                    <w:tr2bl w:val="nil"/>
                  </w:tcBorders>
                  <w:noWrap w:val="0"/>
                  <w:vAlign w:val="center"/>
                </w:tcPr>
                <w:p w14:paraId="2A78D311">
                  <w:pPr>
                    <w:pStyle w:val="103"/>
                    <w:snapToGrid w:val="0"/>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eastAsia="zh-CN"/>
                    </w:rPr>
                    <w:t>现有工程</w:t>
                  </w:r>
                </w:p>
              </w:tc>
              <w:tc>
                <w:tcPr>
                  <w:tcW w:w="2549" w:type="dxa"/>
                  <w:tcBorders>
                    <w:left w:val="single" w:color="auto" w:sz="4" w:space="0"/>
                    <w:tl2br w:val="nil"/>
                    <w:tr2bl w:val="nil"/>
                  </w:tcBorders>
                  <w:noWrap w:val="0"/>
                  <w:vAlign w:val="center"/>
                </w:tcPr>
                <w:p w14:paraId="2FAC2C63">
                  <w:pPr>
                    <w:pStyle w:val="103"/>
                    <w:snapToGrid w:val="0"/>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变动工程</w:t>
                  </w:r>
                </w:p>
              </w:tc>
              <w:tc>
                <w:tcPr>
                  <w:tcW w:w="1316" w:type="dxa"/>
                  <w:tcBorders>
                    <w:tl2br w:val="nil"/>
                    <w:tr2bl w:val="nil"/>
                  </w:tcBorders>
                  <w:noWrap w:val="0"/>
                  <w:vAlign w:val="center"/>
                </w:tcPr>
                <w:p w14:paraId="169A372E">
                  <w:pPr>
                    <w:pStyle w:val="103"/>
                    <w:snapToGrid w:val="0"/>
                    <w:jc w:val="center"/>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备注</w:t>
                  </w:r>
                </w:p>
              </w:tc>
            </w:tr>
            <w:tr w14:paraId="11FB42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979" w:type="dxa"/>
                  <w:tcBorders>
                    <w:tl2br w:val="nil"/>
                    <w:tr2bl w:val="nil"/>
                  </w:tcBorders>
                  <w:noWrap w:val="0"/>
                  <w:vAlign w:val="center"/>
                </w:tcPr>
                <w:p w14:paraId="5EFF9DBA">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主体</w:t>
                  </w:r>
                </w:p>
                <w:p w14:paraId="607662F4">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工程</w:t>
                  </w:r>
                </w:p>
              </w:tc>
              <w:tc>
                <w:tcPr>
                  <w:tcW w:w="896" w:type="dxa"/>
                  <w:tcBorders>
                    <w:right w:val="single" w:color="auto" w:sz="4" w:space="0"/>
                    <w:tl2br w:val="nil"/>
                    <w:tr2bl w:val="nil"/>
                  </w:tcBorders>
                  <w:noWrap w:val="0"/>
                  <w:vAlign w:val="center"/>
                </w:tcPr>
                <w:p w14:paraId="244F45DA">
                  <w:pPr>
                    <w:jc w:val="center"/>
                    <w:rPr>
                      <w:rFonts w:hint="eastAsia" w:ascii="Times New Roman" w:hAnsi="Times New Roman" w:cs="Times New Roman"/>
                      <w:color w:val="auto"/>
                      <w:sz w:val="21"/>
                      <w:szCs w:val="21"/>
                      <w:highlight w:val="none"/>
                      <w:lang w:eastAsia="zh-CN" w:bidi="ar"/>
                    </w:rPr>
                  </w:pPr>
                  <w:r>
                    <w:rPr>
                      <w:rFonts w:hint="eastAsia" w:ascii="Times New Roman" w:hAnsi="Times New Roman" w:cs="Times New Roman"/>
                      <w:color w:val="auto"/>
                      <w:sz w:val="21"/>
                      <w:szCs w:val="21"/>
                      <w:highlight w:val="none"/>
                      <w:lang w:eastAsia="zh-CN" w:bidi="ar"/>
                    </w:rPr>
                    <w:t>生产</w:t>
                  </w:r>
                </w:p>
                <w:p w14:paraId="0ADBBDBC">
                  <w:pPr>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车间</w:t>
                  </w:r>
                </w:p>
              </w:tc>
              <w:tc>
                <w:tcPr>
                  <w:tcW w:w="2792" w:type="dxa"/>
                  <w:tcBorders>
                    <w:left w:val="single" w:color="auto" w:sz="4" w:space="0"/>
                    <w:right w:val="single" w:color="auto" w:sz="4" w:space="0"/>
                    <w:tl2br w:val="nil"/>
                    <w:tr2bl w:val="nil"/>
                  </w:tcBorders>
                  <w:noWrap w:val="0"/>
                  <w:vAlign w:val="center"/>
                </w:tcPr>
                <w:p w14:paraId="7442BC23">
                  <w:pP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生产</w:t>
                  </w:r>
                  <w:r>
                    <w:rPr>
                      <w:rFonts w:hint="default" w:ascii="Times New Roman" w:hAnsi="Times New Roman" w:eastAsia="宋体" w:cs="Times New Roman"/>
                      <w:color w:val="auto"/>
                      <w:sz w:val="21"/>
                      <w:szCs w:val="21"/>
                      <w:highlight w:val="none"/>
                      <w:lang w:val="en-US" w:eastAsia="zh-CN" w:bidi="ar"/>
                    </w:rPr>
                    <w:t>车间</w:t>
                  </w:r>
                  <w:r>
                    <w:rPr>
                      <w:rFonts w:hint="eastAsia" w:cs="Times New Roman"/>
                      <w:color w:val="auto"/>
                      <w:sz w:val="21"/>
                      <w:szCs w:val="21"/>
                      <w:highlight w:val="none"/>
                      <w:lang w:val="en-US" w:eastAsia="zh-CN" w:bidi="ar"/>
                    </w:rPr>
                    <w:t>位于厂区东南侧</w:t>
                  </w:r>
                  <w:r>
                    <w:rPr>
                      <w:rFonts w:hint="default" w:ascii="Times New Roman" w:hAnsi="Times New Roman" w:eastAsia="宋体" w:cs="Times New Roman"/>
                      <w:color w:val="auto"/>
                      <w:sz w:val="21"/>
                      <w:szCs w:val="21"/>
                      <w:highlight w:val="none"/>
                      <w:lang w:val="en-US" w:eastAsia="zh-CN" w:bidi="ar"/>
                    </w:rPr>
                    <w:t>，占地面积约</w:t>
                  </w:r>
                  <w:r>
                    <w:rPr>
                      <w:rFonts w:hint="eastAsia" w:cs="Times New Roman"/>
                      <w:color w:val="auto"/>
                      <w:sz w:val="21"/>
                      <w:szCs w:val="21"/>
                      <w:highlight w:val="none"/>
                      <w:lang w:val="en-US" w:eastAsia="zh-CN" w:bidi="ar"/>
                    </w:rPr>
                    <w:t>720</w:t>
                  </w:r>
                  <w:r>
                    <w:rPr>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color w:val="auto"/>
                      <w:sz w:val="21"/>
                      <w:szCs w:val="21"/>
                      <w:highlight w:val="none"/>
                      <w:vertAlign w:val="superscript"/>
                      <w:lang w:val="en-US" w:eastAsia="zh-CN" w:bidi="ar"/>
                    </w:rPr>
                    <w:t>2</w:t>
                  </w:r>
                  <w:r>
                    <w:rPr>
                      <w:rFonts w:hint="default" w:ascii="Times New Roman" w:hAnsi="Times New Roman" w:eastAsia="宋体" w:cs="Times New Roman"/>
                      <w:color w:val="auto"/>
                      <w:sz w:val="21"/>
                      <w:szCs w:val="21"/>
                      <w:highlight w:val="none"/>
                      <w:lang w:val="en-US" w:eastAsia="zh-CN" w:bidi="ar"/>
                    </w:rPr>
                    <w:t>，</w:t>
                  </w:r>
                  <w:r>
                    <w:rPr>
                      <w:rFonts w:hint="eastAsia" w:cs="Times New Roman"/>
                      <w:color w:val="auto"/>
                      <w:sz w:val="21"/>
                      <w:szCs w:val="21"/>
                      <w:highlight w:val="none"/>
                      <w:lang w:val="en-US" w:eastAsia="zh-CN" w:bidi="ar"/>
                    </w:rPr>
                    <w:t>彩钢结构，现</w:t>
                  </w:r>
                  <w:r>
                    <w:rPr>
                      <w:rFonts w:hint="default" w:ascii="Times New Roman" w:hAnsi="Times New Roman" w:eastAsia="宋体" w:cs="Times New Roman"/>
                      <w:color w:val="auto"/>
                      <w:sz w:val="21"/>
                      <w:szCs w:val="21"/>
                      <w:highlight w:val="none"/>
                      <w:lang w:val="en-US" w:eastAsia="zh-CN" w:bidi="ar"/>
                    </w:rPr>
                    <w:t>设</w:t>
                  </w:r>
                  <w:r>
                    <w:rPr>
                      <w:rFonts w:hint="eastAsia" w:cs="Times New Roman"/>
                      <w:color w:val="auto"/>
                      <w:sz w:val="21"/>
                      <w:szCs w:val="21"/>
                      <w:highlight w:val="none"/>
                      <w:lang w:val="en-US" w:eastAsia="zh-CN" w:bidi="ar"/>
                    </w:rPr>
                    <w:t>有一</w:t>
                  </w:r>
                  <w:r>
                    <w:rPr>
                      <w:rFonts w:hint="default" w:ascii="Times New Roman" w:hAnsi="Times New Roman" w:eastAsia="宋体" w:cs="Times New Roman"/>
                      <w:color w:val="auto"/>
                      <w:sz w:val="21"/>
                      <w:szCs w:val="21"/>
                      <w:highlight w:val="none"/>
                      <w:lang w:val="en-US" w:eastAsia="zh-CN" w:bidi="ar"/>
                    </w:rPr>
                    <w:t>条彩砂生产线及钙粉生产线。</w:t>
                  </w:r>
                  <w:r>
                    <w:rPr>
                      <w:rFonts w:hint="eastAsia" w:cs="Times New Roman"/>
                      <w:color w:val="auto"/>
                      <w:sz w:val="21"/>
                      <w:szCs w:val="21"/>
                      <w:highlight w:val="none"/>
                      <w:lang w:val="en-US" w:eastAsia="zh-CN" w:bidi="ar"/>
                    </w:rPr>
                    <w:t>车间现有给料机、破碎机、制砂机、雷蒙机和包装机等设备，生产规模为</w:t>
                  </w:r>
                  <w:r>
                    <w:rPr>
                      <w:rFonts w:hint="default" w:ascii="Times New Roman" w:hAnsi="Times New Roman" w:eastAsia="宋体" w:cs="Times New Roman"/>
                      <w:color w:val="auto"/>
                      <w:sz w:val="21"/>
                      <w:szCs w:val="21"/>
                      <w:highlight w:val="none"/>
                      <w:lang w:eastAsia="zh-CN" w:bidi="ar"/>
                    </w:rPr>
                    <w:t>天然彩砂</w:t>
                  </w:r>
                  <w:r>
                    <w:rPr>
                      <w:rFonts w:hint="default" w:ascii="Times New Roman" w:hAnsi="Times New Roman" w:eastAsia="宋体" w:cs="Times New Roman"/>
                      <w:color w:val="auto"/>
                      <w:sz w:val="21"/>
                      <w:szCs w:val="21"/>
                      <w:highlight w:val="none"/>
                      <w:lang w:val="en-US" w:eastAsia="zh-CN" w:bidi="ar"/>
                    </w:rPr>
                    <w:t>30</w:t>
                  </w:r>
                  <w:r>
                    <w:rPr>
                      <w:rFonts w:hint="default" w:ascii="Times New Roman" w:hAnsi="Times New Roman" w:eastAsia="宋体" w:cs="Times New Roman"/>
                      <w:color w:val="auto"/>
                      <w:sz w:val="21"/>
                      <w:szCs w:val="21"/>
                      <w:highlight w:val="none"/>
                      <w:lang w:bidi="ar"/>
                    </w:rPr>
                    <w:t>万吨/年，</w:t>
                  </w:r>
                  <w:r>
                    <w:rPr>
                      <w:rFonts w:hint="default" w:ascii="Times New Roman" w:hAnsi="Times New Roman" w:eastAsia="宋体" w:cs="Times New Roman"/>
                      <w:color w:val="auto"/>
                      <w:sz w:val="21"/>
                      <w:szCs w:val="21"/>
                      <w:highlight w:val="none"/>
                      <w:lang w:eastAsia="zh-CN" w:bidi="ar"/>
                    </w:rPr>
                    <w:t>钙粉</w:t>
                  </w:r>
                  <w:r>
                    <w:rPr>
                      <w:rFonts w:hint="default" w:ascii="Times New Roman" w:hAnsi="Times New Roman" w:eastAsia="宋体" w:cs="Times New Roman"/>
                      <w:color w:val="auto"/>
                      <w:sz w:val="21"/>
                      <w:szCs w:val="21"/>
                      <w:highlight w:val="none"/>
                      <w:lang w:val="en-US" w:eastAsia="zh-CN" w:bidi="ar"/>
                    </w:rPr>
                    <w:t>5</w:t>
                  </w:r>
                  <w:r>
                    <w:rPr>
                      <w:rFonts w:hint="default" w:ascii="Times New Roman" w:hAnsi="Times New Roman" w:eastAsia="宋体" w:cs="Times New Roman"/>
                      <w:color w:val="auto"/>
                      <w:sz w:val="21"/>
                      <w:szCs w:val="21"/>
                      <w:highlight w:val="none"/>
                      <w:lang w:bidi="ar"/>
                    </w:rPr>
                    <w:t>万吨/年。</w:t>
                  </w:r>
                </w:p>
              </w:tc>
              <w:tc>
                <w:tcPr>
                  <w:tcW w:w="2549" w:type="dxa"/>
                  <w:tcBorders>
                    <w:left w:val="single" w:color="auto" w:sz="4" w:space="0"/>
                    <w:tl2br w:val="nil"/>
                    <w:tr2bl w:val="nil"/>
                  </w:tcBorders>
                  <w:noWrap w:val="0"/>
                  <w:vAlign w:val="center"/>
                </w:tcPr>
                <w:p w14:paraId="6D93586C">
                  <w:pPr>
                    <w:pStyle w:val="10"/>
                    <w:ind w:left="0" w:leftChars="0" w:firstLine="0" w:firstLineChars="0"/>
                    <w:rPr>
                      <w:rFonts w:hint="eastAsia" w:cs="Times New Roman"/>
                      <w:color w:val="auto"/>
                      <w:sz w:val="21"/>
                      <w:szCs w:val="21"/>
                      <w:highlight w:val="none"/>
                      <w:lang w:eastAsia="zh-CN" w:bidi="ar"/>
                    </w:rPr>
                  </w:pPr>
                  <w:r>
                    <w:rPr>
                      <w:rFonts w:hint="eastAsia" w:cs="Times New Roman"/>
                      <w:color w:val="auto"/>
                      <w:sz w:val="21"/>
                      <w:szCs w:val="21"/>
                      <w:highlight w:val="none"/>
                      <w:lang w:eastAsia="zh-CN" w:bidi="ar"/>
                    </w:rPr>
                    <w:t>本次计划在车间内闲置区域增设</w:t>
                  </w:r>
                  <w:r>
                    <w:rPr>
                      <w:rFonts w:hint="eastAsia" w:cs="Times New Roman"/>
                      <w:color w:val="auto"/>
                      <w:sz w:val="21"/>
                      <w:szCs w:val="21"/>
                      <w:highlight w:val="none"/>
                      <w:lang w:val="en-US" w:eastAsia="zh-CN" w:bidi="ar"/>
                    </w:rPr>
                    <w:t>石膏粉、腻子粉和砂浆生产线各一条，各生产线均配备搅拌机、提升机和自动包装机设备，预计年产腻子粉12万吨、石膏粉8万吨、砂浆6万吨。</w:t>
                  </w:r>
                </w:p>
              </w:tc>
              <w:tc>
                <w:tcPr>
                  <w:tcW w:w="1316" w:type="dxa"/>
                  <w:tcBorders>
                    <w:tl2br w:val="nil"/>
                    <w:tr2bl w:val="nil"/>
                  </w:tcBorders>
                  <w:noWrap w:val="0"/>
                  <w:vAlign w:val="center"/>
                </w:tcPr>
                <w:p w14:paraId="03D9AE8E">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现有生产设施及规模不变，本次在车间内闲置区域新增石膏粉、腻子粉和砂浆生产线各一条</w:t>
                  </w:r>
                </w:p>
              </w:tc>
            </w:tr>
            <w:tr w14:paraId="02B564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979" w:type="dxa"/>
                  <w:vMerge w:val="restart"/>
                  <w:tcBorders>
                    <w:tl2br w:val="nil"/>
                    <w:tr2bl w:val="nil"/>
                  </w:tcBorders>
                  <w:noWrap w:val="0"/>
                  <w:vAlign w:val="center"/>
                </w:tcPr>
                <w:p w14:paraId="274FFA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w:t>
                  </w:r>
                </w:p>
                <w:p w14:paraId="2658AF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896" w:type="dxa"/>
                  <w:tcBorders>
                    <w:tl2br w:val="nil"/>
                    <w:tr2bl w:val="nil"/>
                  </w:tcBorders>
                  <w:noWrap w:val="0"/>
                  <w:vAlign w:val="center"/>
                </w:tcPr>
                <w:p w14:paraId="4250AB71">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原料</w:t>
                  </w:r>
                </w:p>
                <w:p w14:paraId="5D641790">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堆场</w:t>
                  </w:r>
                </w:p>
              </w:tc>
              <w:tc>
                <w:tcPr>
                  <w:tcW w:w="2792" w:type="dxa"/>
                  <w:tcBorders>
                    <w:right w:val="single" w:color="auto" w:sz="4" w:space="0"/>
                    <w:tl2br w:val="nil"/>
                    <w:tr2bl w:val="nil"/>
                  </w:tcBorders>
                  <w:noWrap w:val="0"/>
                  <w:vAlign w:val="center"/>
                </w:tcPr>
                <w:p w14:paraId="0A5EF246">
                  <w:pPr>
                    <w:pStyle w:val="103"/>
                    <w:snapToGrid w:val="0"/>
                    <w:jc w:val="left"/>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1"/>
                      <w:highlight w:val="none"/>
                      <w:lang w:eastAsia="zh-CN"/>
                    </w:rPr>
                    <w:t>现有原料堆场</w:t>
                  </w:r>
                  <w:r>
                    <w:rPr>
                      <w:rFonts w:hint="default" w:ascii="Times New Roman" w:hAnsi="Times New Roman" w:cs="Times New Roman"/>
                      <w:color w:val="auto"/>
                      <w:kern w:val="2"/>
                      <w:sz w:val="21"/>
                      <w:szCs w:val="21"/>
                      <w:highlight w:val="none"/>
                    </w:rPr>
                    <w:t>位于</w:t>
                  </w:r>
                  <w:r>
                    <w:rPr>
                      <w:rFonts w:hint="default" w:ascii="Times New Roman" w:hAnsi="Times New Roman" w:cs="Times New Roman"/>
                      <w:color w:val="auto"/>
                      <w:kern w:val="2"/>
                      <w:sz w:val="21"/>
                      <w:szCs w:val="21"/>
                      <w:highlight w:val="none"/>
                      <w:lang w:val="en-US" w:eastAsia="zh-CN"/>
                    </w:rPr>
                    <w:t>厂区</w:t>
                  </w:r>
                  <w:r>
                    <w:rPr>
                      <w:rFonts w:hint="eastAsia" w:ascii="Times New Roman" w:hAnsi="Times New Roman" w:cs="Times New Roman"/>
                      <w:color w:val="auto"/>
                      <w:kern w:val="2"/>
                      <w:sz w:val="21"/>
                      <w:szCs w:val="21"/>
                      <w:highlight w:val="none"/>
                      <w:lang w:val="en-US" w:eastAsia="zh-CN"/>
                    </w:rPr>
                    <w:t>东</w:t>
                  </w:r>
                  <w:r>
                    <w:rPr>
                      <w:rFonts w:hint="default" w:ascii="Times New Roman" w:hAnsi="Times New Roman" w:cs="Times New Roman"/>
                      <w:color w:val="auto"/>
                      <w:kern w:val="2"/>
                      <w:sz w:val="21"/>
                      <w:szCs w:val="21"/>
                      <w:highlight w:val="none"/>
                    </w:rPr>
                    <w:t>侧，</w:t>
                  </w:r>
                  <w:r>
                    <w:rPr>
                      <w:rFonts w:hint="eastAsia" w:ascii="Times New Roman" w:hAnsi="Times New Roman" w:cs="Times New Roman"/>
                      <w:color w:val="auto"/>
                      <w:kern w:val="2"/>
                      <w:sz w:val="21"/>
                      <w:szCs w:val="21"/>
                      <w:highlight w:val="none"/>
                      <w:lang w:eastAsia="zh-CN"/>
                    </w:rPr>
                    <w:t>主要</w:t>
                  </w:r>
                  <w:r>
                    <w:rPr>
                      <w:rFonts w:hint="default" w:ascii="Times New Roman" w:hAnsi="Times New Roman" w:cs="Times New Roman"/>
                      <w:color w:val="auto"/>
                      <w:kern w:val="2"/>
                      <w:sz w:val="21"/>
                      <w:szCs w:val="21"/>
                      <w:highlight w:val="none"/>
                    </w:rPr>
                    <w:t>用于储存购买的</w:t>
                  </w:r>
                  <w:r>
                    <w:rPr>
                      <w:rFonts w:hint="default" w:ascii="Times New Roman" w:hAnsi="Times New Roman" w:cs="Times New Roman"/>
                      <w:color w:val="auto"/>
                      <w:kern w:val="2"/>
                      <w:sz w:val="21"/>
                      <w:szCs w:val="21"/>
                      <w:highlight w:val="none"/>
                      <w:lang w:val="en-US" w:eastAsia="zh-CN"/>
                    </w:rPr>
                    <w:t>矿石等</w:t>
                  </w:r>
                  <w:r>
                    <w:rPr>
                      <w:rFonts w:hint="default" w:ascii="Times New Roman" w:hAnsi="Times New Roman" w:cs="Times New Roman"/>
                      <w:color w:val="auto"/>
                      <w:kern w:val="2"/>
                      <w:sz w:val="21"/>
                      <w:szCs w:val="21"/>
                      <w:highlight w:val="none"/>
                    </w:rPr>
                    <w:t>，占地面积约</w:t>
                  </w:r>
                  <w:r>
                    <w:rPr>
                      <w:rFonts w:hint="default" w:ascii="Times New Roman" w:hAnsi="Times New Roman" w:cs="Times New Roman"/>
                      <w:color w:val="auto"/>
                      <w:kern w:val="2"/>
                      <w:sz w:val="21"/>
                      <w:szCs w:val="21"/>
                      <w:highlight w:val="none"/>
                      <w:lang w:val="en-US" w:eastAsia="zh-CN"/>
                    </w:rPr>
                    <w:t>2000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default" w:ascii="Times New Roman" w:hAnsi="Times New Roman" w:cs="Times New Roman"/>
                      <w:color w:val="auto"/>
                      <w:kern w:val="2"/>
                      <w:sz w:val="21"/>
                      <w:szCs w:val="21"/>
                      <w:highlight w:val="none"/>
                    </w:rPr>
                    <w:t>。</w:t>
                  </w:r>
                </w:p>
              </w:tc>
              <w:tc>
                <w:tcPr>
                  <w:tcW w:w="2549" w:type="dxa"/>
                  <w:tcBorders>
                    <w:left w:val="single" w:color="auto" w:sz="4" w:space="0"/>
                    <w:tl2br w:val="nil"/>
                    <w:tr2bl w:val="nil"/>
                  </w:tcBorders>
                  <w:noWrap w:val="0"/>
                  <w:vAlign w:val="center"/>
                </w:tcPr>
                <w:p w14:paraId="1A58DDB4">
                  <w:pPr>
                    <w:pStyle w:val="103"/>
                    <w:snapToGrid w:val="0"/>
                    <w:jc w:val="left"/>
                    <w:rPr>
                      <w:rFonts w:hint="eastAsia" w:ascii="Times New Roman" w:hAnsi="Times New Roman"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本次计划在厂区西侧新增原料堆场一个，占地</w:t>
                  </w:r>
                  <w:r>
                    <w:rPr>
                      <w:rFonts w:hint="default" w:ascii="Times New Roman" w:hAnsi="Times New Roman" w:cs="Times New Roman"/>
                      <w:color w:val="auto"/>
                      <w:kern w:val="2"/>
                      <w:sz w:val="21"/>
                      <w:szCs w:val="21"/>
                      <w:highlight w:val="none"/>
                    </w:rPr>
                    <w:t>约</w:t>
                  </w: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cs="Times New Roman"/>
                      <w:color w:val="auto"/>
                      <w:kern w:val="2"/>
                      <w:sz w:val="21"/>
                      <w:szCs w:val="21"/>
                      <w:highlight w:val="none"/>
                      <w:lang w:val="en-US" w:eastAsia="zh-CN"/>
                    </w:rPr>
                    <w:t>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eastAsia" w:ascii="Times New Roman" w:hAnsi="Times New Roman" w:cs="Times New Roman"/>
                      <w:color w:val="auto"/>
                      <w:kern w:val="2"/>
                      <w:sz w:val="21"/>
                      <w:szCs w:val="21"/>
                      <w:highlight w:val="none"/>
                      <w:vertAlign w:val="baseline"/>
                      <w:lang w:eastAsia="zh-CN"/>
                    </w:rPr>
                    <w:t>，后期用于堆存石膏粉、腻子粉和砂浆生产的原料。</w:t>
                  </w:r>
                </w:p>
              </w:tc>
              <w:tc>
                <w:tcPr>
                  <w:tcW w:w="1316" w:type="dxa"/>
                  <w:tcBorders>
                    <w:tl2br w:val="nil"/>
                    <w:tr2bl w:val="nil"/>
                  </w:tcBorders>
                  <w:noWrap w:val="0"/>
                  <w:vAlign w:val="center"/>
                </w:tcPr>
                <w:p w14:paraId="6ABBC22D">
                  <w:pPr>
                    <w:pStyle w:val="103"/>
                    <w:snapToGrid w:val="0"/>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现有堆场不变，本次计划新增堆场一个</w:t>
                  </w:r>
                </w:p>
              </w:tc>
            </w:tr>
            <w:tr w14:paraId="4E329D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979" w:type="dxa"/>
                  <w:vMerge w:val="continue"/>
                  <w:tcBorders>
                    <w:tl2br w:val="nil"/>
                    <w:tr2bl w:val="nil"/>
                  </w:tcBorders>
                  <w:noWrap w:val="0"/>
                  <w:vAlign w:val="center"/>
                </w:tcPr>
                <w:p w14:paraId="1D959F08">
                  <w:pPr>
                    <w:jc w:val="cente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2EC74CB2">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成品</w:t>
                  </w:r>
                </w:p>
                <w:p w14:paraId="2E8CCE4A">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堆场</w:t>
                  </w:r>
                </w:p>
              </w:tc>
              <w:tc>
                <w:tcPr>
                  <w:tcW w:w="2792" w:type="dxa"/>
                  <w:tcBorders>
                    <w:right w:val="single" w:color="auto" w:sz="4" w:space="0"/>
                    <w:tl2br w:val="nil"/>
                    <w:tr2bl w:val="nil"/>
                  </w:tcBorders>
                  <w:noWrap w:val="0"/>
                  <w:vAlign w:val="center"/>
                </w:tcPr>
                <w:p w14:paraId="78056ECB">
                  <w:pPr>
                    <w:pStyle w:val="103"/>
                    <w:snapToGrid w:val="0"/>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eastAsia="zh-CN"/>
                    </w:rPr>
                    <w:t>现有成品堆场位于生产车间内部东南角，占地约</w:t>
                  </w:r>
                  <w:r>
                    <w:rPr>
                      <w:rFonts w:hint="eastAsia" w:ascii="Times New Roman" w:hAnsi="Times New Roman" w:cs="Times New Roman"/>
                      <w:color w:val="auto"/>
                      <w:kern w:val="2"/>
                      <w:sz w:val="21"/>
                      <w:szCs w:val="21"/>
                      <w:highlight w:val="none"/>
                      <w:lang w:val="en-US" w:eastAsia="zh-CN"/>
                    </w:rPr>
                    <w:t>1800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eastAsia" w:ascii="Times New Roman" w:hAnsi="Times New Roman" w:cs="Times New Roman"/>
                      <w:color w:val="auto"/>
                      <w:kern w:val="2"/>
                      <w:sz w:val="21"/>
                      <w:szCs w:val="21"/>
                      <w:highlight w:val="none"/>
                      <w:vertAlign w:val="baseline"/>
                      <w:lang w:eastAsia="zh-CN"/>
                    </w:rPr>
                    <w:t>，主要堆存有彩砂和钙粉。</w:t>
                  </w:r>
                </w:p>
              </w:tc>
              <w:tc>
                <w:tcPr>
                  <w:tcW w:w="2549" w:type="dxa"/>
                  <w:tcBorders>
                    <w:left w:val="single" w:color="auto" w:sz="4" w:space="0"/>
                    <w:tl2br w:val="nil"/>
                    <w:tr2bl w:val="nil"/>
                  </w:tcBorders>
                  <w:noWrap w:val="0"/>
                  <w:vAlign w:val="center"/>
                </w:tcPr>
                <w:p w14:paraId="4D61A507">
                  <w:pPr>
                    <w:pStyle w:val="103"/>
                    <w:snapToGrid w:val="0"/>
                    <w:jc w:val="left"/>
                    <w:rPr>
                      <w:rFonts w:hint="eastAsia" w:ascii="Times New Roman" w:hAnsi="Times New Roman"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由于现有成品堆场尚有近一半的闲置空间，故本次新增的产品依然堆存于该区域，根据订单情况，及时外售处置。</w:t>
                  </w:r>
                </w:p>
              </w:tc>
              <w:tc>
                <w:tcPr>
                  <w:tcW w:w="1316" w:type="dxa"/>
                  <w:tcBorders>
                    <w:tl2br w:val="nil"/>
                    <w:tr2bl w:val="nil"/>
                  </w:tcBorders>
                  <w:noWrap w:val="0"/>
                  <w:vAlign w:val="center"/>
                </w:tcPr>
                <w:p w14:paraId="630A228D">
                  <w:pPr>
                    <w:pStyle w:val="103"/>
                    <w:snapToGrid w:val="0"/>
                    <w:jc w:val="center"/>
                    <w:rPr>
                      <w:rFonts w:hint="default" w:ascii="Times New Roman" w:hAnsi="Times New Roman"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无变动</w:t>
                  </w:r>
                </w:p>
              </w:tc>
            </w:tr>
            <w:tr w14:paraId="31DA65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979" w:type="dxa"/>
                  <w:vMerge w:val="continue"/>
                  <w:tcBorders>
                    <w:tl2br w:val="nil"/>
                    <w:tr2bl w:val="nil"/>
                  </w:tcBorders>
                  <w:noWrap w:val="0"/>
                  <w:vAlign w:val="center"/>
                </w:tcPr>
                <w:p w14:paraId="6CCFDD5A">
                  <w:pPr>
                    <w:jc w:val="cente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5CE551C2">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办公</w:t>
                  </w:r>
                </w:p>
                <w:p w14:paraId="18AFE301">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生活区</w:t>
                  </w:r>
                </w:p>
              </w:tc>
              <w:tc>
                <w:tcPr>
                  <w:tcW w:w="5341" w:type="dxa"/>
                  <w:gridSpan w:val="2"/>
                  <w:tcBorders>
                    <w:tl2br w:val="nil"/>
                    <w:tr2bl w:val="nil"/>
                  </w:tcBorders>
                  <w:noWrap w:val="0"/>
                  <w:vAlign w:val="center"/>
                </w:tcPr>
                <w:p w14:paraId="1B89FE1F">
                  <w:pPr>
                    <w:pStyle w:val="103"/>
                    <w:snapToGrid w:val="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位于厂区北侧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1F</w:t>
                  </w:r>
                  <w:r>
                    <w:rPr>
                      <w:rFonts w:hint="eastAsia" w:ascii="Times New Roman" w:hAnsi="Times New Roman" w:cs="Times New Roman"/>
                      <w:color w:val="auto"/>
                      <w:sz w:val="21"/>
                      <w:szCs w:val="21"/>
                      <w:highlight w:val="none"/>
                      <w:lang w:eastAsia="zh-CN"/>
                    </w:rPr>
                    <w:t>，活动板房结构。</w:t>
                  </w:r>
                  <w:r>
                    <w:rPr>
                      <w:rFonts w:hint="default" w:ascii="Times New Roman" w:hAnsi="Times New Roman" w:cs="Times New Roman"/>
                      <w:color w:val="auto"/>
                      <w:sz w:val="21"/>
                      <w:szCs w:val="21"/>
                      <w:highlight w:val="none"/>
                    </w:rPr>
                    <w:t>占地</w:t>
                  </w:r>
                  <w:r>
                    <w:rPr>
                      <w:rFonts w:hint="eastAsia" w:ascii="Times New Roman" w:hAnsi="Times New Roman" w:cs="Times New Roman"/>
                      <w:color w:val="auto"/>
                      <w:sz w:val="21"/>
                      <w:szCs w:val="21"/>
                      <w:highlight w:val="none"/>
                      <w:lang w:eastAsia="zh-CN"/>
                    </w:rPr>
                    <w:t>面积</w:t>
                  </w:r>
                  <w:r>
                    <w:rPr>
                      <w:rFonts w:hint="default" w:ascii="Times New Roman" w:hAnsi="Times New Roman" w:cs="Times New Roman"/>
                      <w:color w:val="auto"/>
                      <w:sz w:val="21"/>
                      <w:szCs w:val="21"/>
                      <w:highlight w:val="none"/>
                    </w:rPr>
                    <w:t>约</w:t>
                  </w:r>
                  <w:r>
                    <w:rPr>
                      <w:rFonts w:hint="eastAsia" w:ascii="Times New Roman" w:hAnsi="Times New Roman" w:cs="Times New Roman"/>
                      <w:color w:val="auto"/>
                      <w:sz w:val="21"/>
                      <w:szCs w:val="21"/>
                      <w:highlight w:val="none"/>
                      <w:lang w:val="en-US" w:eastAsia="zh-CN"/>
                    </w:rPr>
                    <w:t>1000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，设有食堂</w:t>
                  </w:r>
                  <w:r>
                    <w:rPr>
                      <w:rFonts w:hint="eastAsia" w:ascii="Times New Roman" w:hAnsi="Times New Roman" w:cs="Times New Roman"/>
                      <w:color w:val="auto"/>
                      <w:sz w:val="21"/>
                      <w:szCs w:val="21"/>
                      <w:highlight w:val="none"/>
                      <w:lang w:eastAsia="zh-CN"/>
                    </w:rPr>
                    <w:t>、办公及会议区</w:t>
                  </w:r>
                  <w:r>
                    <w:rPr>
                      <w:rFonts w:hint="default" w:ascii="Times New Roman" w:hAnsi="Times New Roman" w:cs="Times New Roman"/>
                      <w:color w:val="auto"/>
                      <w:sz w:val="21"/>
                      <w:szCs w:val="21"/>
                      <w:highlight w:val="none"/>
                      <w:lang w:eastAsia="zh-CN"/>
                    </w:rPr>
                    <w:t>。</w:t>
                  </w:r>
                </w:p>
              </w:tc>
              <w:tc>
                <w:tcPr>
                  <w:tcW w:w="1316" w:type="dxa"/>
                  <w:tcBorders>
                    <w:tl2br w:val="nil"/>
                    <w:tr2bl w:val="nil"/>
                  </w:tcBorders>
                  <w:noWrap w:val="0"/>
                  <w:vAlign w:val="center"/>
                </w:tcPr>
                <w:p w14:paraId="0C11D32C">
                  <w:pPr>
                    <w:pStyle w:val="103"/>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bidi="ar"/>
                    </w:rPr>
                    <w:t>无变动</w:t>
                  </w:r>
                </w:p>
              </w:tc>
            </w:tr>
            <w:tr w14:paraId="56A6CA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979" w:type="dxa"/>
                  <w:vMerge w:val="restart"/>
                  <w:tcBorders>
                    <w:tl2br w:val="nil"/>
                    <w:tr2bl w:val="nil"/>
                  </w:tcBorders>
                  <w:noWrap w:val="0"/>
                  <w:vAlign w:val="center"/>
                </w:tcPr>
                <w:p w14:paraId="7F94F49F">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公用</w:t>
                  </w:r>
                </w:p>
                <w:p w14:paraId="5AEACD6C">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工程</w:t>
                  </w:r>
                </w:p>
              </w:tc>
              <w:tc>
                <w:tcPr>
                  <w:tcW w:w="896" w:type="dxa"/>
                  <w:tcBorders>
                    <w:tl2br w:val="nil"/>
                    <w:tr2bl w:val="nil"/>
                  </w:tcBorders>
                  <w:noWrap w:val="0"/>
                  <w:vAlign w:val="center"/>
                </w:tcPr>
                <w:p w14:paraId="0199436D">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供水</w:t>
                  </w:r>
                </w:p>
              </w:tc>
              <w:tc>
                <w:tcPr>
                  <w:tcW w:w="5341" w:type="dxa"/>
                  <w:gridSpan w:val="2"/>
                  <w:tcBorders>
                    <w:tl2br w:val="nil"/>
                    <w:tr2bl w:val="nil"/>
                  </w:tcBorders>
                  <w:noWrap w:val="0"/>
                  <w:vAlign w:val="center"/>
                </w:tcPr>
                <w:p w14:paraId="3A0202E4">
                  <w:pPr>
                    <w:rPr>
                      <w:rFonts w:hint="eastAsia"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生产</w:t>
                  </w:r>
                  <w:r>
                    <w:rPr>
                      <w:rFonts w:hint="default" w:ascii="Times New Roman" w:hAnsi="Times New Roman" w:eastAsia="宋体" w:cs="Times New Roman"/>
                      <w:color w:val="auto"/>
                      <w:sz w:val="21"/>
                      <w:szCs w:val="21"/>
                      <w:highlight w:val="none"/>
                      <w:lang w:eastAsia="zh-CN" w:bidi="ar"/>
                    </w:rPr>
                    <w:t>生活</w:t>
                  </w:r>
                  <w:r>
                    <w:rPr>
                      <w:rFonts w:hint="default" w:ascii="Times New Roman" w:hAnsi="Times New Roman" w:eastAsia="宋体" w:cs="Times New Roman"/>
                      <w:color w:val="auto"/>
                      <w:sz w:val="21"/>
                      <w:szCs w:val="21"/>
                      <w:highlight w:val="none"/>
                      <w:lang w:bidi="ar"/>
                    </w:rPr>
                    <w:t>用水</w:t>
                  </w:r>
                  <w:r>
                    <w:rPr>
                      <w:rFonts w:hint="eastAsia" w:cs="Times New Roman"/>
                      <w:color w:val="auto"/>
                      <w:sz w:val="21"/>
                      <w:szCs w:val="21"/>
                      <w:highlight w:val="none"/>
                      <w:lang w:eastAsia="zh-CN" w:bidi="ar"/>
                    </w:rPr>
                    <w:t>由</w:t>
                  </w:r>
                  <w:r>
                    <w:rPr>
                      <w:rFonts w:hint="eastAsia" w:cs="Times New Roman"/>
                      <w:color w:val="auto"/>
                      <w:sz w:val="21"/>
                      <w:szCs w:val="21"/>
                      <w:highlight w:val="none"/>
                      <w:lang w:val="en-US" w:eastAsia="zh-CN" w:bidi="ar"/>
                    </w:rPr>
                    <w:t>园区给水</w:t>
                  </w:r>
                  <w:r>
                    <w:rPr>
                      <w:rFonts w:hint="default" w:ascii="Times New Roman" w:hAnsi="Times New Roman" w:eastAsia="宋体" w:cs="Times New Roman"/>
                      <w:color w:val="auto"/>
                      <w:sz w:val="21"/>
                      <w:szCs w:val="21"/>
                      <w:highlight w:val="none"/>
                      <w:lang w:val="en-US" w:eastAsia="zh-CN" w:bidi="ar"/>
                    </w:rPr>
                    <w:t>管网</w:t>
                  </w:r>
                  <w:r>
                    <w:rPr>
                      <w:rFonts w:hint="eastAsia" w:cs="Times New Roman"/>
                      <w:color w:val="auto"/>
                      <w:sz w:val="21"/>
                      <w:szCs w:val="21"/>
                      <w:highlight w:val="none"/>
                      <w:lang w:val="en-US" w:eastAsia="zh-CN" w:bidi="ar"/>
                    </w:rPr>
                    <w:t>提供</w:t>
                  </w:r>
                  <w:r>
                    <w:rPr>
                      <w:rFonts w:hint="default" w:ascii="Times New Roman" w:hAnsi="Times New Roman" w:eastAsia="宋体" w:cs="Times New Roman"/>
                      <w:color w:val="auto"/>
                      <w:sz w:val="21"/>
                      <w:szCs w:val="21"/>
                      <w:highlight w:val="none"/>
                      <w:lang w:bidi="ar"/>
                    </w:rPr>
                    <w:t>。</w:t>
                  </w:r>
                </w:p>
              </w:tc>
              <w:tc>
                <w:tcPr>
                  <w:tcW w:w="1316" w:type="dxa"/>
                  <w:tcBorders>
                    <w:tl2br w:val="nil"/>
                    <w:tr2bl w:val="nil"/>
                  </w:tcBorders>
                  <w:noWrap w:val="0"/>
                  <w:vAlign w:val="center"/>
                </w:tcPr>
                <w:p w14:paraId="368C522C">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无变动</w:t>
                  </w:r>
                </w:p>
              </w:tc>
            </w:tr>
            <w:tr w14:paraId="7490D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979" w:type="dxa"/>
                  <w:vMerge w:val="continue"/>
                  <w:tcBorders>
                    <w:tl2br w:val="nil"/>
                    <w:tr2bl w:val="nil"/>
                  </w:tcBorders>
                  <w:noWrap w:val="0"/>
                  <w:vAlign w:val="center"/>
                </w:tcPr>
                <w:p w14:paraId="0CF3BC06">
                  <w:pP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00DDBE69">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供电</w:t>
                  </w:r>
                </w:p>
              </w:tc>
              <w:tc>
                <w:tcPr>
                  <w:tcW w:w="5341" w:type="dxa"/>
                  <w:gridSpan w:val="2"/>
                  <w:tcBorders>
                    <w:tl2br w:val="nil"/>
                    <w:tr2bl w:val="nil"/>
                  </w:tcBorders>
                  <w:noWrap w:val="0"/>
                  <w:vAlign w:val="center"/>
                </w:tcPr>
                <w:p w14:paraId="52696D39">
                  <w:pPr>
                    <w:rPr>
                      <w:rFonts w:hint="eastAsia" w:cs="Times New Roman"/>
                      <w:color w:val="auto"/>
                      <w:sz w:val="21"/>
                      <w:szCs w:val="21"/>
                      <w:highlight w:val="none"/>
                      <w:lang w:eastAsia="zh-CN" w:bidi="ar"/>
                    </w:rPr>
                  </w:pPr>
                  <w:r>
                    <w:rPr>
                      <w:rFonts w:hint="eastAsia" w:cs="Times New Roman"/>
                      <w:color w:val="auto"/>
                      <w:sz w:val="21"/>
                      <w:szCs w:val="21"/>
                      <w:highlight w:val="none"/>
                      <w:lang w:eastAsia="zh-CN" w:bidi="ar"/>
                    </w:rPr>
                    <w:t>由园区供电系统提供</w:t>
                  </w:r>
                  <w:r>
                    <w:rPr>
                      <w:rFonts w:hint="default" w:ascii="Times New Roman" w:hAnsi="Times New Roman" w:eastAsia="宋体" w:cs="Times New Roman"/>
                      <w:color w:val="auto"/>
                      <w:sz w:val="21"/>
                      <w:szCs w:val="21"/>
                      <w:highlight w:val="none"/>
                      <w:lang w:bidi="ar"/>
                    </w:rPr>
                    <w:t>，厂区设置10kv配电室，供给生产用电。</w:t>
                  </w:r>
                </w:p>
              </w:tc>
              <w:tc>
                <w:tcPr>
                  <w:tcW w:w="1316" w:type="dxa"/>
                  <w:tcBorders>
                    <w:tl2br w:val="nil"/>
                    <w:tr2bl w:val="nil"/>
                  </w:tcBorders>
                  <w:noWrap w:val="0"/>
                  <w:vAlign w:val="center"/>
                </w:tcPr>
                <w:p w14:paraId="48A77C2D">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无变动</w:t>
                  </w:r>
                </w:p>
              </w:tc>
            </w:tr>
            <w:tr w14:paraId="0C2E9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979" w:type="dxa"/>
                  <w:vMerge w:val="continue"/>
                  <w:tcBorders>
                    <w:tl2br w:val="nil"/>
                    <w:tr2bl w:val="nil"/>
                  </w:tcBorders>
                  <w:noWrap w:val="0"/>
                  <w:vAlign w:val="center"/>
                </w:tcPr>
                <w:p w14:paraId="50787BBD">
                  <w:pP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224D3AB9">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排水</w:t>
                  </w:r>
                </w:p>
              </w:tc>
              <w:tc>
                <w:tcPr>
                  <w:tcW w:w="5341" w:type="dxa"/>
                  <w:gridSpan w:val="2"/>
                  <w:tcBorders>
                    <w:tl2br w:val="nil"/>
                    <w:tr2bl w:val="nil"/>
                  </w:tcBorders>
                  <w:noWrap w:val="0"/>
                  <w:vAlign w:val="center"/>
                </w:tcPr>
                <w:p w14:paraId="32313EC2">
                  <w:pPr>
                    <w:rPr>
                      <w:rFonts w:hint="eastAsia" w:cs="Times New Roman"/>
                      <w:color w:val="auto"/>
                      <w:sz w:val="21"/>
                      <w:szCs w:val="21"/>
                      <w:highlight w:val="none"/>
                      <w:lang w:eastAsia="zh-CN" w:bidi="ar"/>
                    </w:rPr>
                  </w:pPr>
                  <w:r>
                    <w:rPr>
                      <w:rFonts w:hint="eastAsia" w:cs="Times New Roman"/>
                      <w:color w:val="auto"/>
                      <w:sz w:val="21"/>
                      <w:szCs w:val="21"/>
                      <w:highlight w:val="none"/>
                      <w:lang w:eastAsia="zh-CN" w:bidi="ar"/>
                    </w:rPr>
                    <w:t>厂区现实行</w:t>
                  </w:r>
                  <w:r>
                    <w:rPr>
                      <w:rFonts w:hint="default" w:ascii="Times New Roman" w:hAnsi="Times New Roman" w:eastAsia="宋体" w:cs="Times New Roman"/>
                      <w:color w:val="auto"/>
                      <w:sz w:val="21"/>
                      <w:szCs w:val="21"/>
                      <w:highlight w:val="none"/>
                      <w:lang w:bidi="ar"/>
                    </w:rPr>
                    <w:t>采取雨污分流</w:t>
                  </w:r>
                  <w:r>
                    <w:rPr>
                      <w:rFonts w:hint="eastAsia" w:cs="Times New Roman"/>
                      <w:color w:val="auto"/>
                      <w:sz w:val="21"/>
                      <w:szCs w:val="21"/>
                      <w:highlight w:val="none"/>
                      <w:lang w:eastAsia="zh-CN" w:bidi="ar"/>
                    </w:rPr>
                    <w:t>措施</w:t>
                  </w:r>
                  <w:r>
                    <w:rPr>
                      <w:rFonts w:hint="default" w:ascii="Times New Roman" w:hAnsi="Times New Roman" w:eastAsia="宋体" w:cs="Times New Roman"/>
                      <w:color w:val="auto"/>
                      <w:sz w:val="21"/>
                      <w:szCs w:val="21"/>
                      <w:highlight w:val="none"/>
                      <w:lang w:bidi="ar"/>
                    </w:rPr>
                    <w:t>。雨水经雨水渠外排；餐饮废水经油水分离器处理后，同生活污水一起排入厂区化粪池，处理后用于周边</w:t>
                  </w:r>
                  <w:r>
                    <w:rPr>
                      <w:rFonts w:hint="eastAsia" w:cs="Times New Roman"/>
                      <w:color w:val="auto"/>
                      <w:sz w:val="21"/>
                      <w:szCs w:val="21"/>
                      <w:highlight w:val="none"/>
                      <w:lang w:val="en-US" w:eastAsia="zh-CN" w:bidi="ar"/>
                    </w:rPr>
                    <w:t>农田施肥；洗车废水经配套沉淀池处理后回用，不外排。</w:t>
                  </w:r>
                </w:p>
              </w:tc>
              <w:tc>
                <w:tcPr>
                  <w:tcW w:w="1316" w:type="dxa"/>
                  <w:tcBorders>
                    <w:tl2br w:val="nil"/>
                    <w:tr2bl w:val="nil"/>
                  </w:tcBorders>
                  <w:noWrap w:val="0"/>
                  <w:vAlign w:val="center"/>
                </w:tcPr>
                <w:p w14:paraId="75834036">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无变动</w:t>
                  </w:r>
                </w:p>
              </w:tc>
            </w:tr>
            <w:tr w14:paraId="38746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7" w:hRule="atLeast"/>
                <w:jc w:val="center"/>
              </w:trPr>
              <w:tc>
                <w:tcPr>
                  <w:tcW w:w="979" w:type="dxa"/>
                  <w:vMerge w:val="restart"/>
                  <w:tcBorders>
                    <w:tl2br w:val="nil"/>
                    <w:tr2bl w:val="nil"/>
                  </w:tcBorders>
                  <w:noWrap w:val="0"/>
                  <w:vAlign w:val="center"/>
                </w:tcPr>
                <w:p w14:paraId="71AA2208">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环保</w:t>
                  </w:r>
                </w:p>
                <w:p w14:paraId="6F7A7503">
                  <w:pPr>
                    <w:pStyle w:val="103"/>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工程</w:t>
                  </w:r>
                </w:p>
              </w:tc>
              <w:tc>
                <w:tcPr>
                  <w:tcW w:w="896" w:type="dxa"/>
                  <w:tcBorders>
                    <w:tl2br w:val="nil"/>
                    <w:tr2bl w:val="nil"/>
                  </w:tcBorders>
                  <w:noWrap w:val="0"/>
                  <w:vAlign w:val="center"/>
                </w:tcPr>
                <w:p w14:paraId="0440AE1D">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废水</w:t>
                  </w:r>
                </w:p>
                <w:p w14:paraId="0A0B6A61">
                  <w:pPr>
                    <w:pStyle w:val="103"/>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治理</w:t>
                  </w:r>
                </w:p>
              </w:tc>
              <w:tc>
                <w:tcPr>
                  <w:tcW w:w="5341" w:type="dxa"/>
                  <w:gridSpan w:val="2"/>
                  <w:tcBorders>
                    <w:tl2br w:val="nil"/>
                    <w:tr2bl w:val="nil"/>
                  </w:tcBorders>
                  <w:noWrap w:val="0"/>
                  <w:vAlign w:val="center"/>
                </w:tcPr>
                <w:p w14:paraId="27FA0AC5">
                  <w:pPr>
                    <w:rPr>
                      <w:rFonts w:hint="eastAsia" w:cs="Times New Roman"/>
                      <w:color w:val="auto"/>
                      <w:sz w:val="21"/>
                      <w:szCs w:val="21"/>
                      <w:highlight w:val="none"/>
                      <w:lang w:eastAsia="zh-CN" w:bidi="ar"/>
                    </w:rPr>
                  </w:pPr>
                  <w:r>
                    <w:rPr>
                      <w:rFonts w:hint="eastAsia" w:cs="Times New Roman"/>
                      <w:color w:val="auto"/>
                      <w:sz w:val="21"/>
                      <w:szCs w:val="21"/>
                      <w:highlight w:val="none"/>
                      <w:lang w:eastAsia="zh-CN" w:bidi="ar"/>
                    </w:rPr>
                    <w:t>现有工程与本次新增工程均为干法生产，因此变动前后均无生产废水，故废水处理措施变动前后维持不变，具体为：</w:t>
                  </w:r>
                </w:p>
                <w:p w14:paraId="29B2FF95">
                  <w:pPr>
                    <w:pStyle w:val="10"/>
                    <w:ind w:left="0" w:leftChars="0" w:firstLine="0" w:firstLineChars="0"/>
                    <w:rPr>
                      <w:rFonts w:hint="eastAsia" w:cs="Times New Roman"/>
                      <w:color w:val="auto"/>
                      <w:sz w:val="21"/>
                      <w:szCs w:val="21"/>
                      <w:highlight w:val="none"/>
                      <w:lang w:val="en-US" w:eastAsia="zh-CN" w:bidi="ar"/>
                    </w:rPr>
                  </w:pPr>
                  <w:r>
                    <w:rPr>
                      <w:rFonts w:hint="eastAsia" w:ascii="宋体" w:hAnsi="宋体" w:eastAsia="宋体" w:cs="宋体"/>
                      <w:color w:val="auto"/>
                      <w:sz w:val="21"/>
                      <w:szCs w:val="21"/>
                      <w:highlight w:val="none"/>
                      <w:lang w:eastAsia="zh-CN"/>
                    </w:rPr>
                    <w:t>①</w:t>
                  </w:r>
                  <w:r>
                    <w:rPr>
                      <w:rFonts w:hint="default" w:ascii="Times New Roman" w:hAnsi="Times New Roman" w:eastAsia="宋体" w:cs="Times New Roman"/>
                      <w:color w:val="auto"/>
                      <w:sz w:val="21"/>
                      <w:szCs w:val="21"/>
                      <w:highlight w:val="none"/>
                      <w:lang w:bidi="ar"/>
                    </w:rPr>
                    <w:t>餐饮废水经油水分离器处理后，同生活污水一起排入厂区化粪池，处理后用于周边</w:t>
                  </w:r>
                  <w:r>
                    <w:rPr>
                      <w:rFonts w:hint="eastAsia" w:cs="Times New Roman"/>
                      <w:color w:val="auto"/>
                      <w:sz w:val="21"/>
                      <w:szCs w:val="21"/>
                      <w:highlight w:val="none"/>
                      <w:lang w:val="en-US" w:eastAsia="zh-CN" w:bidi="ar"/>
                    </w:rPr>
                    <w:t>农田施肥；</w:t>
                  </w:r>
                </w:p>
                <w:p w14:paraId="007397B3">
                  <w:pPr>
                    <w:pStyle w:val="10"/>
                    <w:ind w:left="0" w:leftChars="0" w:firstLine="0" w:firstLineChars="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②</w:t>
                  </w:r>
                  <w:r>
                    <w:rPr>
                      <w:rFonts w:hint="eastAsia" w:cs="Times New Roman"/>
                      <w:color w:val="auto"/>
                      <w:sz w:val="21"/>
                      <w:szCs w:val="21"/>
                      <w:highlight w:val="none"/>
                      <w:lang w:val="en-US" w:eastAsia="zh-CN" w:bidi="ar"/>
                    </w:rPr>
                    <w:t>洗车废水经配套沉淀池处理后回用，不外排</w:t>
                  </w:r>
                  <w:r>
                    <w:rPr>
                      <w:rFonts w:hint="default" w:ascii="Times New Roman" w:hAnsi="Times New Roman" w:eastAsia="宋体" w:cs="Times New Roman"/>
                      <w:color w:val="auto"/>
                      <w:sz w:val="21"/>
                      <w:szCs w:val="21"/>
                      <w:highlight w:val="none"/>
                      <w:lang w:bidi="ar"/>
                    </w:rPr>
                    <w:t>。</w:t>
                  </w:r>
                </w:p>
              </w:tc>
              <w:tc>
                <w:tcPr>
                  <w:tcW w:w="1316" w:type="dxa"/>
                  <w:tcBorders>
                    <w:tl2br w:val="nil"/>
                    <w:tr2bl w:val="nil"/>
                  </w:tcBorders>
                  <w:noWrap w:val="0"/>
                  <w:vAlign w:val="center"/>
                </w:tcPr>
                <w:p w14:paraId="64BAB192">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无变动</w:t>
                  </w:r>
                </w:p>
              </w:tc>
            </w:tr>
            <w:tr w14:paraId="56FD38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9" w:hRule="atLeast"/>
                <w:jc w:val="center"/>
              </w:trPr>
              <w:tc>
                <w:tcPr>
                  <w:tcW w:w="979" w:type="dxa"/>
                  <w:vMerge w:val="continue"/>
                  <w:tcBorders>
                    <w:tl2br w:val="nil"/>
                    <w:tr2bl w:val="nil"/>
                  </w:tcBorders>
                  <w:noWrap w:val="0"/>
                  <w:vAlign w:val="center"/>
                </w:tcPr>
                <w:p w14:paraId="3984110F">
                  <w:pP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2FF95B30">
                  <w:pP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废气</w:t>
                  </w:r>
                </w:p>
                <w:p w14:paraId="4B83D889">
                  <w:pP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治理</w:t>
                  </w:r>
                </w:p>
              </w:tc>
              <w:tc>
                <w:tcPr>
                  <w:tcW w:w="2792" w:type="dxa"/>
                  <w:tcBorders>
                    <w:right w:val="single" w:color="auto" w:sz="4" w:space="0"/>
                    <w:tl2br w:val="nil"/>
                    <w:tr2bl w:val="nil"/>
                  </w:tcBorders>
                  <w:noWrap w:val="0"/>
                  <w:vAlign w:val="center"/>
                </w:tcPr>
                <w:p w14:paraId="08730BBA">
                  <w:pPr>
                    <w:rPr>
                      <w:rFonts w:hint="default" w:ascii="Times New Roman" w:hAnsi="Times New Roman" w:eastAsia="宋体" w:cs="Times New Roman"/>
                      <w:color w:val="auto"/>
                      <w:sz w:val="21"/>
                      <w:szCs w:val="21"/>
                      <w:highlight w:val="none"/>
                      <w:lang w:bidi="ar"/>
                    </w:rPr>
                  </w:pPr>
                  <w:r>
                    <w:rPr>
                      <w:rFonts w:hint="eastAsia" w:cs="Times New Roman"/>
                      <w:color w:val="auto"/>
                      <w:sz w:val="21"/>
                      <w:szCs w:val="21"/>
                      <w:highlight w:val="none"/>
                      <w:lang w:val="en-US" w:eastAsia="zh-CN" w:bidi="ar"/>
                    </w:rPr>
                    <w:t>现有工程运行期间，生产车间各产尘点均布置有集气设施，统一收集后经车间</w:t>
                  </w:r>
                  <w:r>
                    <w:rPr>
                      <w:rFonts w:hint="default" w:ascii="Times New Roman" w:hAnsi="Times New Roman" w:eastAsia="宋体" w:cs="Times New Roman"/>
                      <w:color w:val="auto"/>
                      <w:sz w:val="21"/>
                      <w:szCs w:val="21"/>
                      <w:highlight w:val="none"/>
                      <w:lang w:val="en-US" w:eastAsia="zh-CN" w:bidi="ar"/>
                    </w:rPr>
                    <w:t>中央布袋除尘器</w:t>
                  </w:r>
                  <w:r>
                    <w:rPr>
                      <w:rFonts w:hint="eastAsia" w:cs="Times New Roman"/>
                      <w:color w:val="auto"/>
                      <w:sz w:val="21"/>
                      <w:szCs w:val="21"/>
                      <w:highlight w:val="none"/>
                      <w:lang w:val="en-US" w:eastAsia="zh-CN" w:bidi="ar"/>
                    </w:rPr>
                    <w:t>处理后通过</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（编号DA001，目前为14m，后续需加高至15m）</w:t>
                  </w:r>
                  <w:r>
                    <w:rPr>
                      <w:rFonts w:hint="default" w:ascii="Times New Roman" w:hAnsi="Times New Roman" w:eastAsia="宋体" w:cs="Times New Roman"/>
                      <w:color w:val="auto"/>
                      <w:sz w:val="21"/>
                      <w:szCs w:val="21"/>
                      <w:highlight w:val="none"/>
                      <w:lang w:val="en-US" w:eastAsia="zh-CN" w:bidi="ar"/>
                    </w:rPr>
                    <w:t>排放</w:t>
                  </w:r>
                  <w:r>
                    <w:rPr>
                      <w:rFonts w:hint="eastAsia" w:cs="Times New Roman"/>
                      <w:color w:val="auto"/>
                      <w:sz w:val="21"/>
                      <w:szCs w:val="21"/>
                      <w:highlight w:val="none"/>
                      <w:lang w:val="en-US" w:eastAsia="zh-CN" w:bidi="ar"/>
                    </w:rPr>
                    <w:t>；原料堆场需进行三面围挡+顶棚处置；餐饮油烟经抽烟机处理后从屋顶排放。</w:t>
                  </w:r>
                </w:p>
              </w:tc>
              <w:tc>
                <w:tcPr>
                  <w:tcW w:w="2549" w:type="dxa"/>
                  <w:tcBorders>
                    <w:left w:val="single" w:color="auto" w:sz="4" w:space="0"/>
                    <w:tl2br w:val="nil"/>
                    <w:tr2bl w:val="nil"/>
                  </w:tcBorders>
                  <w:noWrap w:val="0"/>
                  <w:vAlign w:val="center"/>
                </w:tcPr>
                <w:p w14:paraId="4DC73D66">
                  <w:pPr>
                    <w:pStyle w:val="10"/>
                    <w:ind w:left="0" w:leftChars="0" w:firstLine="0" w:firstLineChars="0"/>
                    <w:rPr>
                      <w:rFonts w:hint="eastAsia"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本次新增的腻子粉和石膏粉生产线粉尘经集气设施收集后，通过布袋除尘器处理后经</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（DA002）</w:t>
                  </w:r>
                  <w:r>
                    <w:rPr>
                      <w:rFonts w:hint="default" w:ascii="Times New Roman" w:hAnsi="Times New Roman" w:eastAsia="宋体" w:cs="Times New Roman"/>
                      <w:color w:val="auto"/>
                      <w:sz w:val="21"/>
                      <w:szCs w:val="21"/>
                      <w:highlight w:val="none"/>
                      <w:lang w:val="en-US" w:eastAsia="zh-CN" w:bidi="ar"/>
                    </w:rPr>
                    <w:t>排放</w:t>
                  </w:r>
                  <w:r>
                    <w:rPr>
                      <w:rFonts w:hint="eastAsia" w:cs="Times New Roman"/>
                      <w:color w:val="auto"/>
                      <w:sz w:val="21"/>
                      <w:szCs w:val="21"/>
                      <w:highlight w:val="none"/>
                      <w:lang w:val="en-US" w:eastAsia="zh-CN" w:bidi="ar"/>
                    </w:rPr>
                    <w:t>；砂浆生产线粉尘经集气设施收集后，通过布袋除尘器处理后经</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（DA003）</w:t>
                  </w:r>
                  <w:r>
                    <w:rPr>
                      <w:rFonts w:hint="default" w:ascii="Times New Roman" w:hAnsi="Times New Roman" w:eastAsia="宋体" w:cs="Times New Roman"/>
                      <w:color w:val="auto"/>
                      <w:sz w:val="21"/>
                      <w:szCs w:val="21"/>
                      <w:highlight w:val="none"/>
                      <w:lang w:val="en-US" w:eastAsia="zh-CN" w:bidi="ar"/>
                    </w:rPr>
                    <w:t>排放</w:t>
                  </w:r>
                  <w:r>
                    <w:rPr>
                      <w:rFonts w:hint="eastAsia" w:cs="Times New Roman"/>
                      <w:color w:val="auto"/>
                      <w:sz w:val="21"/>
                      <w:szCs w:val="21"/>
                      <w:highlight w:val="none"/>
                      <w:lang w:val="en-US" w:eastAsia="zh-CN" w:bidi="ar"/>
                    </w:rPr>
                    <w:t>；新增的原料堆场仅设置了顶棚，后期需进行三面围挡。</w:t>
                  </w:r>
                </w:p>
              </w:tc>
              <w:tc>
                <w:tcPr>
                  <w:tcW w:w="1316" w:type="dxa"/>
                  <w:tcBorders>
                    <w:tl2br w:val="nil"/>
                    <w:tr2bl w:val="nil"/>
                  </w:tcBorders>
                  <w:noWrap w:val="0"/>
                  <w:vAlign w:val="center"/>
                </w:tcPr>
                <w:p w14:paraId="3949C46C">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维持现有废气处理设施不变（除排气筒DA001需加高至15m外），本次新增2套集气设施+布袋除尘器+排气筒，并对原料堆场进行三面围挡+顶棚处置</w:t>
                  </w:r>
                </w:p>
              </w:tc>
            </w:tr>
            <w:tr w14:paraId="25A869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9" w:type="dxa"/>
                  <w:vMerge w:val="continue"/>
                  <w:tcBorders>
                    <w:tl2br w:val="nil"/>
                    <w:tr2bl w:val="nil"/>
                  </w:tcBorders>
                  <w:noWrap w:val="0"/>
                  <w:vAlign w:val="center"/>
                </w:tcPr>
                <w:p w14:paraId="7C971B30">
                  <w:pP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0806E310">
                  <w:pP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噪声</w:t>
                  </w:r>
                </w:p>
                <w:p w14:paraId="176110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控制</w:t>
                  </w:r>
                </w:p>
              </w:tc>
              <w:tc>
                <w:tcPr>
                  <w:tcW w:w="2792" w:type="dxa"/>
                  <w:tcBorders>
                    <w:right w:val="single" w:color="auto" w:sz="4" w:space="0"/>
                    <w:tl2br w:val="nil"/>
                    <w:tr2bl w:val="nil"/>
                  </w:tcBorders>
                  <w:noWrap w:val="0"/>
                  <w:vAlign w:val="center"/>
                </w:tcPr>
                <w:p w14:paraId="54B447F6">
                  <w:pPr>
                    <w:rPr>
                      <w:rFonts w:hint="eastAsia" w:eastAsia="宋体"/>
                      <w:color w:val="auto"/>
                      <w:highlight w:val="none"/>
                      <w:lang w:eastAsia="zh-CN"/>
                    </w:rPr>
                  </w:pPr>
                  <w:r>
                    <w:rPr>
                      <w:rFonts w:hint="eastAsia" w:cs="Times New Roman"/>
                      <w:color w:val="auto"/>
                      <w:sz w:val="21"/>
                      <w:szCs w:val="21"/>
                      <w:highlight w:val="none"/>
                      <w:lang w:eastAsia="zh-CN" w:bidi="ar"/>
                    </w:rPr>
                    <w:t>现有工程已</w:t>
                  </w:r>
                  <w:r>
                    <w:rPr>
                      <w:rFonts w:hint="default" w:ascii="Times New Roman" w:hAnsi="Times New Roman" w:eastAsia="宋体" w:cs="Times New Roman"/>
                      <w:color w:val="auto"/>
                      <w:sz w:val="21"/>
                      <w:szCs w:val="21"/>
                      <w:highlight w:val="none"/>
                      <w:lang w:bidi="ar"/>
                    </w:rPr>
                    <w:t>采用低噪声设备，</w:t>
                  </w:r>
                  <w:r>
                    <w:rPr>
                      <w:rFonts w:hint="eastAsia" w:cs="Times New Roman"/>
                      <w:color w:val="auto"/>
                      <w:sz w:val="21"/>
                      <w:szCs w:val="21"/>
                      <w:highlight w:val="none"/>
                      <w:lang w:eastAsia="zh-CN" w:bidi="ar"/>
                    </w:rPr>
                    <w:t>并</w:t>
                  </w:r>
                  <w:r>
                    <w:rPr>
                      <w:rFonts w:hint="default" w:ascii="Times New Roman" w:hAnsi="Times New Roman" w:eastAsia="宋体" w:cs="Times New Roman"/>
                      <w:color w:val="auto"/>
                      <w:sz w:val="21"/>
                      <w:szCs w:val="21"/>
                      <w:highlight w:val="none"/>
                      <w:lang w:bidi="ar"/>
                    </w:rPr>
                    <w:t>合理安排运行时间，</w:t>
                  </w:r>
                  <w:r>
                    <w:rPr>
                      <w:rFonts w:hint="eastAsia" w:cs="Times New Roman"/>
                      <w:color w:val="auto"/>
                      <w:sz w:val="21"/>
                      <w:szCs w:val="21"/>
                      <w:highlight w:val="none"/>
                      <w:lang w:eastAsia="zh-CN" w:bidi="ar"/>
                    </w:rPr>
                    <w:t>同时</w:t>
                  </w:r>
                  <w:r>
                    <w:rPr>
                      <w:rFonts w:hint="default" w:ascii="Times New Roman" w:hAnsi="Times New Roman" w:eastAsia="宋体" w:cs="Times New Roman"/>
                      <w:color w:val="auto"/>
                      <w:sz w:val="21"/>
                      <w:szCs w:val="21"/>
                      <w:highlight w:val="none"/>
                      <w:lang w:bidi="ar"/>
                    </w:rPr>
                    <w:t>采取</w:t>
                  </w:r>
                  <w:r>
                    <w:rPr>
                      <w:rFonts w:hint="eastAsia" w:cs="Times New Roman"/>
                      <w:color w:val="auto"/>
                      <w:sz w:val="21"/>
                      <w:szCs w:val="21"/>
                      <w:highlight w:val="none"/>
                      <w:lang w:eastAsia="zh-CN" w:bidi="ar"/>
                    </w:rPr>
                    <w:t>针对性的</w:t>
                  </w:r>
                  <w:r>
                    <w:rPr>
                      <w:rFonts w:hint="default" w:ascii="Times New Roman" w:hAnsi="Times New Roman" w:eastAsia="宋体" w:cs="Times New Roman"/>
                      <w:color w:val="auto"/>
                      <w:sz w:val="21"/>
                      <w:szCs w:val="21"/>
                      <w:highlight w:val="none"/>
                      <w:lang w:bidi="ar"/>
                    </w:rPr>
                    <w:t>隔声减</w:t>
                  </w:r>
                  <w:r>
                    <w:rPr>
                      <w:rFonts w:hint="default" w:ascii="Times New Roman" w:hAnsi="Times New Roman" w:eastAsia="宋体" w:cs="Times New Roman"/>
                      <w:color w:val="auto"/>
                      <w:sz w:val="21"/>
                      <w:szCs w:val="21"/>
                      <w:highlight w:val="none"/>
                      <w:lang w:eastAsia="zh-CN" w:bidi="ar"/>
                    </w:rPr>
                    <w:t>振</w:t>
                  </w:r>
                  <w:r>
                    <w:rPr>
                      <w:rFonts w:hint="default" w:ascii="Times New Roman" w:hAnsi="Times New Roman" w:eastAsia="宋体" w:cs="Times New Roman"/>
                      <w:color w:val="auto"/>
                      <w:sz w:val="21"/>
                      <w:szCs w:val="21"/>
                      <w:highlight w:val="none"/>
                      <w:lang w:bidi="ar"/>
                    </w:rPr>
                    <w:t>措施。</w:t>
                  </w:r>
                </w:p>
              </w:tc>
              <w:tc>
                <w:tcPr>
                  <w:tcW w:w="2549" w:type="dxa"/>
                  <w:tcBorders>
                    <w:left w:val="single" w:color="auto" w:sz="4" w:space="0"/>
                    <w:tl2br w:val="nil"/>
                    <w:tr2bl w:val="nil"/>
                  </w:tcBorders>
                  <w:noWrap w:val="0"/>
                  <w:vAlign w:val="center"/>
                </w:tcPr>
                <w:p w14:paraId="06177435">
                  <w:pPr>
                    <w:pStyle w:val="10"/>
                    <w:ind w:left="0" w:leftChars="0" w:firstLine="0" w:firstLineChars="0"/>
                    <w:rPr>
                      <w:rFonts w:hint="eastAsia" w:cs="Times New Roman"/>
                      <w:color w:val="auto"/>
                      <w:sz w:val="21"/>
                      <w:szCs w:val="21"/>
                      <w:highlight w:val="none"/>
                      <w:lang w:eastAsia="zh-CN" w:bidi="ar"/>
                    </w:rPr>
                  </w:pPr>
                  <w:r>
                    <w:rPr>
                      <w:rFonts w:hint="eastAsia" w:cs="Times New Roman"/>
                      <w:color w:val="auto"/>
                      <w:sz w:val="21"/>
                      <w:szCs w:val="21"/>
                      <w:highlight w:val="none"/>
                      <w:lang w:eastAsia="zh-CN" w:bidi="ar"/>
                    </w:rPr>
                    <w:t>本次工程依然选用低噪声设备，变动完成后运营期内合理安排运行时间，并采取针对性减振措施等。</w:t>
                  </w:r>
                </w:p>
              </w:tc>
              <w:tc>
                <w:tcPr>
                  <w:tcW w:w="1316" w:type="dxa"/>
                  <w:tcBorders>
                    <w:tl2br w:val="nil"/>
                    <w:tr2bl w:val="nil"/>
                  </w:tcBorders>
                  <w:noWrap w:val="0"/>
                  <w:vAlign w:val="center"/>
                </w:tcPr>
                <w:p w14:paraId="3CB9EB81">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新增工程增加针对性噪声控制措施</w:t>
                  </w:r>
                </w:p>
              </w:tc>
            </w:tr>
            <w:tr w14:paraId="2FD20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979" w:type="dxa"/>
                  <w:vMerge w:val="continue"/>
                  <w:tcBorders>
                    <w:tl2br w:val="nil"/>
                    <w:tr2bl w:val="nil"/>
                  </w:tcBorders>
                  <w:noWrap w:val="0"/>
                  <w:vAlign w:val="center"/>
                </w:tcPr>
                <w:p w14:paraId="12EA995C">
                  <w:pPr>
                    <w:rPr>
                      <w:rFonts w:hint="default" w:ascii="Times New Roman" w:hAnsi="Times New Roman" w:eastAsia="宋体" w:cs="Times New Roman"/>
                      <w:color w:val="auto"/>
                      <w:sz w:val="21"/>
                      <w:szCs w:val="21"/>
                      <w:highlight w:val="none"/>
                    </w:rPr>
                  </w:pPr>
                </w:p>
              </w:tc>
              <w:tc>
                <w:tcPr>
                  <w:tcW w:w="896" w:type="dxa"/>
                  <w:tcBorders>
                    <w:tl2br w:val="nil"/>
                    <w:tr2bl w:val="nil"/>
                  </w:tcBorders>
                  <w:noWrap w:val="0"/>
                  <w:vAlign w:val="center"/>
                </w:tcPr>
                <w:p w14:paraId="1FCBEB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固废</w:t>
                  </w:r>
                </w:p>
                <w:p w14:paraId="654720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处置</w:t>
                  </w:r>
                </w:p>
              </w:tc>
              <w:tc>
                <w:tcPr>
                  <w:tcW w:w="5341" w:type="dxa"/>
                  <w:gridSpan w:val="2"/>
                  <w:tcBorders>
                    <w:tl2br w:val="nil"/>
                    <w:tr2bl w:val="nil"/>
                  </w:tcBorders>
                  <w:noWrap w:val="0"/>
                  <w:vAlign w:val="center"/>
                </w:tcPr>
                <w:p w14:paraId="2A70A0F7">
                  <w:pPr>
                    <w:rPr>
                      <w:rFonts w:hint="eastAsia"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eastAsia="zh-CN" w:bidi="ar"/>
                    </w:rPr>
                    <w:t>本次变动不新增固体废物，故变动前后固废处置措施维持不变：</w:t>
                  </w:r>
                </w:p>
                <w:p w14:paraId="3C0E6594">
                  <w:pPr>
                    <w:rPr>
                      <w:rFonts w:hint="default" w:ascii="Times New Roman" w:hAnsi="Times New Roman" w:eastAsia="宋体" w:cs="Times New Roman"/>
                      <w:color w:val="auto"/>
                      <w:sz w:val="21"/>
                      <w:szCs w:val="21"/>
                      <w:highlight w:val="none"/>
                      <w:lang w:bidi="ar"/>
                    </w:rPr>
                  </w:pPr>
                  <w:r>
                    <w:rPr>
                      <w:rFonts w:hint="eastAsia" w:ascii="宋体" w:hAnsi="宋体" w:eastAsia="宋体" w:cs="宋体"/>
                      <w:color w:val="auto"/>
                      <w:sz w:val="21"/>
                      <w:szCs w:val="21"/>
                      <w:highlight w:val="none"/>
                      <w:lang w:bidi="ar"/>
                    </w:rPr>
                    <w:t>①</w:t>
                  </w:r>
                  <w:r>
                    <w:rPr>
                      <w:rFonts w:hint="eastAsia" w:ascii="宋体" w:hAnsi="宋体"/>
                      <w:bCs/>
                      <w:color w:val="auto"/>
                      <w:kern w:val="0"/>
                      <w:szCs w:val="21"/>
                      <w:highlight w:val="none"/>
                    </w:rPr>
                    <w:t>生活垃圾经垃圾桶收集后与收集尘一同交由环卫部门处置</w:t>
                  </w:r>
                  <w:r>
                    <w:rPr>
                      <w:rFonts w:hint="default" w:ascii="Times New Roman" w:hAnsi="Times New Roman" w:eastAsia="宋体" w:cs="Times New Roman"/>
                      <w:color w:val="auto"/>
                      <w:sz w:val="21"/>
                      <w:szCs w:val="21"/>
                      <w:highlight w:val="none"/>
                      <w:lang w:bidi="ar"/>
                    </w:rPr>
                    <w:t>；</w:t>
                  </w:r>
                </w:p>
                <w:p w14:paraId="4B4E2177">
                  <w:pPr>
                    <w:rPr>
                      <w:rFonts w:hint="default" w:ascii="Times New Roman" w:hAnsi="Times New Roman" w:eastAsia="宋体" w:cs="Times New Roman"/>
                      <w:color w:val="auto"/>
                      <w:sz w:val="21"/>
                      <w:szCs w:val="21"/>
                      <w:highlight w:val="none"/>
                      <w:lang w:bidi="ar"/>
                    </w:rPr>
                  </w:pPr>
                  <w:r>
                    <w:rPr>
                      <w:rFonts w:hint="eastAsia" w:ascii="宋体" w:hAnsi="宋体" w:eastAsia="宋体" w:cs="宋体"/>
                      <w:color w:val="auto"/>
                      <w:sz w:val="21"/>
                      <w:szCs w:val="21"/>
                      <w:highlight w:val="none"/>
                      <w:lang w:bidi="ar"/>
                    </w:rPr>
                    <w:t>②</w:t>
                  </w:r>
                  <w:r>
                    <w:rPr>
                      <w:rFonts w:hint="default" w:ascii="Times New Roman" w:hAnsi="Times New Roman" w:eastAsia="宋体" w:cs="Times New Roman"/>
                      <w:color w:val="auto"/>
                      <w:sz w:val="21"/>
                      <w:szCs w:val="21"/>
                      <w:highlight w:val="none"/>
                      <w:lang w:bidi="ar"/>
                    </w:rPr>
                    <w:t>废</w:t>
                  </w:r>
                  <w:r>
                    <w:rPr>
                      <w:rFonts w:hint="eastAsia" w:cs="Times New Roman"/>
                      <w:color w:val="auto"/>
                      <w:sz w:val="21"/>
                      <w:szCs w:val="21"/>
                      <w:highlight w:val="none"/>
                      <w:lang w:eastAsia="zh-CN" w:bidi="ar"/>
                    </w:rPr>
                    <w:t>润滑油、废油桶、含油手套和棉纱等</w:t>
                  </w:r>
                  <w:r>
                    <w:rPr>
                      <w:rFonts w:hint="default" w:ascii="Times New Roman" w:hAnsi="Times New Roman" w:eastAsia="宋体" w:cs="Times New Roman"/>
                      <w:color w:val="auto"/>
                      <w:sz w:val="21"/>
                      <w:szCs w:val="21"/>
                      <w:highlight w:val="none"/>
                      <w:lang w:bidi="ar"/>
                    </w:rPr>
                    <w:t>经专用容器收集后</w:t>
                  </w:r>
                  <w:r>
                    <w:rPr>
                      <w:rFonts w:hint="eastAsia"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定期交由有资质单位处理；</w:t>
                  </w:r>
                </w:p>
                <w:p w14:paraId="776BE78B">
                  <w:pPr>
                    <w:rPr>
                      <w:rFonts w:hint="eastAsia" w:cs="Times New Roman"/>
                      <w:color w:val="auto"/>
                      <w:sz w:val="21"/>
                      <w:szCs w:val="21"/>
                      <w:highlight w:val="none"/>
                      <w:lang w:eastAsia="zh-CN" w:bidi="ar"/>
                    </w:rPr>
                  </w:pPr>
                  <w:r>
                    <w:rPr>
                      <w:rFonts w:hint="eastAsia" w:ascii="宋体" w:hAnsi="宋体" w:eastAsia="宋体" w:cs="宋体"/>
                      <w:color w:val="auto"/>
                      <w:sz w:val="21"/>
                      <w:szCs w:val="21"/>
                      <w:highlight w:val="none"/>
                      <w:lang w:bidi="ar"/>
                    </w:rPr>
                    <w:t>③</w:t>
                  </w:r>
                  <w:r>
                    <w:rPr>
                      <w:rFonts w:hint="default" w:ascii="Times New Roman" w:hAnsi="Times New Roman" w:eastAsia="宋体" w:cs="Times New Roman"/>
                      <w:color w:val="auto"/>
                      <w:sz w:val="21"/>
                      <w:szCs w:val="21"/>
                      <w:highlight w:val="none"/>
                      <w:lang w:bidi="ar"/>
                    </w:rPr>
                    <w:t>餐厨</w:t>
                  </w:r>
                  <w:r>
                    <w:rPr>
                      <w:rFonts w:hint="eastAsia" w:cs="Times New Roman"/>
                      <w:color w:val="auto"/>
                      <w:sz w:val="21"/>
                      <w:szCs w:val="21"/>
                      <w:highlight w:val="none"/>
                      <w:lang w:eastAsia="zh-CN" w:bidi="ar"/>
                    </w:rPr>
                    <w:t>废弃物桶装收集后，交由附近村民用于家禽养殖；</w:t>
                  </w:r>
                  <w:r>
                    <w:rPr>
                      <w:rFonts w:hint="default" w:ascii="Times New Roman" w:hAnsi="Times New Roman" w:eastAsia="宋体" w:cs="Times New Roman"/>
                      <w:color w:val="auto"/>
                      <w:sz w:val="21"/>
                      <w:szCs w:val="21"/>
                      <w:highlight w:val="none"/>
                      <w:lang w:bidi="ar"/>
                    </w:rPr>
                    <w:t>废油脂收集后交由</w:t>
                  </w:r>
                  <w:r>
                    <w:rPr>
                      <w:rFonts w:hint="eastAsia" w:cs="Times New Roman"/>
                      <w:color w:val="auto"/>
                      <w:sz w:val="21"/>
                      <w:szCs w:val="21"/>
                      <w:highlight w:val="none"/>
                      <w:lang w:eastAsia="zh-CN" w:bidi="ar"/>
                    </w:rPr>
                    <w:t>具有</w:t>
                  </w:r>
                  <w:r>
                    <w:rPr>
                      <w:rFonts w:hint="default" w:ascii="Times New Roman" w:hAnsi="Times New Roman" w:eastAsia="宋体" w:cs="Times New Roman"/>
                      <w:color w:val="auto"/>
                      <w:sz w:val="21"/>
                      <w:szCs w:val="21"/>
                      <w:highlight w:val="none"/>
                      <w:lang w:bidi="ar"/>
                    </w:rPr>
                    <w:t>回收资质单位处置</w:t>
                  </w:r>
                  <w:r>
                    <w:rPr>
                      <w:rFonts w:hint="eastAsia" w:cs="Times New Roman"/>
                      <w:color w:val="auto"/>
                      <w:sz w:val="21"/>
                      <w:szCs w:val="21"/>
                      <w:highlight w:val="none"/>
                      <w:lang w:eastAsia="zh-CN" w:bidi="ar"/>
                    </w:rPr>
                    <w:t>；</w:t>
                  </w:r>
                </w:p>
                <w:p w14:paraId="19269EA0">
                  <w:pPr>
                    <w:pStyle w:val="10"/>
                    <w:ind w:left="0" w:lef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④</w:t>
                  </w:r>
                  <w:r>
                    <w:rPr>
                      <w:rFonts w:hint="default" w:ascii="Times New Roman" w:hAnsi="Times New Roman" w:cs="Times New Roman"/>
                      <w:color w:val="auto"/>
                      <w:sz w:val="21"/>
                      <w:szCs w:val="21"/>
                      <w:highlight w:val="none"/>
                      <w:lang w:eastAsia="zh-CN" w:bidi="ar"/>
                    </w:rPr>
                    <w:t>废编织袋交由当地废品回收站处置</w:t>
                  </w:r>
                  <w:r>
                    <w:rPr>
                      <w:rFonts w:hint="eastAsia" w:cs="Times New Roman"/>
                      <w:color w:val="auto"/>
                      <w:sz w:val="21"/>
                      <w:szCs w:val="21"/>
                      <w:highlight w:val="none"/>
                      <w:lang w:eastAsia="zh-CN" w:bidi="ar"/>
                    </w:rPr>
                    <w:t>。</w:t>
                  </w:r>
                </w:p>
              </w:tc>
              <w:tc>
                <w:tcPr>
                  <w:tcW w:w="1316" w:type="dxa"/>
                  <w:tcBorders>
                    <w:tl2br w:val="nil"/>
                    <w:tr2bl w:val="nil"/>
                  </w:tcBorders>
                  <w:noWrap w:val="0"/>
                  <w:vAlign w:val="center"/>
                </w:tcPr>
                <w:p w14:paraId="237FB700">
                  <w:pPr>
                    <w:jc w:val="center"/>
                    <w:rPr>
                      <w:rFonts w:hint="default" w:ascii="Times New Roman" w:hAnsi="Times New Roman" w:eastAsia="宋体" w:cs="Times New Roman"/>
                      <w:color w:val="auto"/>
                      <w:sz w:val="21"/>
                      <w:szCs w:val="21"/>
                      <w:highlight w:val="none"/>
                      <w:lang w:bidi="ar"/>
                    </w:rPr>
                  </w:pPr>
                  <w:r>
                    <w:rPr>
                      <w:rFonts w:hint="eastAsia" w:cs="Times New Roman"/>
                      <w:color w:val="auto"/>
                      <w:sz w:val="21"/>
                      <w:szCs w:val="21"/>
                      <w:highlight w:val="none"/>
                      <w:lang w:val="en-US" w:eastAsia="zh-CN" w:bidi="ar"/>
                    </w:rPr>
                    <w:t>无变动</w:t>
                  </w:r>
                </w:p>
              </w:tc>
            </w:tr>
            <w:tr w14:paraId="17FA8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8532" w:type="dxa"/>
                  <w:gridSpan w:val="5"/>
                  <w:tcBorders>
                    <w:tl2br w:val="nil"/>
                    <w:tr2bl w:val="nil"/>
                  </w:tcBorders>
                  <w:noWrap w:val="0"/>
                  <w:vAlign w:val="center"/>
                </w:tcPr>
                <w:p w14:paraId="02E57083">
                  <w:pPr>
                    <w:jc w:val="both"/>
                    <w:rPr>
                      <w:rFonts w:hint="eastAsia"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注：根据《</w:t>
                  </w:r>
                  <w:r>
                    <w:rPr>
                      <w:rFonts w:hint="default" w:ascii="Times New Roman" w:hAnsi="Times New Roman" w:cs="Times New Roman"/>
                      <w:color w:val="auto"/>
                      <w:highlight w:val="none"/>
                      <w:lang w:eastAsia="zh-CN"/>
                    </w:rPr>
                    <w:t>30</w:t>
                  </w:r>
                  <w:r>
                    <w:rPr>
                      <w:rFonts w:hint="eastAsia"/>
                      <w:color w:val="auto"/>
                      <w:highlight w:val="none"/>
                      <w:lang w:eastAsia="zh-CN"/>
                    </w:rPr>
                    <w:t>万吨天然彩砂加工项目</w:t>
                  </w:r>
                  <w:r>
                    <w:rPr>
                      <w:rFonts w:hint="eastAsia" w:cs="Times New Roman"/>
                      <w:color w:val="auto"/>
                      <w:sz w:val="21"/>
                      <w:szCs w:val="21"/>
                      <w:highlight w:val="none"/>
                      <w:lang w:val="en-US" w:eastAsia="zh-CN" w:bidi="ar"/>
                    </w:rPr>
                    <w:t>》环评及批复可知，现有工程建设内容包括彩砂和钙粉生产线、石材加工线，但实际未布设石材加工线，因此表格中未进行石材加工线介绍。</w:t>
                  </w:r>
                </w:p>
              </w:tc>
            </w:tr>
          </w:tbl>
          <w:p w14:paraId="5A7F028F">
            <w:pPr>
              <w:numPr>
                <w:ilvl w:val="255"/>
                <w:numId w:val="0"/>
              </w:numPr>
              <w:spacing w:line="360" w:lineRule="auto"/>
              <w:ind w:firstLine="480" w:firstLineChars="200"/>
              <w:rPr>
                <w:color w:val="auto"/>
                <w:sz w:val="24"/>
                <w:szCs w:val="32"/>
                <w:highlight w:val="none"/>
              </w:rPr>
            </w:pPr>
            <w:r>
              <w:rPr>
                <w:rFonts w:hint="eastAsia"/>
                <w:color w:val="auto"/>
                <w:sz w:val="24"/>
                <w:szCs w:val="32"/>
                <w:highlight w:val="none"/>
              </w:rPr>
              <w:t>3、产品方案</w:t>
            </w:r>
          </w:p>
          <w:p w14:paraId="2F7ABC7F">
            <w:pPr>
              <w:pStyle w:val="45"/>
              <w:numPr>
                <w:ilvl w:val="255"/>
                <w:numId w:val="0"/>
              </w:numPr>
              <w:spacing w:line="360" w:lineRule="auto"/>
              <w:ind w:firstLine="480" w:firstLineChars="200"/>
              <w:rPr>
                <w:rFonts w:hint="eastAsia" w:ascii="Times New Roman" w:cs="Times New Roman"/>
                <w:color w:val="auto"/>
                <w:szCs w:val="32"/>
                <w:highlight w:val="none"/>
                <w:lang w:val="en-US" w:eastAsia="zh-CN"/>
              </w:rPr>
            </w:pPr>
            <w:r>
              <w:rPr>
                <w:rFonts w:hint="eastAsia" w:ascii="Times New Roman" w:cs="Times New Roman"/>
                <w:color w:val="auto"/>
                <w:szCs w:val="32"/>
                <w:highlight w:val="none"/>
                <w:lang w:val="en-US" w:eastAsia="zh-CN"/>
              </w:rPr>
              <w:t>现有工程主要进行彩砂和钙粉生产，本次变动新增腻子粉、石膏粉和砂浆生产。变动前后具体产品方案见下表：</w:t>
            </w:r>
          </w:p>
          <w:p w14:paraId="38019269">
            <w:pPr>
              <w:adjustRightInd w:val="0"/>
              <w:snapToGrid w:val="0"/>
              <w:jc w:val="center"/>
              <w:rPr>
                <w:b/>
                <w:bCs/>
                <w:color w:val="auto"/>
                <w:highlight w:val="none"/>
              </w:rPr>
            </w:pPr>
            <w:r>
              <w:rPr>
                <w:rFonts w:hint="eastAsia"/>
                <w:b/>
                <w:bCs/>
                <w:color w:val="auto"/>
                <w:highlight w:val="none"/>
              </w:rPr>
              <w:t>表2-</w:t>
            </w:r>
            <w:r>
              <w:rPr>
                <w:rFonts w:hint="eastAsia"/>
                <w:b/>
                <w:bCs/>
                <w:color w:val="auto"/>
                <w:highlight w:val="none"/>
                <w:lang w:val="en-US" w:eastAsia="zh-CN"/>
              </w:rPr>
              <w:t>3</w:t>
            </w:r>
            <w:r>
              <w:rPr>
                <w:rFonts w:hint="eastAsia"/>
                <w:b/>
                <w:bCs/>
                <w:color w:val="auto"/>
                <w:highlight w:val="none"/>
              </w:rPr>
              <w:t xml:space="preserve">  </w:t>
            </w:r>
            <w:r>
              <w:rPr>
                <w:rFonts w:hint="eastAsia"/>
                <w:b/>
                <w:bCs/>
                <w:color w:val="auto"/>
                <w:highlight w:val="none"/>
                <w:lang w:eastAsia="zh-CN"/>
              </w:rPr>
              <w:t>变动前后</w:t>
            </w:r>
            <w:r>
              <w:rPr>
                <w:rFonts w:hint="eastAsia"/>
                <w:b/>
                <w:bCs/>
                <w:color w:val="auto"/>
                <w:highlight w:val="none"/>
              </w:rPr>
              <w:t>产品方案一览表</w:t>
            </w:r>
          </w:p>
          <w:tbl>
            <w:tblPr>
              <w:tblStyle w:val="36"/>
              <w:tblW w:w="84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683"/>
              <w:gridCol w:w="1683"/>
              <w:gridCol w:w="1683"/>
              <w:gridCol w:w="1683"/>
              <w:gridCol w:w="1687"/>
            </w:tblGrid>
            <w:tr w14:paraId="789F1C8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53" w:hRule="atLeast"/>
                <w:tblHeader/>
                <w:jc w:val="center"/>
              </w:trPr>
              <w:tc>
                <w:tcPr>
                  <w:tcW w:w="1683" w:type="dxa"/>
                  <w:tcBorders>
                    <w:tl2br w:val="nil"/>
                    <w:tr2bl w:val="nil"/>
                  </w:tcBorders>
                  <w:vAlign w:val="center"/>
                </w:tcPr>
                <w:p w14:paraId="5664A369">
                  <w:pPr>
                    <w:snapToGrid w:val="0"/>
                    <w:jc w:val="center"/>
                    <w:rPr>
                      <w:rFonts w:hint="eastAsia" w:eastAsia="宋体"/>
                      <w:color w:val="auto"/>
                      <w:szCs w:val="21"/>
                      <w:highlight w:val="none"/>
                      <w:lang w:eastAsia="zh-CN"/>
                    </w:rPr>
                  </w:pPr>
                  <w:r>
                    <w:rPr>
                      <w:rFonts w:hint="eastAsia"/>
                      <w:color w:val="auto"/>
                      <w:szCs w:val="21"/>
                      <w:highlight w:val="none"/>
                      <w:lang w:eastAsia="zh-CN"/>
                    </w:rPr>
                    <w:t>序号</w:t>
                  </w:r>
                </w:p>
              </w:tc>
              <w:tc>
                <w:tcPr>
                  <w:tcW w:w="1683" w:type="dxa"/>
                  <w:tcBorders>
                    <w:tl2br w:val="nil"/>
                    <w:tr2bl w:val="nil"/>
                  </w:tcBorders>
                  <w:vAlign w:val="center"/>
                </w:tcPr>
                <w:p w14:paraId="6BFFDF78">
                  <w:pPr>
                    <w:snapToGrid w:val="0"/>
                    <w:jc w:val="center"/>
                    <w:rPr>
                      <w:color w:val="auto"/>
                      <w:szCs w:val="21"/>
                      <w:highlight w:val="none"/>
                    </w:rPr>
                  </w:pPr>
                  <w:r>
                    <w:rPr>
                      <w:rFonts w:hint="eastAsia"/>
                      <w:color w:val="auto"/>
                      <w:szCs w:val="21"/>
                      <w:highlight w:val="none"/>
                    </w:rPr>
                    <w:t>产品类型</w:t>
                  </w:r>
                </w:p>
              </w:tc>
              <w:tc>
                <w:tcPr>
                  <w:tcW w:w="1683" w:type="dxa"/>
                  <w:tcBorders>
                    <w:tl2br w:val="nil"/>
                    <w:tr2bl w:val="nil"/>
                  </w:tcBorders>
                  <w:vAlign w:val="center"/>
                </w:tcPr>
                <w:p w14:paraId="34F8C73C">
                  <w:pPr>
                    <w:snapToGrid w:val="0"/>
                    <w:jc w:val="center"/>
                    <w:rPr>
                      <w:rFonts w:hint="eastAsia" w:eastAsia="宋体"/>
                      <w:color w:val="auto"/>
                      <w:szCs w:val="21"/>
                      <w:highlight w:val="none"/>
                      <w:lang w:eastAsia="zh-CN"/>
                    </w:rPr>
                  </w:pPr>
                  <w:r>
                    <w:rPr>
                      <w:rFonts w:hint="eastAsia"/>
                      <w:color w:val="auto"/>
                      <w:szCs w:val="21"/>
                      <w:highlight w:val="none"/>
                      <w:lang w:eastAsia="zh-CN"/>
                    </w:rPr>
                    <w:t>现有工程</w:t>
                  </w:r>
                </w:p>
              </w:tc>
              <w:tc>
                <w:tcPr>
                  <w:tcW w:w="1683" w:type="dxa"/>
                  <w:tcBorders>
                    <w:tl2br w:val="nil"/>
                    <w:tr2bl w:val="nil"/>
                  </w:tcBorders>
                  <w:vAlign w:val="center"/>
                </w:tcPr>
                <w:p w14:paraId="66AB8444">
                  <w:pPr>
                    <w:snapToGrid w:val="0"/>
                    <w:jc w:val="center"/>
                    <w:rPr>
                      <w:rFonts w:hint="eastAsia" w:eastAsia="宋体"/>
                      <w:color w:val="auto"/>
                      <w:szCs w:val="21"/>
                      <w:highlight w:val="none"/>
                      <w:lang w:eastAsia="zh-CN"/>
                    </w:rPr>
                  </w:pPr>
                  <w:r>
                    <w:rPr>
                      <w:rFonts w:hint="eastAsia"/>
                      <w:color w:val="auto"/>
                      <w:szCs w:val="21"/>
                      <w:highlight w:val="none"/>
                      <w:lang w:eastAsia="zh-CN"/>
                    </w:rPr>
                    <w:t>变动新增</w:t>
                  </w:r>
                </w:p>
              </w:tc>
              <w:tc>
                <w:tcPr>
                  <w:tcW w:w="1687" w:type="dxa"/>
                  <w:tcBorders>
                    <w:tl2br w:val="nil"/>
                    <w:tr2bl w:val="nil"/>
                  </w:tcBorders>
                  <w:vAlign w:val="center"/>
                </w:tcPr>
                <w:p w14:paraId="16146E73">
                  <w:pPr>
                    <w:snapToGrid w:val="0"/>
                    <w:jc w:val="center"/>
                    <w:rPr>
                      <w:rFonts w:hint="eastAsia" w:eastAsia="宋体"/>
                      <w:color w:val="auto"/>
                      <w:szCs w:val="21"/>
                      <w:highlight w:val="none"/>
                      <w:lang w:eastAsia="zh-CN"/>
                    </w:rPr>
                  </w:pPr>
                  <w:r>
                    <w:rPr>
                      <w:rFonts w:hint="eastAsia"/>
                      <w:color w:val="auto"/>
                      <w:szCs w:val="21"/>
                      <w:highlight w:val="none"/>
                      <w:lang w:eastAsia="zh-CN"/>
                    </w:rPr>
                    <w:t>变动后全厂</w:t>
                  </w:r>
                </w:p>
              </w:tc>
            </w:tr>
            <w:tr w14:paraId="2FED627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1683" w:type="dxa"/>
                  <w:tcBorders>
                    <w:tl2br w:val="nil"/>
                    <w:tr2bl w:val="nil"/>
                  </w:tcBorders>
                  <w:vAlign w:val="center"/>
                </w:tcPr>
                <w:p w14:paraId="57CEFABC">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683" w:type="dxa"/>
                  <w:tcBorders>
                    <w:tl2br w:val="nil"/>
                    <w:tr2bl w:val="nil"/>
                  </w:tcBorders>
                  <w:vAlign w:val="center"/>
                </w:tcPr>
                <w:p w14:paraId="5587F463">
                  <w:pPr>
                    <w:jc w:val="center"/>
                    <w:rPr>
                      <w:color w:val="auto"/>
                      <w:szCs w:val="21"/>
                      <w:highlight w:val="none"/>
                    </w:rPr>
                  </w:pPr>
                  <w:r>
                    <w:rPr>
                      <w:rFonts w:hint="eastAsia"/>
                      <w:color w:val="auto"/>
                      <w:sz w:val="21"/>
                      <w:szCs w:val="21"/>
                      <w:highlight w:val="none"/>
                    </w:rPr>
                    <w:t>天然彩砂</w:t>
                  </w:r>
                </w:p>
              </w:tc>
              <w:tc>
                <w:tcPr>
                  <w:tcW w:w="1683" w:type="dxa"/>
                  <w:tcBorders>
                    <w:tl2br w:val="nil"/>
                    <w:tr2bl w:val="nil"/>
                  </w:tcBorders>
                  <w:vAlign w:val="center"/>
                </w:tcPr>
                <w:p w14:paraId="40569F98">
                  <w:pPr>
                    <w:jc w:val="center"/>
                    <w:rPr>
                      <w:rFonts w:hint="eastAsia"/>
                      <w:color w:val="auto"/>
                      <w:sz w:val="21"/>
                      <w:szCs w:val="21"/>
                      <w:highlight w:val="none"/>
                    </w:rPr>
                  </w:pPr>
                  <w:r>
                    <w:rPr>
                      <w:rFonts w:hint="eastAsia"/>
                      <w:color w:val="auto"/>
                      <w:sz w:val="21"/>
                      <w:szCs w:val="21"/>
                      <w:highlight w:val="none"/>
                    </w:rPr>
                    <w:t>30万t/a</w:t>
                  </w:r>
                </w:p>
              </w:tc>
              <w:tc>
                <w:tcPr>
                  <w:tcW w:w="1683" w:type="dxa"/>
                  <w:tcBorders>
                    <w:tl2br w:val="nil"/>
                    <w:tr2bl w:val="nil"/>
                  </w:tcBorders>
                  <w:vAlign w:val="center"/>
                </w:tcPr>
                <w:p w14:paraId="333178B6">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1687" w:type="dxa"/>
                  <w:tcBorders>
                    <w:tl2br w:val="nil"/>
                    <w:tr2bl w:val="nil"/>
                  </w:tcBorders>
                  <w:vAlign w:val="center"/>
                </w:tcPr>
                <w:p w14:paraId="4929B387">
                  <w:pPr>
                    <w:jc w:val="center"/>
                    <w:rPr>
                      <w:color w:val="auto"/>
                      <w:szCs w:val="21"/>
                      <w:highlight w:val="none"/>
                    </w:rPr>
                  </w:pPr>
                  <w:r>
                    <w:rPr>
                      <w:rFonts w:hint="eastAsia"/>
                      <w:color w:val="auto"/>
                      <w:sz w:val="21"/>
                      <w:szCs w:val="21"/>
                      <w:highlight w:val="none"/>
                    </w:rPr>
                    <w:t>30万t/a</w:t>
                  </w:r>
                </w:p>
              </w:tc>
            </w:tr>
            <w:tr w14:paraId="55C2838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1683" w:type="dxa"/>
                  <w:tcBorders>
                    <w:tl2br w:val="nil"/>
                    <w:tr2bl w:val="nil"/>
                  </w:tcBorders>
                  <w:vAlign w:val="center"/>
                </w:tcPr>
                <w:p w14:paraId="45296F77">
                  <w:pPr>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683" w:type="dxa"/>
                  <w:tcBorders>
                    <w:tl2br w:val="nil"/>
                    <w:tr2bl w:val="nil"/>
                  </w:tcBorders>
                  <w:vAlign w:val="center"/>
                </w:tcPr>
                <w:p w14:paraId="63A9892C">
                  <w:pPr>
                    <w:jc w:val="center"/>
                    <w:rPr>
                      <w:color w:val="auto"/>
                      <w:szCs w:val="21"/>
                      <w:highlight w:val="none"/>
                    </w:rPr>
                  </w:pPr>
                  <w:r>
                    <w:rPr>
                      <w:rFonts w:hint="eastAsia"/>
                      <w:color w:val="auto"/>
                      <w:sz w:val="21"/>
                      <w:szCs w:val="21"/>
                      <w:highlight w:val="none"/>
                      <w:lang w:eastAsia="zh-CN"/>
                    </w:rPr>
                    <w:t>钙粉</w:t>
                  </w:r>
                </w:p>
              </w:tc>
              <w:tc>
                <w:tcPr>
                  <w:tcW w:w="1683" w:type="dxa"/>
                  <w:tcBorders>
                    <w:tl2br w:val="nil"/>
                    <w:tr2bl w:val="nil"/>
                  </w:tcBorders>
                  <w:vAlign w:val="center"/>
                </w:tcPr>
                <w:p w14:paraId="231603A4">
                  <w:pPr>
                    <w:jc w:val="center"/>
                    <w:rPr>
                      <w:rFonts w:hint="eastAsia"/>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万t/a</w:t>
                  </w:r>
                </w:p>
              </w:tc>
              <w:tc>
                <w:tcPr>
                  <w:tcW w:w="1683" w:type="dxa"/>
                  <w:tcBorders>
                    <w:tl2br w:val="nil"/>
                    <w:tr2bl w:val="nil"/>
                  </w:tcBorders>
                  <w:vAlign w:val="center"/>
                </w:tcPr>
                <w:p w14:paraId="7EC0E5FB">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1687" w:type="dxa"/>
                  <w:tcBorders>
                    <w:tl2br w:val="nil"/>
                    <w:tr2bl w:val="nil"/>
                  </w:tcBorders>
                  <w:vAlign w:val="center"/>
                </w:tcPr>
                <w:p w14:paraId="299C35C3">
                  <w:pPr>
                    <w:jc w:val="center"/>
                    <w:rPr>
                      <w:color w:val="auto"/>
                      <w:szCs w:val="21"/>
                      <w:highlight w:val="none"/>
                    </w:rPr>
                  </w:pPr>
                  <w:r>
                    <w:rPr>
                      <w:rFonts w:hint="eastAsia"/>
                      <w:color w:val="auto"/>
                      <w:sz w:val="21"/>
                      <w:szCs w:val="21"/>
                      <w:highlight w:val="none"/>
                      <w:lang w:val="en-US" w:eastAsia="zh-CN"/>
                    </w:rPr>
                    <w:t>5</w:t>
                  </w:r>
                  <w:r>
                    <w:rPr>
                      <w:rFonts w:hint="eastAsia"/>
                      <w:color w:val="auto"/>
                      <w:sz w:val="21"/>
                      <w:szCs w:val="21"/>
                      <w:highlight w:val="none"/>
                    </w:rPr>
                    <w:t>万t/a</w:t>
                  </w:r>
                </w:p>
              </w:tc>
            </w:tr>
            <w:tr w14:paraId="04BE023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98" w:hRule="atLeast"/>
                <w:tblHeader/>
                <w:jc w:val="center"/>
              </w:trPr>
              <w:tc>
                <w:tcPr>
                  <w:tcW w:w="1683" w:type="dxa"/>
                  <w:tcBorders>
                    <w:tl2br w:val="nil"/>
                    <w:tr2bl w:val="nil"/>
                  </w:tcBorders>
                  <w:vAlign w:val="center"/>
                </w:tcPr>
                <w:p w14:paraId="20D9F788">
                  <w:pPr>
                    <w:snapToGrid w:val="0"/>
                    <w:jc w:val="center"/>
                    <w:rPr>
                      <w:rFonts w:hint="default"/>
                      <w:color w:val="auto"/>
                      <w:szCs w:val="21"/>
                      <w:highlight w:val="none"/>
                      <w:lang w:val="en-US" w:eastAsia="zh-CN"/>
                    </w:rPr>
                  </w:pPr>
                  <w:r>
                    <w:rPr>
                      <w:rFonts w:hint="eastAsia"/>
                      <w:color w:val="auto"/>
                      <w:szCs w:val="21"/>
                      <w:highlight w:val="none"/>
                      <w:lang w:val="en-US" w:eastAsia="zh-CN"/>
                    </w:rPr>
                    <w:t>3</w:t>
                  </w:r>
                </w:p>
              </w:tc>
              <w:tc>
                <w:tcPr>
                  <w:tcW w:w="1683" w:type="dxa"/>
                  <w:tcBorders>
                    <w:tl2br w:val="nil"/>
                    <w:tr2bl w:val="nil"/>
                  </w:tcBorders>
                  <w:vAlign w:val="center"/>
                </w:tcPr>
                <w:p w14:paraId="10C46926">
                  <w:pPr>
                    <w:snapToGrid w:val="0"/>
                    <w:jc w:val="center"/>
                    <w:rPr>
                      <w:rFonts w:hint="eastAsia" w:eastAsia="宋体"/>
                      <w:color w:val="auto"/>
                      <w:szCs w:val="21"/>
                      <w:highlight w:val="none"/>
                      <w:lang w:eastAsia="zh-CN"/>
                    </w:rPr>
                  </w:pPr>
                  <w:r>
                    <w:rPr>
                      <w:rFonts w:hint="eastAsia"/>
                      <w:color w:val="auto"/>
                      <w:szCs w:val="21"/>
                      <w:highlight w:val="none"/>
                      <w:lang w:eastAsia="zh-CN"/>
                    </w:rPr>
                    <w:t>腻子粉</w:t>
                  </w:r>
                </w:p>
              </w:tc>
              <w:tc>
                <w:tcPr>
                  <w:tcW w:w="1683" w:type="dxa"/>
                  <w:tcBorders>
                    <w:tl2br w:val="nil"/>
                    <w:tr2bl w:val="nil"/>
                  </w:tcBorders>
                  <w:vAlign w:val="center"/>
                </w:tcPr>
                <w:p w14:paraId="38E48927">
                  <w:pPr>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1683" w:type="dxa"/>
                  <w:tcBorders>
                    <w:tl2br w:val="nil"/>
                    <w:tr2bl w:val="nil"/>
                  </w:tcBorders>
                  <w:vAlign w:val="center"/>
                </w:tcPr>
                <w:p w14:paraId="02907F05">
                  <w:pPr>
                    <w:snapToGrid w:val="0"/>
                    <w:jc w:val="center"/>
                    <w:rPr>
                      <w:color w:val="auto"/>
                      <w:szCs w:val="21"/>
                      <w:highlight w:val="none"/>
                    </w:rPr>
                  </w:pPr>
                  <w:r>
                    <w:rPr>
                      <w:rFonts w:hint="eastAsia"/>
                      <w:color w:val="auto"/>
                      <w:szCs w:val="21"/>
                      <w:highlight w:val="none"/>
                      <w:lang w:val="en-US" w:eastAsia="zh-CN"/>
                    </w:rPr>
                    <w:t>12</w:t>
                  </w:r>
                  <w:r>
                    <w:rPr>
                      <w:rFonts w:hint="eastAsia"/>
                      <w:color w:val="auto"/>
                      <w:szCs w:val="21"/>
                      <w:highlight w:val="none"/>
                    </w:rPr>
                    <w:t>万t/a</w:t>
                  </w:r>
                </w:p>
              </w:tc>
              <w:tc>
                <w:tcPr>
                  <w:tcW w:w="1687" w:type="dxa"/>
                  <w:tcBorders>
                    <w:tl2br w:val="nil"/>
                    <w:tr2bl w:val="nil"/>
                  </w:tcBorders>
                  <w:vAlign w:val="center"/>
                </w:tcPr>
                <w:p w14:paraId="55A7F154">
                  <w:pPr>
                    <w:snapToGrid w:val="0"/>
                    <w:jc w:val="center"/>
                    <w:rPr>
                      <w:color w:val="auto"/>
                      <w:szCs w:val="21"/>
                      <w:highlight w:val="none"/>
                    </w:rPr>
                  </w:pPr>
                  <w:r>
                    <w:rPr>
                      <w:rFonts w:hint="eastAsia"/>
                      <w:color w:val="auto"/>
                      <w:szCs w:val="21"/>
                      <w:highlight w:val="none"/>
                      <w:lang w:val="en-US" w:eastAsia="zh-CN"/>
                    </w:rPr>
                    <w:t>12</w:t>
                  </w:r>
                  <w:r>
                    <w:rPr>
                      <w:rFonts w:hint="eastAsia"/>
                      <w:color w:val="auto"/>
                      <w:szCs w:val="21"/>
                      <w:highlight w:val="none"/>
                    </w:rPr>
                    <w:t>万t/a</w:t>
                  </w:r>
                </w:p>
              </w:tc>
            </w:tr>
            <w:tr w14:paraId="1273756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28" w:hRule="atLeast"/>
                <w:tblHeader/>
                <w:jc w:val="center"/>
              </w:trPr>
              <w:tc>
                <w:tcPr>
                  <w:tcW w:w="1683" w:type="dxa"/>
                  <w:tcBorders>
                    <w:tl2br w:val="nil"/>
                    <w:tr2bl w:val="nil"/>
                  </w:tcBorders>
                  <w:vAlign w:val="center"/>
                </w:tcPr>
                <w:p w14:paraId="200A5146">
                  <w:pPr>
                    <w:snapToGrid w:val="0"/>
                    <w:jc w:val="center"/>
                    <w:rPr>
                      <w:rFonts w:hint="default"/>
                      <w:color w:val="auto"/>
                      <w:szCs w:val="21"/>
                      <w:highlight w:val="none"/>
                      <w:lang w:val="en-US" w:eastAsia="zh-CN"/>
                    </w:rPr>
                  </w:pPr>
                  <w:r>
                    <w:rPr>
                      <w:rFonts w:hint="eastAsia"/>
                      <w:color w:val="auto"/>
                      <w:szCs w:val="21"/>
                      <w:highlight w:val="none"/>
                      <w:lang w:val="en-US" w:eastAsia="zh-CN"/>
                    </w:rPr>
                    <w:t>4</w:t>
                  </w:r>
                </w:p>
              </w:tc>
              <w:tc>
                <w:tcPr>
                  <w:tcW w:w="1683" w:type="dxa"/>
                  <w:tcBorders>
                    <w:tl2br w:val="nil"/>
                    <w:tr2bl w:val="nil"/>
                  </w:tcBorders>
                  <w:vAlign w:val="center"/>
                </w:tcPr>
                <w:p w14:paraId="19B2ADE8">
                  <w:pPr>
                    <w:snapToGrid w:val="0"/>
                    <w:jc w:val="center"/>
                    <w:rPr>
                      <w:rFonts w:hint="eastAsia" w:eastAsia="宋体"/>
                      <w:color w:val="auto"/>
                      <w:szCs w:val="21"/>
                      <w:highlight w:val="none"/>
                      <w:lang w:eastAsia="zh-CN"/>
                    </w:rPr>
                  </w:pPr>
                  <w:r>
                    <w:rPr>
                      <w:rFonts w:hint="eastAsia"/>
                      <w:color w:val="auto"/>
                      <w:szCs w:val="21"/>
                      <w:highlight w:val="none"/>
                      <w:lang w:eastAsia="zh-CN"/>
                    </w:rPr>
                    <w:t>石膏粉</w:t>
                  </w:r>
                </w:p>
              </w:tc>
              <w:tc>
                <w:tcPr>
                  <w:tcW w:w="1683" w:type="dxa"/>
                  <w:tcBorders>
                    <w:tl2br w:val="nil"/>
                    <w:tr2bl w:val="nil"/>
                  </w:tcBorders>
                  <w:vAlign w:val="center"/>
                </w:tcPr>
                <w:p w14:paraId="0B45864C">
                  <w:pPr>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1683" w:type="dxa"/>
                  <w:tcBorders>
                    <w:tl2br w:val="nil"/>
                    <w:tr2bl w:val="nil"/>
                  </w:tcBorders>
                  <w:vAlign w:val="center"/>
                </w:tcPr>
                <w:p w14:paraId="78C19736">
                  <w:pPr>
                    <w:snapToGrid w:val="0"/>
                    <w:jc w:val="center"/>
                    <w:rPr>
                      <w:color w:val="auto"/>
                      <w:szCs w:val="21"/>
                      <w:highlight w:val="none"/>
                    </w:rPr>
                  </w:pPr>
                  <w:r>
                    <w:rPr>
                      <w:rFonts w:hint="eastAsia"/>
                      <w:color w:val="auto"/>
                      <w:szCs w:val="21"/>
                      <w:highlight w:val="none"/>
                      <w:lang w:val="en-US" w:eastAsia="zh-CN"/>
                    </w:rPr>
                    <w:t>8</w:t>
                  </w:r>
                  <w:r>
                    <w:rPr>
                      <w:rFonts w:hint="eastAsia"/>
                      <w:color w:val="auto"/>
                      <w:szCs w:val="21"/>
                      <w:highlight w:val="none"/>
                    </w:rPr>
                    <w:t>万t/a</w:t>
                  </w:r>
                </w:p>
              </w:tc>
              <w:tc>
                <w:tcPr>
                  <w:tcW w:w="1687" w:type="dxa"/>
                  <w:tcBorders>
                    <w:tl2br w:val="nil"/>
                    <w:tr2bl w:val="nil"/>
                  </w:tcBorders>
                  <w:vAlign w:val="center"/>
                </w:tcPr>
                <w:p w14:paraId="67B47765">
                  <w:pPr>
                    <w:snapToGrid w:val="0"/>
                    <w:jc w:val="center"/>
                    <w:rPr>
                      <w:color w:val="auto"/>
                      <w:szCs w:val="21"/>
                      <w:highlight w:val="none"/>
                    </w:rPr>
                  </w:pPr>
                  <w:r>
                    <w:rPr>
                      <w:rFonts w:hint="eastAsia"/>
                      <w:color w:val="auto"/>
                      <w:szCs w:val="21"/>
                      <w:highlight w:val="none"/>
                      <w:lang w:val="en-US" w:eastAsia="zh-CN"/>
                    </w:rPr>
                    <w:t>8</w:t>
                  </w:r>
                  <w:r>
                    <w:rPr>
                      <w:rFonts w:hint="eastAsia"/>
                      <w:color w:val="auto"/>
                      <w:szCs w:val="21"/>
                      <w:highlight w:val="none"/>
                    </w:rPr>
                    <w:t>万t/a</w:t>
                  </w:r>
                </w:p>
              </w:tc>
            </w:tr>
            <w:tr w14:paraId="32E7789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86" w:hRule="atLeast"/>
                <w:tblHeader/>
                <w:jc w:val="center"/>
              </w:trPr>
              <w:tc>
                <w:tcPr>
                  <w:tcW w:w="1683" w:type="dxa"/>
                  <w:tcBorders>
                    <w:tl2br w:val="nil"/>
                    <w:tr2bl w:val="nil"/>
                  </w:tcBorders>
                  <w:vAlign w:val="center"/>
                </w:tcPr>
                <w:p w14:paraId="5E0B1005">
                  <w:pPr>
                    <w:snapToGrid w:val="0"/>
                    <w:jc w:val="center"/>
                    <w:rPr>
                      <w:rFonts w:hint="default"/>
                      <w:color w:val="auto"/>
                      <w:szCs w:val="21"/>
                      <w:highlight w:val="none"/>
                      <w:lang w:val="en-US" w:eastAsia="zh-CN"/>
                    </w:rPr>
                  </w:pPr>
                  <w:r>
                    <w:rPr>
                      <w:rFonts w:hint="eastAsia"/>
                      <w:color w:val="auto"/>
                      <w:szCs w:val="21"/>
                      <w:highlight w:val="none"/>
                      <w:lang w:val="en-US" w:eastAsia="zh-CN"/>
                    </w:rPr>
                    <w:t>5</w:t>
                  </w:r>
                </w:p>
              </w:tc>
              <w:tc>
                <w:tcPr>
                  <w:tcW w:w="1683" w:type="dxa"/>
                  <w:tcBorders>
                    <w:tl2br w:val="nil"/>
                    <w:tr2bl w:val="nil"/>
                  </w:tcBorders>
                  <w:vAlign w:val="center"/>
                </w:tcPr>
                <w:p w14:paraId="25578BA2">
                  <w:pPr>
                    <w:snapToGrid w:val="0"/>
                    <w:jc w:val="center"/>
                    <w:rPr>
                      <w:rFonts w:hint="eastAsia" w:eastAsia="宋体"/>
                      <w:color w:val="auto"/>
                      <w:szCs w:val="21"/>
                      <w:highlight w:val="none"/>
                      <w:lang w:eastAsia="zh-CN"/>
                    </w:rPr>
                  </w:pPr>
                  <w:r>
                    <w:rPr>
                      <w:rFonts w:hint="eastAsia"/>
                      <w:color w:val="auto"/>
                      <w:szCs w:val="21"/>
                      <w:highlight w:val="none"/>
                      <w:lang w:eastAsia="zh-CN"/>
                    </w:rPr>
                    <w:t>砂浆</w:t>
                  </w:r>
                </w:p>
              </w:tc>
              <w:tc>
                <w:tcPr>
                  <w:tcW w:w="1683" w:type="dxa"/>
                  <w:tcBorders>
                    <w:tl2br w:val="nil"/>
                    <w:tr2bl w:val="nil"/>
                  </w:tcBorders>
                  <w:vAlign w:val="center"/>
                </w:tcPr>
                <w:p w14:paraId="76F92486">
                  <w:pPr>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1683" w:type="dxa"/>
                  <w:tcBorders>
                    <w:tl2br w:val="nil"/>
                    <w:tr2bl w:val="nil"/>
                  </w:tcBorders>
                  <w:vAlign w:val="center"/>
                </w:tcPr>
                <w:p w14:paraId="6878D620">
                  <w:pPr>
                    <w:snapToGrid w:val="0"/>
                    <w:jc w:val="center"/>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万t/a</w:t>
                  </w:r>
                </w:p>
              </w:tc>
              <w:tc>
                <w:tcPr>
                  <w:tcW w:w="1687" w:type="dxa"/>
                  <w:tcBorders>
                    <w:tl2br w:val="nil"/>
                    <w:tr2bl w:val="nil"/>
                  </w:tcBorders>
                  <w:vAlign w:val="center"/>
                </w:tcPr>
                <w:p w14:paraId="74B632D1">
                  <w:pPr>
                    <w:snapToGrid w:val="0"/>
                    <w:jc w:val="center"/>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万t/a</w:t>
                  </w:r>
                </w:p>
              </w:tc>
            </w:tr>
          </w:tbl>
          <w:p w14:paraId="2EFB153B">
            <w:pPr>
              <w:adjustRightInd w:val="0"/>
              <w:snapToGrid w:val="0"/>
              <w:spacing w:line="360" w:lineRule="auto"/>
              <w:ind w:firstLine="480" w:firstLineChars="200"/>
              <w:rPr>
                <w:color w:val="auto"/>
                <w:sz w:val="24"/>
                <w:szCs w:val="32"/>
                <w:highlight w:val="none"/>
              </w:rPr>
            </w:pPr>
            <w:r>
              <w:rPr>
                <w:rFonts w:hint="eastAsia"/>
                <w:color w:val="auto"/>
                <w:sz w:val="24"/>
                <w:szCs w:val="32"/>
                <w:highlight w:val="none"/>
              </w:rPr>
              <w:t>4、</w:t>
            </w:r>
            <w:r>
              <w:rPr>
                <w:color w:val="auto"/>
                <w:sz w:val="24"/>
                <w:szCs w:val="32"/>
                <w:highlight w:val="none"/>
              </w:rPr>
              <w:t>主要设备</w:t>
            </w:r>
          </w:p>
          <w:p w14:paraId="53540B13">
            <w:pPr>
              <w:spacing w:line="360" w:lineRule="auto"/>
              <w:ind w:firstLine="480" w:firstLineChars="200"/>
              <w:rPr>
                <w:color w:val="auto"/>
                <w:sz w:val="24"/>
                <w:szCs w:val="32"/>
                <w:highlight w:val="none"/>
              </w:rPr>
            </w:pPr>
            <w:r>
              <w:rPr>
                <w:rFonts w:hint="eastAsia"/>
                <w:color w:val="auto"/>
                <w:sz w:val="24"/>
                <w:szCs w:val="32"/>
                <w:highlight w:val="none"/>
                <w:lang w:val="en-US" w:eastAsia="zh-CN"/>
              </w:rPr>
              <w:t>现有工程生产</w:t>
            </w:r>
            <w:r>
              <w:rPr>
                <w:rFonts w:hint="eastAsia"/>
                <w:color w:val="auto"/>
                <w:sz w:val="24"/>
                <w:szCs w:val="32"/>
                <w:highlight w:val="none"/>
                <w:lang w:eastAsia="zh-CN"/>
              </w:rPr>
              <w:t>设备均维持不变，各新增生产线均增加搅拌机、提升机和自动包装机一套，变动前后主要设备情况</w:t>
            </w:r>
            <w:r>
              <w:rPr>
                <w:rFonts w:hint="eastAsia"/>
                <w:color w:val="auto"/>
                <w:sz w:val="24"/>
                <w:szCs w:val="32"/>
                <w:highlight w:val="none"/>
              </w:rPr>
              <w:t>见下表</w:t>
            </w:r>
            <w:r>
              <w:rPr>
                <w:color w:val="auto"/>
                <w:sz w:val="24"/>
                <w:szCs w:val="32"/>
                <w:highlight w:val="none"/>
              </w:rPr>
              <w:t>：</w:t>
            </w:r>
          </w:p>
          <w:p w14:paraId="3CA75888">
            <w:pPr>
              <w:adjustRightInd w:val="0"/>
              <w:snapToGrid w:val="0"/>
              <w:jc w:val="center"/>
              <w:rPr>
                <w:b/>
                <w:bCs/>
                <w:color w:val="auto"/>
                <w:highlight w:val="none"/>
              </w:rPr>
            </w:pPr>
            <w:r>
              <w:rPr>
                <w:b/>
                <w:bCs/>
                <w:color w:val="auto"/>
                <w:highlight w:val="none"/>
              </w:rPr>
              <w:t>表2-</w:t>
            </w:r>
            <w:r>
              <w:rPr>
                <w:rFonts w:hint="eastAsia"/>
                <w:b/>
                <w:bCs/>
                <w:color w:val="auto"/>
                <w:highlight w:val="none"/>
                <w:lang w:val="en-US" w:eastAsia="zh-CN"/>
              </w:rPr>
              <w:t>4</w:t>
            </w:r>
            <w:r>
              <w:rPr>
                <w:b/>
                <w:bCs/>
                <w:color w:val="auto"/>
                <w:highlight w:val="none"/>
              </w:rPr>
              <w:t xml:space="preserve">  </w:t>
            </w:r>
            <w:r>
              <w:rPr>
                <w:rFonts w:hint="eastAsia"/>
                <w:b/>
                <w:bCs/>
                <w:color w:val="auto"/>
                <w:highlight w:val="none"/>
                <w:lang w:eastAsia="zh-CN"/>
              </w:rPr>
              <w:t>变动前后主要设备</w:t>
            </w:r>
            <w:r>
              <w:rPr>
                <w:rFonts w:hint="eastAsia"/>
                <w:b/>
                <w:bCs/>
                <w:color w:val="auto"/>
                <w:highlight w:val="none"/>
              </w:rPr>
              <w:t>（设施）</w:t>
            </w:r>
            <w:r>
              <w:rPr>
                <w:b/>
                <w:bCs/>
                <w:color w:val="auto"/>
                <w:highlight w:val="none"/>
              </w:rPr>
              <w:t>一览表</w:t>
            </w:r>
          </w:p>
          <w:tbl>
            <w:tblPr>
              <w:tblStyle w:val="36"/>
              <w:tblW w:w="816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14"/>
              <w:gridCol w:w="2114"/>
              <w:gridCol w:w="1650"/>
              <w:gridCol w:w="1636"/>
              <w:gridCol w:w="1650"/>
            </w:tblGrid>
            <w:tr w14:paraId="56135F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2348C02C">
                  <w:pPr>
                    <w:snapToGrid w:val="0"/>
                    <w:jc w:val="center"/>
                    <w:rPr>
                      <w:color w:val="auto"/>
                      <w:szCs w:val="21"/>
                      <w:highlight w:val="none"/>
                    </w:rPr>
                  </w:pPr>
                  <w:r>
                    <w:rPr>
                      <w:color w:val="auto"/>
                      <w:szCs w:val="21"/>
                      <w:highlight w:val="none"/>
                    </w:rPr>
                    <w:t>序号</w:t>
                  </w:r>
                </w:p>
              </w:tc>
              <w:tc>
                <w:tcPr>
                  <w:tcW w:w="2114" w:type="dxa"/>
                  <w:tcBorders>
                    <w:tl2br w:val="nil"/>
                    <w:tr2bl w:val="nil"/>
                  </w:tcBorders>
                  <w:vAlign w:val="center"/>
                </w:tcPr>
                <w:p w14:paraId="4A2923CD">
                  <w:pPr>
                    <w:snapToGrid w:val="0"/>
                    <w:jc w:val="center"/>
                    <w:rPr>
                      <w:color w:val="auto"/>
                      <w:szCs w:val="21"/>
                      <w:highlight w:val="none"/>
                    </w:rPr>
                  </w:pPr>
                  <w:r>
                    <w:rPr>
                      <w:color w:val="auto"/>
                      <w:szCs w:val="21"/>
                      <w:highlight w:val="none"/>
                    </w:rPr>
                    <w:t>设备名称</w:t>
                  </w:r>
                </w:p>
              </w:tc>
              <w:tc>
                <w:tcPr>
                  <w:tcW w:w="1650" w:type="dxa"/>
                  <w:tcBorders>
                    <w:tl2br w:val="nil"/>
                    <w:tr2bl w:val="nil"/>
                  </w:tcBorders>
                  <w:vAlign w:val="center"/>
                </w:tcPr>
                <w:p w14:paraId="761FEA44">
                  <w:pPr>
                    <w:snapToGrid w:val="0"/>
                    <w:jc w:val="center"/>
                    <w:rPr>
                      <w:rFonts w:hint="eastAsia" w:eastAsia="宋体"/>
                      <w:color w:val="auto"/>
                      <w:szCs w:val="21"/>
                      <w:highlight w:val="none"/>
                      <w:lang w:eastAsia="zh-CN"/>
                    </w:rPr>
                  </w:pPr>
                  <w:r>
                    <w:rPr>
                      <w:rFonts w:hint="eastAsia"/>
                      <w:color w:val="auto"/>
                      <w:szCs w:val="21"/>
                      <w:highlight w:val="none"/>
                      <w:lang w:eastAsia="zh-CN"/>
                    </w:rPr>
                    <w:t>现有工程</w:t>
                  </w:r>
                </w:p>
              </w:tc>
              <w:tc>
                <w:tcPr>
                  <w:tcW w:w="1636" w:type="dxa"/>
                  <w:tcBorders>
                    <w:tl2br w:val="nil"/>
                    <w:tr2bl w:val="nil"/>
                  </w:tcBorders>
                  <w:vAlign w:val="center"/>
                </w:tcPr>
                <w:p w14:paraId="29C4BC74">
                  <w:pPr>
                    <w:snapToGrid w:val="0"/>
                    <w:jc w:val="center"/>
                    <w:rPr>
                      <w:rFonts w:hint="eastAsia"/>
                      <w:color w:val="auto"/>
                      <w:szCs w:val="21"/>
                      <w:highlight w:val="none"/>
                      <w:lang w:eastAsia="zh-CN"/>
                    </w:rPr>
                  </w:pPr>
                  <w:r>
                    <w:rPr>
                      <w:rFonts w:hint="eastAsia"/>
                      <w:color w:val="auto"/>
                      <w:szCs w:val="21"/>
                      <w:highlight w:val="none"/>
                      <w:lang w:eastAsia="zh-CN"/>
                    </w:rPr>
                    <w:t>变动新增</w:t>
                  </w:r>
                </w:p>
              </w:tc>
              <w:tc>
                <w:tcPr>
                  <w:tcW w:w="1650" w:type="dxa"/>
                  <w:tcBorders>
                    <w:tl2br w:val="nil"/>
                    <w:tr2bl w:val="nil"/>
                  </w:tcBorders>
                  <w:vAlign w:val="center"/>
                </w:tcPr>
                <w:p w14:paraId="28F3F871">
                  <w:pPr>
                    <w:snapToGrid w:val="0"/>
                    <w:jc w:val="center"/>
                    <w:rPr>
                      <w:color w:val="auto"/>
                      <w:szCs w:val="21"/>
                      <w:highlight w:val="none"/>
                    </w:rPr>
                  </w:pPr>
                  <w:r>
                    <w:rPr>
                      <w:rFonts w:hint="eastAsia"/>
                      <w:color w:val="auto"/>
                      <w:szCs w:val="21"/>
                      <w:highlight w:val="none"/>
                      <w:lang w:eastAsia="zh-CN"/>
                    </w:rPr>
                    <w:t>变动后全厂</w:t>
                  </w:r>
                </w:p>
              </w:tc>
            </w:tr>
            <w:tr w14:paraId="0929EB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76F0895C">
                  <w:pPr>
                    <w:snapToGrid w:val="0"/>
                    <w:jc w:val="center"/>
                    <w:rPr>
                      <w:rFonts w:hint="eastAsia"/>
                      <w:color w:val="auto"/>
                      <w:szCs w:val="21"/>
                      <w:highlight w:val="none"/>
                    </w:rPr>
                  </w:pPr>
                  <w:r>
                    <w:rPr>
                      <w:rFonts w:hint="eastAsia"/>
                      <w:color w:val="auto"/>
                      <w:szCs w:val="21"/>
                      <w:highlight w:val="none"/>
                    </w:rPr>
                    <w:t>1</w:t>
                  </w:r>
                </w:p>
              </w:tc>
              <w:tc>
                <w:tcPr>
                  <w:tcW w:w="2114" w:type="dxa"/>
                  <w:tcBorders>
                    <w:tl2br w:val="nil"/>
                    <w:tr2bl w:val="nil"/>
                  </w:tcBorders>
                  <w:vAlign w:val="center"/>
                </w:tcPr>
                <w:p w14:paraId="5D6109A7">
                  <w:pPr>
                    <w:jc w:val="center"/>
                    <w:rPr>
                      <w:rFonts w:hint="eastAsia" w:eastAsia="宋体"/>
                      <w:color w:val="auto"/>
                      <w:szCs w:val="21"/>
                      <w:highlight w:val="none"/>
                      <w:lang w:eastAsia="zh-CN"/>
                    </w:rPr>
                  </w:pPr>
                  <w:r>
                    <w:rPr>
                      <w:rFonts w:hint="eastAsia" w:ascii="Times New Roman" w:hAnsi="Times New Roman" w:cs="Times New Roman"/>
                      <w:color w:val="auto"/>
                      <w:szCs w:val="21"/>
                      <w:highlight w:val="none"/>
                    </w:rPr>
                    <w:t>振动给料机</w:t>
                  </w:r>
                </w:p>
              </w:tc>
              <w:tc>
                <w:tcPr>
                  <w:tcW w:w="1650" w:type="dxa"/>
                  <w:tcBorders>
                    <w:tl2br w:val="nil"/>
                    <w:tr2bl w:val="nil"/>
                  </w:tcBorders>
                  <w:vAlign w:val="center"/>
                </w:tcPr>
                <w:p w14:paraId="5289C7F7">
                  <w:pPr>
                    <w:widowControl/>
                    <w:jc w:val="center"/>
                    <w:textAlignment w:val="center"/>
                    <w:rPr>
                      <w:rFonts w:hint="eastAsia" w:ascii="Times New Roman" w:hAnsi="Times New Roman" w:cs="Times New Roman"/>
                      <w:color w:val="auto"/>
                      <w:szCs w:val="21"/>
                      <w:highlight w:val="none"/>
                    </w:rPr>
                  </w:pPr>
                  <w:r>
                    <w:rPr>
                      <w:rFonts w:hint="eastAsia"/>
                      <w:color w:val="auto"/>
                      <w:szCs w:val="21"/>
                      <w:highlight w:val="none"/>
                    </w:rPr>
                    <w:t>1台</w:t>
                  </w:r>
                </w:p>
              </w:tc>
              <w:tc>
                <w:tcPr>
                  <w:tcW w:w="1636" w:type="dxa"/>
                  <w:tcBorders>
                    <w:tl2br w:val="nil"/>
                    <w:tr2bl w:val="nil"/>
                  </w:tcBorders>
                  <w:vAlign w:val="center"/>
                </w:tcPr>
                <w:p w14:paraId="0E4E2AC4">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650" w:type="dxa"/>
                  <w:tcBorders>
                    <w:tl2br w:val="nil"/>
                    <w:tr2bl w:val="nil"/>
                  </w:tcBorders>
                  <w:vAlign w:val="center"/>
                </w:tcPr>
                <w:p w14:paraId="476EE2CD">
                  <w:pPr>
                    <w:widowControl/>
                    <w:jc w:val="center"/>
                    <w:textAlignment w:val="center"/>
                    <w:rPr>
                      <w:rFonts w:hint="eastAsia"/>
                      <w:color w:val="auto"/>
                      <w:szCs w:val="21"/>
                      <w:highlight w:val="none"/>
                    </w:rPr>
                  </w:pPr>
                  <w:r>
                    <w:rPr>
                      <w:rFonts w:hint="eastAsia"/>
                      <w:color w:val="auto"/>
                      <w:szCs w:val="21"/>
                      <w:highlight w:val="none"/>
                    </w:rPr>
                    <w:t>1台</w:t>
                  </w:r>
                </w:p>
              </w:tc>
            </w:tr>
            <w:tr w14:paraId="5D3DBC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115BEF14">
                  <w:pPr>
                    <w:snapToGrid w:val="0"/>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2114" w:type="dxa"/>
                  <w:tcBorders>
                    <w:tl2br w:val="nil"/>
                    <w:tr2bl w:val="nil"/>
                  </w:tcBorders>
                  <w:vAlign w:val="center"/>
                </w:tcPr>
                <w:p w14:paraId="46E3A6B0">
                  <w:pPr>
                    <w:jc w:val="center"/>
                    <w:rPr>
                      <w:color w:val="auto"/>
                      <w:szCs w:val="21"/>
                      <w:highlight w:val="none"/>
                    </w:rPr>
                  </w:pPr>
                  <w:r>
                    <w:rPr>
                      <w:rFonts w:hint="eastAsia" w:ascii="Times New Roman" w:hAnsi="Times New Roman" w:cs="Times New Roman"/>
                      <w:color w:val="auto"/>
                      <w:szCs w:val="21"/>
                      <w:highlight w:val="none"/>
                    </w:rPr>
                    <w:t>锷式破碎机</w:t>
                  </w:r>
                </w:p>
              </w:tc>
              <w:tc>
                <w:tcPr>
                  <w:tcW w:w="1650" w:type="dxa"/>
                  <w:tcBorders>
                    <w:tl2br w:val="nil"/>
                    <w:tr2bl w:val="nil"/>
                  </w:tcBorders>
                  <w:vAlign w:val="center"/>
                </w:tcPr>
                <w:p w14:paraId="106B434A">
                  <w:pPr>
                    <w:widowControl/>
                    <w:jc w:val="center"/>
                    <w:textAlignment w:val="center"/>
                    <w:rPr>
                      <w:rFonts w:hint="eastAsia" w:ascii="Times New Roman" w:hAnsi="Times New Roman" w:cs="Times New Roman"/>
                      <w:color w:val="auto"/>
                      <w:szCs w:val="21"/>
                      <w:highlight w:val="none"/>
                    </w:rPr>
                  </w:pPr>
                  <w:r>
                    <w:rPr>
                      <w:rFonts w:hint="eastAsia"/>
                      <w:color w:val="auto"/>
                      <w:szCs w:val="21"/>
                      <w:highlight w:val="none"/>
                    </w:rPr>
                    <w:t>1台</w:t>
                  </w:r>
                </w:p>
              </w:tc>
              <w:tc>
                <w:tcPr>
                  <w:tcW w:w="1636" w:type="dxa"/>
                  <w:tcBorders>
                    <w:tl2br w:val="nil"/>
                    <w:tr2bl w:val="nil"/>
                  </w:tcBorders>
                  <w:vAlign w:val="center"/>
                </w:tcPr>
                <w:p w14:paraId="31CBAE8A">
                  <w:pPr>
                    <w:jc w:val="center"/>
                    <w:rPr>
                      <w:rFonts w:hint="eastAsia"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1650" w:type="dxa"/>
                  <w:tcBorders>
                    <w:tl2br w:val="nil"/>
                    <w:tr2bl w:val="nil"/>
                  </w:tcBorders>
                  <w:vAlign w:val="center"/>
                </w:tcPr>
                <w:p w14:paraId="3BFF959A">
                  <w:pPr>
                    <w:widowControl/>
                    <w:jc w:val="center"/>
                    <w:textAlignment w:val="center"/>
                    <w:rPr>
                      <w:color w:val="auto"/>
                      <w:szCs w:val="21"/>
                      <w:highlight w:val="none"/>
                    </w:rPr>
                  </w:pPr>
                  <w:r>
                    <w:rPr>
                      <w:rFonts w:hint="eastAsia"/>
                      <w:color w:val="auto"/>
                      <w:szCs w:val="21"/>
                      <w:highlight w:val="none"/>
                    </w:rPr>
                    <w:t>1台</w:t>
                  </w:r>
                </w:p>
              </w:tc>
            </w:tr>
            <w:tr w14:paraId="1AF4CE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5C363066">
                  <w:pPr>
                    <w:snapToGrid w:val="0"/>
                    <w:jc w:val="center"/>
                    <w:rPr>
                      <w:rFonts w:hint="eastAsia" w:eastAsia="宋体"/>
                      <w:color w:val="auto"/>
                      <w:szCs w:val="21"/>
                      <w:highlight w:val="none"/>
                      <w:lang w:eastAsia="zh-CN"/>
                    </w:rPr>
                  </w:pPr>
                  <w:r>
                    <w:rPr>
                      <w:rFonts w:hint="eastAsia"/>
                      <w:color w:val="auto"/>
                      <w:szCs w:val="21"/>
                      <w:highlight w:val="none"/>
                    </w:rPr>
                    <w:t>3</w:t>
                  </w:r>
                </w:p>
              </w:tc>
              <w:tc>
                <w:tcPr>
                  <w:tcW w:w="2114" w:type="dxa"/>
                  <w:tcBorders>
                    <w:tl2br w:val="nil"/>
                    <w:tr2bl w:val="nil"/>
                  </w:tcBorders>
                  <w:vAlign w:val="center"/>
                </w:tcPr>
                <w:p w14:paraId="7C27F2A9">
                  <w:pPr>
                    <w:jc w:val="center"/>
                    <w:rPr>
                      <w:color w:val="auto"/>
                      <w:szCs w:val="21"/>
                      <w:highlight w:val="none"/>
                    </w:rPr>
                  </w:pPr>
                  <w:r>
                    <w:rPr>
                      <w:rFonts w:hint="eastAsia" w:ascii="Times New Roman" w:hAnsi="Times New Roman" w:cs="Times New Roman"/>
                      <w:color w:val="auto"/>
                      <w:szCs w:val="21"/>
                      <w:highlight w:val="none"/>
                    </w:rPr>
                    <w:t>制砂机</w:t>
                  </w:r>
                </w:p>
              </w:tc>
              <w:tc>
                <w:tcPr>
                  <w:tcW w:w="1650" w:type="dxa"/>
                  <w:tcBorders>
                    <w:tl2br w:val="nil"/>
                    <w:tr2bl w:val="nil"/>
                  </w:tcBorders>
                  <w:vAlign w:val="center"/>
                </w:tcPr>
                <w:p w14:paraId="6D409B28">
                  <w:pPr>
                    <w:widowControl/>
                    <w:jc w:val="center"/>
                    <w:textAlignment w:val="center"/>
                    <w:rPr>
                      <w:rFonts w:hint="eastAsia" w:ascii="Times New Roman" w:hAnsi="Times New Roman" w:cs="Times New Roman"/>
                      <w:color w:val="auto"/>
                      <w:szCs w:val="21"/>
                      <w:highlight w:val="none"/>
                    </w:rPr>
                  </w:pPr>
                  <w:r>
                    <w:rPr>
                      <w:rFonts w:hint="eastAsia"/>
                      <w:color w:val="auto"/>
                      <w:szCs w:val="21"/>
                      <w:highlight w:val="none"/>
                      <w:lang w:val="en-US" w:eastAsia="zh-CN"/>
                    </w:rPr>
                    <w:t>2</w:t>
                  </w:r>
                  <w:r>
                    <w:rPr>
                      <w:rFonts w:hint="eastAsia"/>
                      <w:color w:val="auto"/>
                      <w:szCs w:val="21"/>
                      <w:highlight w:val="none"/>
                    </w:rPr>
                    <w:t>台</w:t>
                  </w:r>
                </w:p>
              </w:tc>
              <w:tc>
                <w:tcPr>
                  <w:tcW w:w="1636" w:type="dxa"/>
                  <w:tcBorders>
                    <w:tl2br w:val="nil"/>
                    <w:tr2bl w:val="nil"/>
                  </w:tcBorders>
                  <w:vAlign w:val="center"/>
                </w:tcPr>
                <w:p w14:paraId="220049C3">
                  <w:pPr>
                    <w:jc w:val="center"/>
                    <w:rPr>
                      <w:rFonts w:hint="eastAsia"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1650" w:type="dxa"/>
                  <w:tcBorders>
                    <w:tl2br w:val="nil"/>
                    <w:tr2bl w:val="nil"/>
                  </w:tcBorders>
                  <w:vAlign w:val="center"/>
                </w:tcPr>
                <w:p w14:paraId="78BDBC7E">
                  <w:pPr>
                    <w:widowControl/>
                    <w:jc w:val="center"/>
                    <w:textAlignment w:val="center"/>
                    <w:rPr>
                      <w:color w:val="auto"/>
                      <w:szCs w:val="21"/>
                      <w:highlight w:val="none"/>
                    </w:rPr>
                  </w:pPr>
                  <w:r>
                    <w:rPr>
                      <w:rFonts w:hint="eastAsia"/>
                      <w:color w:val="auto"/>
                      <w:szCs w:val="21"/>
                      <w:highlight w:val="none"/>
                      <w:lang w:val="en-US" w:eastAsia="zh-CN"/>
                    </w:rPr>
                    <w:t>2</w:t>
                  </w:r>
                  <w:r>
                    <w:rPr>
                      <w:rFonts w:hint="eastAsia"/>
                      <w:color w:val="auto"/>
                      <w:szCs w:val="21"/>
                      <w:highlight w:val="none"/>
                    </w:rPr>
                    <w:t>台</w:t>
                  </w:r>
                </w:p>
              </w:tc>
            </w:tr>
            <w:tr w14:paraId="43160E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1A50C44A">
                  <w:pPr>
                    <w:snapToGrid w:val="0"/>
                    <w:jc w:val="center"/>
                    <w:rPr>
                      <w:rFonts w:hint="default"/>
                      <w:color w:val="auto"/>
                      <w:szCs w:val="21"/>
                      <w:highlight w:val="none"/>
                      <w:lang w:val="en-US" w:eastAsia="zh-CN"/>
                    </w:rPr>
                  </w:pPr>
                  <w:r>
                    <w:rPr>
                      <w:rFonts w:hint="eastAsia"/>
                      <w:color w:val="auto"/>
                      <w:szCs w:val="21"/>
                      <w:highlight w:val="none"/>
                      <w:lang w:val="en-US" w:eastAsia="zh-CN"/>
                    </w:rPr>
                    <w:t>4</w:t>
                  </w:r>
                </w:p>
              </w:tc>
              <w:tc>
                <w:tcPr>
                  <w:tcW w:w="2114" w:type="dxa"/>
                  <w:tcBorders>
                    <w:tl2br w:val="nil"/>
                    <w:tr2bl w:val="nil"/>
                  </w:tcBorders>
                  <w:vAlign w:val="center"/>
                </w:tcPr>
                <w:p w14:paraId="20AEAF0E">
                  <w:pPr>
                    <w:jc w:val="center"/>
                    <w:rPr>
                      <w:rFonts w:hint="eastAsia"/>
                      <w:color w:val="auto"/>
                      <w:szCs w:val="21"/>
                      <w:highlight w:val="none"/>
                    </w:rPr>
                  </w:pPr>
                  <w:r>
                    <w:rPr>
                      <w:rFonts w:hint="eastAsia" w:ascii="Times New Roman" w:hAnsi="Times New Roman" w:cs="Times New Roman"/>
                      <w:color w:val="auto"/>
                      <w:szCs w:val="21"/>
                      <w:highlight w:val="none"/>
                    </w:rPr>
                    <w:t>雷蒙磨</w:t>
                  </w:r>
                </w:p>
              </w:tc>
              <w:tc>
                <w:tcPr>
                  <w:tcW w:w="1650" w:type="dxa"/>
                  <w:tcBorders>
                    <w:tl2br w:val="nil"/>
                    <w:tr2bl w:val="nil"/>
                  </w:tcBorders>
                  <w:vAlign w:val="center"/>
                </w:tcPr>
                <w:p w14:paraId="1792B3CC">
                  <w:pPr>
                    <w:widowControl/>
                    <w:jc w:val="center"/>
                    <w:textAlignment w:val="center"/>
                    <w:rPr>
                      <w:rFonts w:hint="eastAsia" w:ascii="Times New Roman" w:hAnsi="Times New Roman" w:cs="Times New Roman"/>
                      <w:color w:val="auto"/>
                      <w:szCs w:val="21"/>
                      <w:highlight w:val="none"/>
                    </w:rPr>
                  </w:pPr>
                  <w:r>
                    <w:rPr>
                      <w:rFonts w:hint="eastAsia"/>
                      <w:color w:val="auto"/>
                      <w:szCs w:val="21"/>
                      <w:highlight w:val="none"/>
                    </w:rPr>
                    <w:t>1台</w:t>
                  </w:r>
                </w:p>
              </w:tc>
              <w:tc>
                <w:tcPr>
                  <w:tcW w:w="1636" w:type="dxa"/>
                  <w:tcBorders>
                    <w:tl2br w:val="nil"/>
                    <w:tr2bl w:val="nil"/>
                  </w:tcBorders>
                  <w:vAlign w:val="center"/>
                </w:tcPr>
                <w:p w14:paraId="7F2701B6">
                  <w:pPr>
                    <w:jc w:val="center"/>
                    <w:rPr>
                      <w:rFonts w:hint="eastAsia"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1650" w:type="dxa"/>
                  <w:tcBorders>
                    <w:tl2br w:val="nil"/>
                    <w:tr2bl w:val="nil"/>
                  </w:tcBorders>
                  <w:vAlign w:val="center"/>
                </w:tcPr>
                <w:p w14:paraId="43726ABC">
                  <w:pPr>
                    <w:widowControl/>
                    <w:jc w:val="center"/>
                    <w:textAlignment w:val="center"/>
                    <w:rPr>
                      <w:rFonts w:hint="eastAsia"/>
                      <w:color w:val="auto"/>
                      <w:szCs w:val="21"/>
                      <w:highlight w:val="none"/>
                    </w:rPr>
                  </w:pPr>
                  <w:r>
                    <w:rPr>
                      <w:rFonts w:hint="eastAsia"/>
                      <w:color w:val="auto"/>
                      <w:szCs w:val="21"/>
                      <w:highlight w:val="none"/>
                    </w:rPr>
                    <w:t>1台</w:t>
                  </w:r>
                </w:p>
              </w:tc>
            </w:tr>
            <w:tr w14:paraId="73917F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5E3FDB4C">
                  <w:pPr>
                    <w:snapToGrid w:val="0"/>
                    <w:jc w:val="center"/>
                    <w:rPr>
                      <w:rFonts w:hint="default"/>
                      <w:color w:val="auto"/>
                      <w:szCs w:val="21"/>
                      <w:highlight w:val="none"/>
                      <w:lang w:val="en-US" w:eastAsia="zh-CN"/>
                    </w:rPr>
                  </w:pPr>
                  <w:r>
                    <w:rPr>
                      <w:rFonts w:hint="eastAsia"/>
                      <w:color w:val="auto"/>
                      <w:szCs w:val="21"/>
                      <w:highlight w:val="none"/>
                      <w:lang w:val="en-US" w:eastAsia="zh-CN"/>
                    </w:rPr>
                    <w:t>5</w:t>
                  </w:r>
                </w:p>
              </w:tc>
              <w:tc>
                <w:tcPr>
                  <w:tcW w:w="2114" w:type="dxa"/>
                  <w:tcBorders>
                    <w:tl2br w:val="nil"/>
                    <w:tr2bl w:val="nil"/>
                  </w:tcBorders>
                  <w:vAlign w:val="center"/>
                </w:tcPr>
                <w:p w14:paraId="26ECCF69">
                  <w:pPr>
                    <w:jc w:val="center"/>
                    <w:rPr>
                      <w:rFonts w:hint="eastAsia"/>
                      <w:color w:val="auto"/>
                      <w:szCs w:val="21"/>
                      <w:highlight w:val="none"/>
                    </w:rPr>
                  </w:pPr>
                  <w:r>
                    <w:rPr>
                      <w:rFonts w:hint="eastAsia" w:cs="Times New Roman"/>
                      <w:color w:val="auto"/>
                      <w:szCs w:val="21"/>
                      <w:highlight w:val="none"/>
                      <w:lang w:eastAsia="zh-CN"/>
                    </w:rPr>
                    <w:t>中央</w:t>
                  </w:r>
                  <w:r>
                    <w:rPr>
                      <w:rFonts w:hint="eastAsia" w:ascii="Times New Roman" w:hAnsi="Times New Roman" w:cs="Times New Roman"/>
                      <w:color w:val="auto"/>
                      <w:szCs w:val="21"/>
                      <w:highlight w:val="none"/>
                    </w:rPr>
                    <w:t>布袋除尘器</w:t>
                  </w:r>
                </w:p>
              </w:tc>
              <w:tc>
                <w:tcPr>
                  <w:tcW w:w="1650" w:type="dxa"/>
                  <w:tcBorders>
                    <w:tl2br w:val="nil"/>
                    <w:tr2bl w:val="nil"/>
                  </w:tcBorders>
                  <w:vAlign w:val="center"/>
                </w:tcPr>
                <w:p w14:paraId="3F963620">
                  <w:pPr>
                    <w:widowControl/>
                    <w:jc w:val="center"/>
                    <w:textAlignment w:val="center"/>
                    <w:rPr>
                      <w:rFonts w:hint="eastAsia" w:cs="Times New Roman"/>
                      <w:color w:val="auto"/>
                      <w:szCs w:val="21"/>
                      <w:highlight w:val="none"/>
                      <w:lang w:eastAsia="zh-CN"/>
                    </w:rPr>
                  </w:pPr>
                  <w:r>
                    <w:rPr>
                      <w:rFonts w:hint="eastAsia"/>
                      <w:color w:val="auto"/>
                      <w:szCs w:val="21"/>
                      <w:highlight w:val="none"/>
                      <w:lang w:val="en-US" w:eastAsia="zh-CN"/>
                    </w:rPr>
                    <w:t>1个</w:t>
                  </w:r>
                </w:p>
              </w:tc>
              <w:tc>
                <w:tcPr>
                  <w:tcW w:w="1636" w:type="dxa"/>
                  <w:tcBorders>
                    <w:tl2br w:val="nil"/>
                    <w:tr2bl w:val="nil"/>
                  </w:tcBorders>
                  <w:vAlign w:val="center"/>
                </w:tcPr>
                <w:p w14:paraId="08E674D2">
                  <w:pPr>
                    <w:jc w:val="center"/>
                    <w:rPr>
                      <w:rFonts w:hint="eastAsia" w:cs="Times New Roman"/>
                      <w:color w:val="auto"/>
                      <w:szCs w:val="21"/>
                      <w:highlight w:val="none"/>
                      <w:lang w:eastAsia="zh-CN"/>
                    </w:rPr>
                  </w:pPr>
                  <w:r>
                    <w:rPr>
                      <w:rFonts w:hint="eastAsia" w:cs="Times New Roman"/>
                      <w:color w:val="auto"/>
                      <w:szCs w:val="21"/>
                      <w:highlight w:val="none"/>
                      <w:lang w:val="en-US" w:eastAsia="zh-CN"/>
                    </w:rPr>
                    <w:t>0</w:t>
                  </w:r>
                </w:p>
              </w:tc>
              <w:tc>
                <w:tcPr>
                  <w:tcW w:w="1650" w:type="dxa"/>
                  <w:tcBorders>
                    <w:tl2br w:val="nil"/>
                    <w:tr2bl w:val="nil"/>
                  </w:tcBorders>
                  <w:vAlign w:val="center"/>
                </w:tcPr>
                <w:p w14:paraId="04AAC6DD">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1个</w:t>
                  </w:r>
                </w:p>
              </w:tc>
            </w:tr>
            <w:tr w14:paraId="336077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6B2BAF22">
                  <w:pPr>
                    <w:snapToGrid w:val="0"/>
                    <w:jc w:val="center"/>
                    <w:rPr>
                      <w:rFonts w:hint="default"/>
                      <w:color w:val="auto"/>
                      <w:szCs w:val="21"/>
                      <w:highlight w:val="none"/>
                      <w:lang w:val="en-US" w:eastAsia="zh-CN"/>
                    </w:rPr>
                  </w:pPr>
                  <w:r>
                    <w:rPr>
                      <w:rFonts w:hint="eastAsia"/>
                      <w:color w:val="auto"/>
                      <w:szCs w:val="21"/>
                      <w:highlight w:val="none"/>
                      <w:lang w:val="en-US" w:eastAsia="zh-CN"/>
                    </w:rPr>
                    <w:t>6</w:t>
                  </w:r>
                </w:p>
              </w:tc>
              <w:tc>
                <w:tcPr>
                  <w:tcW w:w="2114" w:type="dxa"/>
                  <w:tcBorders>
                    <w:tl2br w:val="nil"/>
                    <w:tr2bl w:val="nil"/>
                  </w:tcBorders>
                  <w:vAlign w:val="center"/>
                </w:tcPr>
                <w:p w14:paraId="622EF6CF">
                  <w:pPr>
                    <w:jc w:val="center"/>
                    <w:rPr>
                      <w:rFonts w:hint="eastAsia"/>
                      <w:color w:val="auto"/>
                      <w:szCs w:val="21"/>
                      <w:highlight w:val="none"/>
                    </w:rPr>
                  </w:pPr>
                  <w:r>
                    <w:rPr>
                      <w:rFonts w:hint="eastAsia" w:ascii="Times New Roman" w:hAnsi="Times New Roman" w:cs="Times New Roman"/>
                      <w:color w:val="auto"/>
                      <w:szCs w:val="21"/>
                      <w:highlight w:val="none"/>
                    </w:rPr>
                    <w:t>筛砂机</w:t>
                  </w:r>
                </w:p>
              </w:tc>
              <w:tc>
                <w:tcPr>
                  <w:tcW w:w="1650" w:type="dxa"/>
                  <w:tcBorders>
                    <w:tl2br w:val="nil"/>
                    <w:tr2bl w:val="nil"/>
                  </w:tcBorders>
                  <w:vAlign w:val="center"/>
                </w:tcPr>
                <w:p w14:paraId="7B65AE7C">
                  <w:pPr>
                    <w:widowControl/>
                    <w:jc w:val="center"/>
                    <w:textAlignment w:val="center"/>
                    <w:rPr>
                      <w:rFonts w:hint="eastAsia" w:ascii="Times New Roman" w:hAnsi="Times New Roman" w:cs="Times New Roman"/>
                      <w:color w:val="auto"/>
                      <w:szCs w:val="21"/>
                      <w:highlight w:val="none"/>
                    </w:rPr>
                  </w:pPr>
                  <w:r>
                    <w:rPr>
                      <w:rFonts w:hint="eastAsia"/>
                      <w:color w:val="auto"/>
                      <w:szCs w:val="21"/>
                      <w:highlight w:val="none"/>
                      <w:lang w:val="en-US" w:eastAsia="zh-CN"/>
                    </w:rPr>
                    <w:t>4个</w:t>
                  </w:r>
                </w:p>
              </w:tc>
              <w:tc>
                <w:tcPr>
                  <w:tcW w:w="1636" w:type="dxa"/>
                  <w:tcBorders>
                    <w:tl2br w:val="nil"/>
                    <w:tr2bl w:val="nil"/>
                  </w:tcBorders>
                  <w:vAlign w:val="center"/>
                </w:tcPr>
                <w:p w14:paraId="07CC67FF">
                  <w:pPr>
                    <w:jc w:val="center"/>
                    <w:rPr>
                      <w:rFonts w:hint="eastAsia"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1650" w:type="dxa"/>
                  <w:tcBorders>
                    <w:tl2br w:val="nil"/>
                    <w:tr2bl w:val="nil"/>
                  </w:tcBorders>
                  <w:vAlign w:val="center"/>
                </w:tcPr>
                <w:p w14:paraId="5EFC596B">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4个</w:t>
                  </w:r>
                </w:p>
              </w:tc>
            </w:tr>
            <w:tr w14:paraId="5D86A8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29FF0672">
                  <w:pPr>
                    <w:snapToGrid w:val="0"/>
                    <w:jc w:val="center"/>
                    <w:rPr>
                      <w:rFonts w:hint="default"/>
                      <w:color w:val="auto"/>
                      <w:szCs w:val="21"/>
                      <w:highlight w:val="none"/>
                      <w:lang w:val="en-US" w:eastAsia="zh-CN"/>
                    </w:rPr>
                  </w:pPr>
                  <w:r>
                    <w:rPr>
                      <w:rFonts w:hint="eastAsia"/>
                      <w:color w:val="auto"/>
                      <w:szCs w:val="21"/>
                      <w:highlight w:val="none"/>
                      <w:lang w:val="en-US" w:eastAsia="zh-CN"/>
                    </w:rPr>
                    <w:t>7</w:t>
                  </w:r>
                </w:p>
              </w:tc>
              <w:tc>
                <w:tcPr>
                  <w:tcW w:w="2114" w:type="dxa"/>
                  <w:tcBorders>
                    <w:tl2br w:val="nil"/>
                    <w:tr2bl w:val="nil"/>
                  </w:tcBorders>
                  <w:vAlign w:val="center"/>
                </w:tcPr>
                <w:p w14:paraId="7E49A860">
                  <w:pPr>
                    <w:jc w:val="center"/>
                    <w:rPr>
                      <w:rFonts w:hint="eastAsia"/>
                      <w:color w:val="auto"/>
                      <w:szCs w:val="21"/>
                      <w:highlight w:val="none"/>
                    </w:rPr>
                  </w:pPr>
                  <w:r>
                    <w:rPr>
                      <w:rFonts w:hint="eastAsia" w:ascii="Times New Roman" w:hAnsi="Times New Roman" w:cs="Times New Roman"/>
                      <w:color w:val="auto"/>
                      <w:kern w:val="2"/>
                      <w:sz w:val="21"/>
                      <w:szCs w:val="21"/>
                      <w:highlight w:val="none"/>
                      <w:lang w:val="en-US" w:eastAsia="zh-CN" w:bidi="ar-SA"/>
                    </w:rPr>
                    <w:t>包装机</w:t>
                  </w:r>
                </w:p>
              </w:tc>
              <w:tc>
                <w:tcPr>
                  <w:tcW w:w="1650" w:type="dxa"/>
                  <w:tcBorders>
                    <w:tl2br w:val="nil"/>
                    <w:tr2bl w:val="nil"/>
                  </w:tcBorders>
                  <w:vAlign w:val="center"/>
                </w:tcPr>
                <w:p w14:paraId="4C4DE63F">
                  <w:pPr>
                    <w:widowControl/>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color w:val="auto"/>
                      <w:szCs w:val="21"/>
                      <w:highlight w:val="none"/>
                      <w:lang w:val="en-US" w:eastAsia="zh-CN"/>
                    </w:rPr>
                    <w:t>1个</w:t>
                  </w:r>
                </w:p>
              </w:tc>
              <w:tc>
                <w:tcPr>
                  <w:tcW w:w="1636" w:type="dxa"/>
                  <w:tcBorders>
                    <w:tl2br w:val="nil"/>
                    <w:tr2bl w:val="nil"/>
                  </w:tcBorders>
                  <w:vAlign w:val="center"/>
                </w:tcPr>
                <w:p w14:paraId="5E6A29B5">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650" w:type="dxa"/>
                  <w:tcBorders>
                    <w:tl2br w:val="nil"/>
                    <w:tr2bl w:val="nil"/>
                  </w:tcBorders>
                  <w:vAlign w:val="center"/>
                </w:tcPr>
                <w:p w14:paraId="722B5E67">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1个</w:t>
                  </w:r>
                </w:p>
              </w:tc>
            </w:tr>
            <w:tr w14:paraId="79D560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364846F8">
                  <w:pPr>
                    <w:snapToGrid w:val="0"/>
                    <w:jc w:val="center"/>
                    <w:rPr>
                      <w:rFonts w:hint="eastAsia" w:eastAsia="宋体"/>
                      <w:color w:val="auto"/>
                      <w:szCs w:val="21"/>
                      <w:highlight w:val="none"/>
                      <w:lang w:eastAsia="zh-CN"/>
                    </w:rPr>
                  </w:pPr>
                  <w:r>
                    <w:rPr>
                      <w:rFonts w:hint="eastAsia"/>
                      <w:color w:val="auto"/>
                      <w:szCs w:val="21"/>
                      <w:highlight w:val="none"/>
                      <w:lang w:val="en-US" w:eastAsia="zh-CN"/>
                    </w:rPr>
                    <w:t>8</w:t>
                  </w:r>
                </w:p>
              </w:tc>
              <w:tc>
                <w:tcPr>
                  <w:tcW w:w="2114" w:type="dxa"/>
                  <w:tcBorders>
                    <w:tl2br w:val="nil"/>
                    <w:tr2bl w:val="nil"/>
                  </w:tcBorders>
                  <w:vAlign w:val="center"/>
                </w:tcPr>
                <w:p w14:paraId="4CED678C">
                  <w:pPr>
                    <w:widowControl/>
                    <w:jc w:val="center"/>
                    <w:textAlignment w:val="center"/>
                    <w:rPr>
                      <w:color w:val="auto"/>
                      <w:szCs w:val="21"/>
                      <w:highlight w:val="none"/>
                    </w:rPr>
                  </w:pPr>
                  <w:r>
                    <w:rPr>
                      <w:rFonts w:hint="eastAsia"/>
                      <w:color w:val="auto"/>
                      <w:szCs w:val="21"/>
                      <w:highlight w:val="none"/>
                      <w:lang w:eastAsia="zh-CN"/>
                    </w:rPr>
                    <w:t>搅拌机</w:t>
                  </w:r>
                </w:p>
              </w:tc>
              <w:tc>
                <w:tcPr>
                  <w:tcW w:w="1650" w:type="dxa"/>
                  <w:tcBorders>
                    <w:tl2br w:val="nil"/>
                    <w:tr2bl w:val="nil"/>
                  </w:tcBorders>
                  <w:vAlign w:val="center"/>
                </w:tcPr>
                <w:p w14:paraId="10AE8498">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0</w:t>
                  </w:r>
                </w:p>
              </w:tc>
              <w:tc>
                <w:tcPr>
                  <w:tcW w:w="1636" w:type="dxa"/>
                  <w:tcBorders>
                    <w:tl2br w:val="nil"/>
                    <w:tr2bl w:val="nil"/>
                  </w:tcBorders>
                  <w:vAlign w:val="top"/>
                </w:tcPr>
                <w:p w14:paraId="1A366087">
                  <w:pPr>
                    <w:widowControl/>
                    <w:jc w:val="center"/>
                    <w:textAlignment w:val="center"/>
                    <w:rPr>
                      <w:rFonts w:hint="eastAsia"/>
                      <w:color w:val="auto"/>
                      <w:szCs w:val="21"/>
                      <w:highlight w:val="none"/>
                      <w:lang w:eastAsia="zh-CN"/>
                    </w:rPr>
                  </w:pPr>
                  <w:r>
                    <w:rPr>
                      <w:rFonts w:hint="eastAsia"/>
                      <w:color w:val="auto"/>
                      <w:szCs w:val="21"/>
                      <w:highlight w:val="none"/>
                      <w:lang w:val="en-US" w:eastAsia="zh-CN"/>
                    </w:rPr>
                    <w:t>3</w:t>
                  </w:r>
                  <w:r>
                    <w:rPr>
                      <w:rFonts w:hint="eastAsia"/>
                      <w:color w:val="auto"/>
                      <w:szCs w:val="21"/>
                      <w:highlight w:val="none"/>
                    </w:rPr>
                    <w:t>台</w:t>
                  </w:r>
                </w:p>
              </w:tc>
              <w:tc>
                <w:tcPr>
                  <w:tcW w:w="1650" w:type="dxa"/>
                  <w:tcBorders>
                    <w:tl2br w:val="nil"/>
                    <w:tr2bl w:val="nil"/>
                  </w:tcBorders>
                </w:tcPr>
                <w:p w14:paraId="59CD76C0">
                  <w:pPr>
                    <w:widowControl/>
                    <w:jc w:val="center"/>
                    <w:textAlignment w:val="center"/>
                    <w:rPr>
                      <w:color w:val="auto"/>
                      <w:szCs w:val="21"/>
                      <w:highlight w:val="none"/>
                    </w:rPr>
                  </w:pPr>
                  <w:r>
                    <w:rPr>
                      <w:rFonts w:hint="eastAsia"/>
                      <w:color w:val="auto"/>
                      <w:szCs w:val="21"/>
                      <w:highlight w:val="none"/>
                      <w:lang w:val="en-US" w:eastAsia="zh-CN"/>
                    </w:rPr>
                    <w:t>3</w:t>
                  </w:r>
                  <w:r>
                    <w:rPr>
                      <w:rFonts w:hint="eastAsia"/>
                      <w:color w:val="auto"/>
                      <w:szCs w:val="21"/>
                      <w:highlight w:val="none"/>
                    </w:rPr>
                    <w:t>台</w:t>
                  </w:r>
                </w:p>
              </w:tc>
            </w:tr>
            <w:tr w14:paraId="01B348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0355C208">
                  <w:pPr>
                    <w:snapToGrid w:val="0"/>
                    <w:jc w:val="center"/>
                    <w:rPr>
                      <w:rFonts w:hint="eastAsia" w:eastAsia="宋体"/>
                      <w:color w:val="auto"/>
                      <w:szCs w:val="21"/>
                      <w:highlight w:val="none"/>
                      <w:lang w:eastAsia="zh-CN"/>
                    </w:rPr>
                  </w:pPr>
                  <w:r>
                    <w:rPr>
                      <w:rFonts w:hint="eastAsia"/>
                      <w:color w:val="auto"/>
                      <w:szCs w:val="21"/>
                      <w:highlight w:val="none"/>
                      <w:lang w:val="en-US" w:eastAsia="zh-CN"/>
                    </w:rPr>
                    <w:t>9</w:t>
                  </w:r>
                </w:p>
              </w:tc>
              <w:tc>
                <w:tcPr>
                  <w:tcW w:w="2114" w:type="dxa"/>
                  <w:tcBorders>
                    <w:tl2br w:val="nil"/>
                    <w:tr2bl w:val="nil"/>
                  </w:tcBorders>
                  <w:vAlign w:val="center"/>
                </w:tcPr>
                <w:p w14:paraId="282FD6F3">
                  <w:pPr>
                    <w:widowControl/>
                    <w:jc w:val="center"/>
                    <w:textAlignment w:val="center"/>
                    <w:rPr>
                      <w:rFonts w:hint="eastAsia" w:eastAsia="宋体"/>
                      <w:color w:val="auto"/>
                      <w:szCs w:val="21"/>
                      <w:highlight w:val="none"/>
                      <w:lang w:eastAsia="zh-CN"/>
                    </w:rPr>
                  </w:pPr>
                  <w:r>
                    <w:rPr>
                      <w:rFonts w:hint="eastAsia"/>
                      <w:color w:val="auto"/>
                      <w:szCs w:val="21"/>
                      <w:highlight w:val="none"/>
                      <w:lang w:eastAsia="zh-CN"/>
                    </w:rPr>
                    <w:t>提升机</w:t>
                  </w:r>
                </w:p>
              </w:tc>
              <w:tc>
                <w:tcPr>
                  <w:tcW w:w="1650" w:type="dxa"/>
                  <w:tcBorders>
                    <w:tl2br w:val="nil"/>
                    <w:tr2bl w:val="nil"/>
                  </w:tcBorders>
                  <w:vAlign w:val="center"/>
                </w:tcPr>
                <w:p w14:paraId="6F0A7A8F">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0</w:t>
                  </w:r>
                </w:p>
              </w:tc>
              <w:tc>
                <w:tcPr>
                  <w:tcW w:w="1636" w:type="dxa"/>
                  <w:tcBorders>
                    <w:tl2br w:val="nil"/>
                    <w:tr2bl w:val="nil"/>
                  </w:tcBorders>
                  <w:vAlign w:val="top"/>
                </w:tcPr>
                <w:p w14:paraId="5E37B1BA">
                  <w:pPr>
                    <w:widowControl/>
                    <w:jc w:val="center"/>
                    <w:textAlignment w:val="center"/>
                    <w:rPr>
                      <w:rFonts w:hint="eastAsia"/>
                      <w:color w:val="auto"/>
                      <w:szCs w:val="21"/>
                      <w:highlight w:val="none"/>
                      <w:lang w:eastAsia="zh-CN"/>
                    </w:rPr>
                  </w:pPr>
                  <w:r>
                    <w:rPr>
                      <w:rFonts w:hint="eastAsia"/>
                      <w:color w:val="auto"/>
                      <w:szCs w:val="21"/>
                      <w:highlight w:val="none"/>
                      <w:lang w:val="en-US" w:eastAsia="zh-CN"/>
                    </w:rPr>
                    <w:t>3</w:t>
                  </w:r>
                  <w:r>
                    <w:rPr>
                      <w:rFonts w:hint="eastAsia"/>
                      <w:color w:val="auto"/>
                      <w:szCs w:val="21"/>
                      <w:highlight w:val="none"/>
                    </w:rPr>
                    <w:t>台</w:t>
                  </w:r>
                </w:p>
              </w:tc>
              <w:tc>
                <w:tcPr>
                  <w:tcW w:w="1650" w:type="dxa"/>
                  <w:tcBorders>
                    <w:tl2br w:val="nil"/>
                    <w:tr2bl w:val="nil"/>
                  </w:tcBorders>
                </w:tcPr>
                <w:p w14:paraId="7B1F8DFF">
                  <w:pPr>
                    <w:widowControl/>
                    <w:jc w:val="center"/>
                    <w:textAlignment w:val="center"/>
                    <w:rPr>
                      <w:color w:val="auto"/>
                      <w:szCs w:val="21"/>
                      <w:highlight w:val="none"/>
                    </w:rPr>
                  </w:pPr>
                  <w:r>
                    <w:rPr>
                      <w:rFonts w:hint="eastAsia"/>
                      <w:color w:val="auto"/>
                      <w:szCs w:val="21"/>
                      <w:highlight w:val="none"/>
                      <w:lang w:val="en-US" w:eastAsia="zh-CN"/>
                    </w:rPr>
                    <w:t>3</w:t>
                  </w:r>
                  <w:r>
                    <w:rPr>
                      <w:rFonts w:hint="eastAsia"/>
                      <w:color w:val="auto"/>
                      <w:szCs w:val="21"/>
                      <w:highlight w:val="none"/>
                    </w:rPr>
                    <w:t>台</w:t>
                  </w:r>
                </w:p>
              </w:tc>
            </w:tr>
            <w:tr w14:paraId="4BB6E1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114" w:type="dxa"/>
                  <w:tcBorders>
                    <w:tl2br w:val="nil"/>
                    <w:tr2bl w:val="nil"/>
                  </w:tcBorders>
                  <w:vAlign w:val="center"/>
                </w:tcPr>
                <w:p w14:paraId="01F69386">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2114" w:type="dxa"/>
                  <w:tcBorders>
                    <w:tl2br w:val="nil"/>
                    <w:tr2bl w:val="nil"/>
                  </w:tcBorders>
                  <w:vAlign w:val="center"/>
                </w:tcPr>
                <w:p w14:paraId="4C2FC595">
                  <w:pPr>
                    <w:widowControl/>
                    <w:jc w:val="center"/>
                    <w:textAlignment w:val="center"/>
                    <w:rPr>
                      <w:rFonts w:hint="eastAsia" w:eastAsia="宋体"/>
                      <w:color w:val="auto"/>
                      <w:szCs w:val="21"/>
                      <w:highlight w:val="none"/>
                      <w:lang w:eastAsia="zh-CN"/>
                    </w:rPr>
                  </w:pPr>
                  <w:r>
                    <w:rPr>
                      <w:rFonts w:hint="eastAsia"/>
                      <w:color w:val="auto"/>
                      <w:szCs w:val="21"/>
                      <w:highlight w:val="none"/>
                      <w:lang w:eastAsia="zh-CN"/>
                    </w:rPr>
                    <w:t>自动包装机</w:t>
                  </w:r>
                </w:p>
              </w:tc>
              <w:tc>
                <w:tcPr>
                  <w:tcW w:w="1650" w:type="dxa"/>
                  <w:tcBorders>
                    <w:tl2br w:val="nil"/>
                    <w:tr2bl w:val="nil"/>
                  </w:tcBorders>
                  <w:vAlign w:val="center"/>
                </w:tcPr>
                <w:p w14:paraId="7C6C2517">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0</w:t>
                  </w:r>
                </w:p>
              </w:tc>
              <w:tc>
                <w:tcPr>
                  <w:tcW w:w="1636" w:type="dxa"/>
                  <w:tcBorders>
                    <w:tl2br w:val="nil"/>
                    <w:tr2bl w:val="nil"/>
                  </w:tcBorders>
                  <w:vAlign w:val="top"/>
                </w:tcPr>
                <w:p w14:paraId="469EDD46">
                  <w:pPr>
                    <w:widowControl/>
                    <w:jc w:val="center"/>
                    <w:textAlignment w:val="center"/>
                    <w:rPr>
                      <w:rFonts w:hint="eastAsia"/>
                      <w:color w:val="auto"/>
                      <w:szCs w:val="21"/>
                      <w:highlight w:val="none"/>
                      <w:lang w:eastAsia="zh-CN"/>
                    </w:rPr>
                  </w:pPr>
                  <w:r>
                    <w:rPr>
                      <w:rFonts w:hint="eastAsia"/>
                      <w:color w:val="auto"/>
                      <w:szCs w:val="21"/>
                      <w:highlight w:val="none"/>
                      <w:lang w:val="en-US" w:eastAsia="zh-CN"/>
                    </w:rPr>
                    <w:t>3</w:t>
                  </w:r>
                  <w:r>
                    <w:rPr>
                      <w:rFonts w:hint="eastAsia"/>
                      <w:color w:val="auto"/>
                      <w:szCs w:val="21"/>
                      <w:highlight w:val="none"/>
                    </w:rPr>
                    <w:t>台</w:t>
                  </w:r>
                </w:p>
              </w:tc>
              <w:tc>
                <w:tcPr>
                  <w:tcW w:w="1650" w:type="dxa"/>
                  <w:tcBorders>
                    <w:tl2br w:val="nil"/>
                    <w:tr2bl w:val="nil"/>
                  </w:tcBorders>
                </w:tcPr>
                <w:p w14:paraId="24BB3A08">
                  <w:pPr>
                    <w:widowControl/>
                    <w:jc w:val="center"/>
                    <w:textAlignment w:val="center"/>
                    <w:rPr>
                      <w:color w:val="auto"/>
                      <w:szCs w:val="21"/>
                      <w:highlight w:val="none"/>
                    </w:rPr>
                  </w:pPr>
                  <w:r>
                    <w:rPr>
                      <w:rFonts w:hint="eastAsia"/>
                      <w:color w:val="auto"/>
                      <w:szCs w:val="21"/>
                      <w:highlight w:val="none"/>
                      <w:lang w:val="en-US" w:eastAsia="zh-CN"/>
                    </w:rPr>
                    <w:t>3</w:t>
                  </w:r>
                  <w:r>
                    <w:rPr>
                      <w:rFonts w:hint="eastAsia"/>
                      <w:color w:val="auto"/>
                      <w:szCs w:val="21"/>
                      <w:highlight w:val="none"/>
                    </w:rPr>
                    <w:t>台</w:t>
                  </w:r>
                </w:p>
              </w:tc>
            </w:tr>
          </w:tbl>
          <w:p w14:paraId="53662506">
            <w:pPr>
              <w:spacing w:line="360" w:lineRule="auto"/>
              <w:ind w:firstLine="480" w:firstLineChars="200"/>
              <w:rPr>
                <w:color w:val="auto"/>
                <w:sz w:val="24"/>
                <w:szCs w:val="32"/>
                <w:highlight w:val="none"/>
              </w:rPr>
            </w:pPr>
            <w:r>
              <w:rPr>
                <w:rFonts w:hint="eastAsia"/>
                <w:color w:val="auto"/>
                <w:sz w:val="24"/>
                <w:szCs w:val="32"/>
                <w:highlight w:val="none"/>
              </w:rPr>
              <w:t>5</w:t>
            </w:r>
            <w:r>
              <w:rPr>
                <w:color w:val="auto"/>
                <w:sz w:val="24"/>
                <w:szCs w:val="32"/>
                <w:highlight w:val="none"/>
              </w:rPr>
              <w:t>、原辅材料消耗</w:t>
            </w:r>
          </w:p>
          <w:p w14:paraId="442E69AC">
            <w:pPr>
              <w:spacing w:line="360" w:lineRule="auto"/>
              <w:ind w:firstLine="480" w:firstLineChars="200"/>
              <w:rPr>
                <w:b/>
                <w:bCs/>
                <w:color w:val="auto"/>
                <w:highlight w:val="none"/>
              </w:rPr>
            </w:pPr>
            <w:r>
              <w:rPr>
                <w:rFonts w:hint="eastAsia" w:hAnsi="宋体"/>
                <w:color w:val="auto"/>
                <w:sz w:val="24"/>
                <w:highlight w:val="none"/>
                <w:lang w:eastAsia="zh-CN"/>
              </w:rPr>
              <w:t>变动前后</w:t>
            </w:r>
            <w:r>
              <w:rPr>
                <w:rFonts w:hint="eastAsia" w:hAnsi="宋体"/>
                <w:color w:val="auto"/>
                <w:sz w:val="24"/>
                <w:highlight w:val="none"/>
              </w:rPr>
              <w:t>原辅料消耗情况</w:t>
            </w:r>
            <w:r>
              <w:rPr>
                <w:rFonts w:hint="eastAsia"/>
                <w:color w:val="auto"/>
                <w:sz w:val="24"/>
                <w:szCs w:val="32"/>
                <w:highlight w:val="none"/>
              </w:rPr>
              <w:t>：</w:t>
            </w:r>
          </w:p>
          <w:p w14:paraId="54B1D5A1">
            <w:pPr>
              <w:jc w:val="center"/>
              <w:rPr>
                <w:rFonts w:hint="default" w:eastAsia="宋体"/>
                <w:color w:val="auto"/>
                <w:highlight w:val="none"/>
                <w:lang w:val="en-US" w:eastAsia="zh-CN"/>
              </w:rPr>
            </w:pPr>
            <w:r>
              <w:rPr>
                <w:b/>
                <w:bCs/>
                <w:color w:val="auto"/>
                <w:highlight w:val="none"/>
              </w:rPr>
              <w:t>表</w:t>
            </w:r>
            <w:r>
              <w:rPr>
                <w:rFonts w:hint="eastAsia"/>
                <w:b/>
                <w:bCs/>
                <w:color w:val="auto"/>
                <w:highlight w:val="none"/>
              </w:rPr>
              <w:t>2-</w:t>
            </w:r>
            <w:r>
              <w:rPr>
                <w:rFonts w:hint="eastAsia"/>
                <w:b/>
                <w:bCs/>
                <w:color w:val="auto"/>
                <w:highlight w:val="none"/>
                <w:lang w:val="en-US" w:eastAsia="zh-CN"/>
              </w:rPr>
              <w:t>5</w:t>
            </w:r>
            <w:r>
              <w:rPr>
                <w:b/>
                <w:bCs/>
                <w:color w:val="auto"/>
                <w:highlight w:val="none"/>
              </w:rPr>
              <w:t xml:space="preserve">  </w:t>
            </w:r>
            <w:r>
              <w:rPr>
                <w:rFonts w:hint="eastAsia"/>
                <w:b/>
                <w:bCs/>
                <w:color w:val="auto"/>
                <w:highlight w:val="none"/>
                <w:lang w:eastAsia="zh-CN"/>
              </w:rPr>
              <w:t>变动前后</w:t>
            </w:r>
            <w:r>
              <w:rPr>
                <w:b/>
                <w:bCs/>
                <w:color w:val="auto"/>
                <w:highlight w:val="none"/>
              </w:rPr>
              <w:t>原辅材料消耗情况一览表</w:t>
            </w:r>
            <w:r>
              <w:rPr>
                <w:rFonts w:hint="eastAsia"/>
                <w:b/>
                <w:bCs/>
                <w:color w:val="auto"/>
                <w:highlight w:val="none"/>
                <w:lang w:val="en-US" w:eastAsia="zh-CN"/>
              </w:rPr>
              <w:t xml:space="preserve">    单位t/a</w:t>
            </w:r>
          </w:p>
          <w:tbl>
            <w:tblPr>
              <w:tblStyle w:val="37"/>
              <w:tblW w:w="8476" w:type="dxa"/>
              <w:tblInd w:w="3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6"/>
              <w:gridCol w:w="658"/>
              <w:gridCol w:w="1069"/>
              <w:gridCol w:w="1746"/>
              <w:gridCol w:w="1217"/>
              <w:gridCol w:w="1783"/>
              <w:gridCol w:w="1567"/>
            </w:tblGrid>
            <w:tr w14:paraId="68619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94" w:type="dxa"/>
                  <w:gridSpan w:val="2"/>
                  <w:vMerge w:val="restart"/>
                  <w:tcBorders>
                    <w:tl2br w:val="nil"/>
                    <w:tr2bl w:val="nil"/>
                  </w:tcBorders>
                  <w:vAlign w:val="center"/>
                </w:tcPr>
                <w:p w14:paraId="36F224AA">
                  <w:pPr>
                    <w:snapToGrid w:val="0"/>
                    <w:jc w:val="center"/>
                    <w:rPr>
                      <w:color w:val="auto"/>
                      <w:szCs w:val="21"/>
                      <w:highlight w:val="none"/>
                    </w:rPr>
                  </w:pPr>
                  <w:r>
                    <w:rPr>
                      <w:rFonts w:hint="eastAsia"/>
                      <w:color w:val="auto"/>
                      <w:szCs w:val="21"/>
                      <w:highlight w:val="none"/>
                    </w:rPr>
                    <w:t>名称</w:t>
                  </w:r>
                </w:p>
              </w:tc>
              <w:tc>
                <w:tcPr>
                  <w:tcW w:w="2815" w:type="dxa"/>
                  <w:gridSpan w:val="2"/>
                  <w:tcBorders>
                    <w:tl2br w:val="nil"/>
                    <w:tr2bl w:val="nil"/>
                  </w:tcBorders>
                  <w:vAlign w:val="center"/>
                </w:tcPr>
                <w:p w14:paraId="6B2BBDA5">
                  <w:pPr>
                    <w:snapToGrid w:val="0"/>
                    <w:jc w:val="center"/>
                    <w:rPr>
                      <w:rFonts w:hint="eastAsia"/>
                      <w:color w:val="auto"/>
                      <w:szCs w:val="21"/>
                      <w:highlight w:val="none"/>
                    </w:rPr>
                  </w:pPr>
                  <w:r>
                    <w:rPr>
                      <w:rFonts w:hint="eastAsia"/>
                      <w:color w:val="auto"/>
                      <w:szCs w:val="21"/>
                      <w:highlight w:val="none"/>
                      <w:lang w:eastAsia="zh-CN"/>
                    </w:rPr>
                    <w:t>现有工程</w:t>
                  </w:r>
                </w:p>
              </w:tc>
              <w:tc>
                <w:tcPr>
                  <w:tcW w:w="3000" w:type="dxa"/>
                  <w:gridSpan w:val="2"/>
                  <w:tcBorders>
                    <w:tl2br w:val="nil"/>
                    <w:tr2bl w:val="nil"/>
                  </w:tcBorders>
                  <w:vAlign w:val="center"/>
                </w:tcPr>
                <w:p w14:paraId="3D098238">
                  <w:pPr>
                    <w:snapToGrid w:val="0"/>
                    <w:jc w:val="center"/>
                    <w:rPr>
                      <w:rFonts w:hint="eastAsia"/>
                      <w:color w:val="auto"/>
                      <w:szCs w:val="21"/>
                      <w:highlight w:val="none"/>
                      <w:lang w:eastAsia="zh-CN"/>
                    </w:rPr>
                  </w:pPr>
                  <w:r>
                    <w:rPr>
                      <w:rFonts w:hint="eastAsia"/>
                      <w:color w:val="auto"/>
                      <w:szCs w:val="21"/>
                      <w:highlight w:val="none"/>
                      <w:lang w:eastAsia="zh-CN"/>
                    </w:rPr>
                    <w:t>变动新增</w:t>
                  </w:r>
                </w:p>
              </w:tc>
              <w:tc>
                <w:tcPr>
                  <w:tcW w:w="1567" w:type="dxa"/>
                  <w:vMerge w:val="restart"/>
                  <w:tcBorders>
                    <w:tl2br w:val="nil"/>
                    <w:tr2bl w:val="nil"/>
                  </w:tcBorders>
                  <w:vAlign w:val="center"/>
                </w:tcPr>
                <w:p w14:paraId="51D1E4BC">
                  <w:pPr>
                    <w:pStyle w:val="45"/>
                    <w:jc w:val="center"/>
                    <w:rPr>
                      <w:rFonts w:hint="default"/>
                      <w:color w:val="auto"/>
                      <w:highlight w:val="none"/>
                      <w:lang w:val="en-US" w:eastAsia="zh-CN"/>
                    </w:rPr>
                  </w:pPr>
                  <w:r>
                    <w:rPr>
                      <w:rFonts w:hint="eastAsia"/>
                      <w:color w:val="auto"/>
                      <w:sz w:val="21"/>
                      <w:szCs w:val="21"/>
                      <w:highlight w:val="none"/>
                      <w:lang w:val="en-US" w:eastAsia="zh-CN"/>
                    </w:rPr>
                    <w:t>变动后全厂</w:t>
                  </w:r>
                </w:p>
              </w:tc>
            </w:tr>
            <w:tr w14:paraId="1E898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1094" w:type="dxa"/>
                  <w:gridSpan w:val="2"/>
                  <w:vMerge w:val="continue"/>
                  <w:tcBorders>
                    <w:tl2br w:val="nil"/>
                    <w:tr2bl w:val="nil"/>
                  </w:tcBorders>
                  <w:vAlign w:val="center"/>
                </w:tcPr>
                <w:p w14:paraId="4A490675">
                  <w:pPr>
                    <w:snapToGrid w:val="0"/>
                    <w:jc w:val="center"/>
                    <w:rPr>
                      <w:color w:val="auto"/>
                      <w:szCs w:val="21"/>
                      <w:highlight w:val="none"/>
                    </w:rPr>
                  </w:pPr>
                </w:p>
              </w:tc>
              <w:tc>
                <w:tcPr>
                  <w:tcW w:w="1069" w:type="dxa"/>
                  <w:tcBorders>
                    <w:tl2br w:val="nil"/>
                    <w:tr2bl w:val="nil"/>
                  </w:tcBorders>
                  <w:vAlign w:val="center"/>
                </w:tcPr>
                <w:p w14:paraId="3A408C3C">
                  <w:pPr>
                    <w:snapToGrid w:val="0"/>
                    <w:jc w:val="center"/>
                    <w:rPr>
                      <w:color w:val="auto"/>
                      <w:szCs w:val="21"/>
                      <w:highlight w:val="none"/>
                    </w:rPr>
                  </w:pPr>
                  <w:r>
                    <w:rPr>
                      <w:rFonts w:hint="eastAsia"/>
                      <w:color w:val="auto"/>
                      <w:szCs w:val="21"/>
                      <w:highlight w:val="none"/>
                    </w:rPr>
                    <w:t>消耗量</w:t>
                  </w:r>
                </w:p>
              </w:tc>
              <w:tc>
                <w:tcPr>
                  <w:tcW w:w="1746" w:type="dxa"/>
                  <w:tcBorders>
                    <w:tl2br w:val="nil"/>
                    <w:tr2bl w:val="nil"/>
                  </w:tcBorders>
                  <w:vAlign w:val="center"/>
                </w:tcPr>
                <w:p w14:paraId="126A4DBB">
                  <w:pPr>
                    <w:snapToGrid w:val="0"/>
                    <w:jc w:val="center"/>
                    <w:rPr>
                      <w:color w:val="auto"/>
                      <w:szCs w:val="21"/>
                      <w:highlight w:val="none"/>
                    </w:rPr>
                  </w:pPr>
                  <w:r>
                    <w:rPr>
                      <w:rFonts w:hint="eastAsia"/>
                      <w:color w:val="auto"/>
                      <w:szCs w:val="21"/>
                      <w:highlight w:val="none"/>
                    </w:rPr>
                    <w:t>备注</w:t>
                  </w:r>
                </w:p>
              </w:tc>
              <w:tc>
                <w:tcPr>
                  <w:tcW w:w="1217" w:type="dxa"/>
                  <w:tcBorders>
                    <w:tl2br w:val="nil"/>
                    <w:tr2bl w:val="nil"/>
                  </w:tcBorders>
                  <w:vAlign w:val="center"/>
                </w:tcPr>
                <w:p w14:paraId="060BAACE">
                  <w:pPr>
                    <w:snapToGrid w:val="0"/>
                    <w:jc w:val="center"/>
                    <w:rPr>
                      <w:rFonts w:hint="eastAsia"/>
                      <w:color w:val="auto"/>
                      <w:szCs w:val="21"/>
                      <w:highlight w:val="none"/>
                    </w:rPr>
                  </w:pPr>
                  <w:r>
                    <w:rPr>
                      <w:rFonts w:hint="eastAsia"/>
                      <w:color w:val="auto"/>
                      <w:szCs w:val="21"/>
                      <w:highlight w:val="none"/>
                    </w:rPr>
                    <w:t>消耗量</w:t>
                  </w:r>
                </w:p>
              </w:tc>
              <w:tc>
                <w:tcPr>
                  <w:tcW w:w="1783" w:type="dxa"/>
                  <w:tcBorders>
                    <w:tl2br w:val="nil"/>
                    <w:tr2bl w:val="nil"/>
                  </w:tcBorders>
                  <w:vAlign w:val="center"/>
                </w:tcPr>
                <w:p w14:paraId="4F785E8B">
                  <w:pPr>
                    <w:snapToGrid w:val="0"/>
                    <w:jc w:val="center"/>
                    <w:rPr>
                      <w:rFonts w:hint="eastAsia"/>
                      <w:color w:val="auto"/>
                      <w:szCs w:val="21"/>
                      <w:highlight w:val="none"/>
                    </w:rPr>
                  </w:pPr>
                  <w:r>
                    <w:rPr>
                      <w:rFonts w:hint="eastAsia"/>
                      <w:color w:val="auto"/>
                      <w:szCs w:val="21"/>
                      <w:highlight w:val="none"/>
                    </w:rPr>
                    <w:t>备注</w:t>
                  </w:r>
                </w:p>
              </w:tc>
              <w:tc>
                <w:tcPr>
                  <w:tcW w:w="1567" w:type="dxa"/>
                  <w:vMerge w:val="continue"/>
                  <w:tcBorders>
                    <w:tl2br w:val="nil"/>
                    <w:tr2bl w:val="nil"/>
                  </w:tcBorders>
                </w:tcPr>
                <w:p w14:paraId="738C8097">
                  <w:pPr>
                    <w:snapToGrid w:val="0"/>
                    <w:jc w:val="center"/>
                    <w:rPr>
                      <w:rFonts w:hint="eastAsia"/>
                      <w:color w:val="auto"/>
                      <w:szCs w:val="21"/>
                      <w:highlight w:val="none"/>
                    </w:rPr>
                  </w:pPr>
                </w:p>
              </w:tc>
            </w:tr>
            <w:tr w14:paraId="2EC8F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6FCB42E7">
                  <w:pPr>
                    <w:tabs>
                      <w:tab w:val="left" w:pos="540"/>
                      <w:tab w:val="left" w:pos="900"/>
                    </w:tabs>
                    <w:snapToGrid w:val="0"/>
                    <w:jc w:val="center"/>
                    <w:rPr>
                      <w:color w:val="auto"/>
                      <w:szCs w:val="21"/>
                      <w:highlight w:val="none"/>
                    </w:rPr>
                  </w:pPr>
                  <w:r>
                    <w:rPr>
                      <w:rFonts w:hint="eastAsia" w:ascii="Times New Roman" w:hAnsi="Times New Roman" w:cs="Times New Roman"/>
                      <w:color w:val="auto"/>
                      <w:szCs w:val="21"/>
                      <w:highlight w:val="none"/>
                    </w:rPr>
                    <w:t>白方石</w:t>
                  </w:r>
                </w:p>
              </w:tc>
              <w:tc>
                <w:tcPr>
                  <w:tcW w:w="1069" w:type="dxa"/>
                  <w:tcBorders>
                    <w:tl2br w:val="nil"/>
                    <w:tr2bl w:val="nil"/>
                  </w:tcBorders>
                  <w:vAlign w:val="center"/>
                </w:tcPr>
                <w:p w14:paraId="6B1A68EF">
                  <w:pPr>
                    <w:widowControl/>
                    <w:jc w:val="center"/>
                    <w:textAlignment w:val="center"/>
                    <w:rPr>
                      <w:color w:val="auto"/>
                      <w:szCs w:val="21"/>
                      <w:highlight w:val="none"/>
                    </w:rPr>
                  </w:pPr>
                  <w:r>
                    <w:rPr>
                      <w:rFonts w:hint="eastAsia"/>
                      <w:color w:val="auto"/>
                      <w:kern w:val="0"/>
                      <w:sz w:val="22"/>
                      <w:szCs w:val="22"/>
                      <w:highlight w:val="none"/>
                      <w:lang w:val="en-US" w:eastAsia="zh-CN"/>
                    </w:rPr>
                    <w:t>350013.55</w:t>
                  </w:r>
                </w:p>
              </w:tc>
              <w:tc>
                <w:tcPr>
                  <w:tcW w:w="1746" w:type="dxa"/>
                  <w:tcBorders>
                    <w:tl2br w:val="nil"/>
                    <w:tr2bl w:val="nil"/>
                  </w:tcBorders>
                  <w:vAlign w:val="center"/>
                </w:tcPr>
                <w:p w14:paraId="53C36464">
                  <w:pPr>
                    <w:snapToGrid w:val="0"/>
                    <w:jc w:val="center"/>
                    <w:rPr>
                      <w:color w:val="auto"/>
                      <w:szCs w:val="21"/>
                      <w:highlight w:val="none"/>
                    </w:rPr>
                  </w:pPr>
                  <w:r>
                    <w:rPr>
                      <w:color w:val="auto"/>
                      <w:szCs w:val="21"/>
                      <w:highlight w:val="none"/>
                    </w:rPr>
                    <w:t>外购</w:t>
                  </w:r>
                </w:p>
              </w:tc>
              <w:tc>
                <w:tcPr>
                  <w:tcW w:w="1217" w:type="dxa"/>
                  <w:tcBorders>
                    <w:tl2br w:val="nil"/>
                    <w:tr2bl w:val="nil"/>
                  </w:tcBorders>
                  <w:vAlign w:val="center"/>
                </w:tcPr>
                <w:p w14:paraId="5F0D54FA">
                  <w:pPr>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83" w:type="dxa"/>
                  <w:tcBorders>
                    <w:tl2br w:val="nil"/>
                    <w:tr2bl w:val="nil"/>
                  </w:tcBorders>
                  <w:vAlign w:val="center"/>
                </w:tcPr>
                <w:p w14:paraId="79773DD3">
                  <w:pPr>
                    <w:snapToGrid w:val="0"/>
                    <w:jc w:val="center"/>
                    <w:rPr>
                      <w:color w:val="auto"/>
                      <w:szCs w:val="21"/>
                      <w:highlight w:val="none"/>
                    </w:rPr>
                  </w:pPr>
                  <w:r>
                    <w:rPr>
                      <w:rFonts w:hint="eastAsia"/>
                      <w:color w:val="auto"/>
                      <w:szCs w:val="21"/>
                      <w:highlight w:val="none"/>
                      <w:lang w:val="en-US" w:eastAsia="zh-CN"/>
                    </w:rPr>
                    <w:t>/</w:t>
                  </w:r>
                </w:p>
              </w:tc>
              <w:tc>
                <w:tcPr>
                  <w:tcW w:w="1567" w:type="dxa"/>
                  <w:tcBorders>
                    <w:tl2br w:val="nil"/>
                    <w:tr2bl w:val="nil"/>
                  </w:tcBorders>
                  <w:vAlign w:val="center"/>
                </w:tcPr>
                <w:p w14:paraId="6D65A87D">
                  <w:pPr>
                    <w:snapToGrid w:val="0"/>
                    <w:jc w:val="center"/>
                    <w:rPr>
                      <w:color w:val="auto"/>
                      <w:szCs w:val="21"/>
                      <w:highlight w:val="none"/>
                    </w:rPr>
                  </w:pPr>
                  <w:r>
                    <w:rPr>
                      <w:rFonts w:hint="eastAsia"/>
                      <w:color w:val="auto"/>
                      <w:szCs w:val="21"/>
                      <w:highlight w:val="none"/>
                      <w:lang w:val="en-US" w:eastAsia="zh-CN"/>
                    </w:rPr>
                    <w:t>/</w:t>
                  </w:r>
                </w:p>
              </w:tc>
            </w:tr>
            <w:tr w14:paraId="5175D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6" w:type="dxa"/>
                  <w:vMerge w:val="restart"/>
                  <w:tcBorders>
                    <w:tl2br w:val="nil"/>
                    <w:tr2bl w:val="nil"/>
                  </w:tcBorders>
                  <w:vAlign w:val="center"/>
                </w:tcPr>
                <w:p w14:paraId="5ED56EF1">
                  <w:pPr>
                    <w:snapToGrid w:val="0"/>
                    <w:jc w:val="center"/>
                    <w:rPr>
                      <w:rFonts w:hint="eastAsia" w:eastAsia="宋体"/>
                      <w:color w:val="auto"/>
                      <w:szCs w:val="21"/>
                      <w:highlight w:val="none"/>
                      <w:lang w:eastAsia="zh-CN"/>
                    </w:rPr>
                  </w:pPr>
                  <w:r>
                    <w:rPr>
                      <w:rFonts w:hint="eastAsia" w:eastAsia="宋体"/>
                      <w:color w:val="auto"/>
                      <w:szCs w:val="21"/>
                      <w:highlight w:val="none"/>
                      <w:lang w:eastAsia="zh-CN"/>
                    </w:rPr>
                    <w:t>腻子粉生产线</w:t>
                  </w:r>
                </w:p>
              </w:tc>
              <w:tc>
                <w:tcPr>
                  <w:tcW w:w="658" w:type="dxa"/>
                  <w:tcBorders>
                    <w:tl2br w:val="nil"/>
                    <w:tr2bl w:val="nil"/>
                  </w:tcBorders>
                  <w:vAlign w:val="center"/>
                </w:tcPr>
                <w:p w14:paraId="32EB6738">
                  <w:pPr>
                    <w:tabs>
                      <w:tab w:val="left" w:pos="540"/>
                      <w:tab w:val="left" w:pos="900"/>
                    </w:tabs>
                    <w:snapToGrid w:val="0"/>
                    <w:jc w:val="center"/>
                    <w:rPr>
                      <w:rFonts w:hint="eastAsia"/>
                      <w:color w:val="auto"/>
                      <w:szCs w:val="21"/>
                      <w:highlight w:val="none"/>
                      <w:lang w:eastAsia="zh-CN"/>
                    </w:rPr>
                  </w:pPr>
                  <w:r>
                    <w:rPr>
                      <w:rFonts w:hint="eastAsia"/>
                      <w:color w:val="auto"/>
                      <w:szCs w:val="21"/>
                      <w:highlight w:val="none"/>
                      <w:lang w:eastAsia="zh-CN"/>
                    </w:rPr>
                    <w:t>彩砂</w:t>
                  </w:r>
                </w:p>
              </w:tc>
              <w:tc>
                <w:tcPr>
                  <w:tcW w:w="1069" w:type="dxa"/>
                  <w:tcBorders>
                    <w:tl2br w:val="nil"/>
                    <w:tr2bl w:val="nil"/>
                  </w:tcBorders>
                  <w:vAlign w:val="center"/>
                </w:tcPr>
                <w:p w14:paraId="05EB6DC2">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46" w:type="dxa"/>
                  <w:tcBorders>
                    <w:tl2br w:val="nil"/>
                    <w:tr2bl w:val="nil"/>
                  </w:tcBorders>
                  <w:vAlign w:val="center"/>
                </w:tcPr>
                <w:p w14:paraId="5115D49D">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67D4F529">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84000</w:t>
                  </w:r>
                </w:p>
              </w:tc>
              <w:tc>
                <w:tcPr>
                  <w:tcW w:w="1783" w:type="dxa"/>
                  <w:tcBorders>
                    <w:tl2br w:val="nil"/>
                    <w:tr2bl w:val="nil"/>
                  </w:tcBorders>
                  <w:vAlign w:val="center"/>
                </w:tcPr>
                <w:p w14:paraId="6793D172">
                  <w:pPr>
                    <w:snapToGrid w:val="0"/>
                    <w:jc w:val="center"/>
                    <w:rPr>
                      <w:color w:val="auto"/>
                      <w:szCs w:val="21"/>
                      <w:highlight w:val="none"/>
                    </w:rPr>
                  </w:pPr>
                  <w:r>
                    <w:rPr>
                      <w:rFonts w:hint="eastAsia"/>
                      <w:color w:val="auto"/>
                      <w:szCs w:val="21"/>
                      <w:highlight w:val="none"/>
                      <w:lang w:val="en-US" w:eastAsia="zh-CN"/>
                    </w:rPr>
                    <w:t>自产</w:t>
                  </w:r>
                </w:p>
              </w:tc>
              <w:tc>
                <w:tcPr>
                  <w:tcW w:w="1567" w:type="dxa"/>
                  <w:tcBorders>
                    <w:tl2br w:val="nil"/>
                    <w:tr2bl w:val="nil"/>
                  </w:tcBorders>
                  <w:vAlign w:val="center"/>
                </w:tcPr>
                <w:p w14:paraId="4FF4BA6F">
                  <w:pPr>
                    <w:snapToGrid w:val="0"/>
                    <w:jc w:val="center"/>
                    <w:rPr>
                      <w:color w:val="auto"/>
                      <w:szCs w:val="21"/>
                      <w:highlight w:val="none"/>
                    </w:rPr>
                  </w:pPr>
                  <w:r>
                    <w:rPr>
                      <w:rFonts w:hint="eastAsia"/>
                      <w:color w:val="auto"/>
                      <w:szCs w:val="21"/>
                      <w:highlight w:val="none"/>
                      <w:lang w:val="en-US" w:eastAsia="zh-CN"/>
                    </w:rPr>
                    <w:t>84000</w:t>
                  </w:r>
                </w:p>
              </w:tc>
            </w:tr>
            <w:tr w14:paraId="62542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6" w:type="dxa"/>
                  <w:vMerge w:val="continue"/>
                  <w:tcBorders>
                    <w:tl2br w:val="nil"/>
                    <w:tr2bl w:val="nil"/>
                  </w:tcBorders>
                  <w:vAlign w:val="center"/>
                </w:tcPr>
                <w:p w14:paraId="5EC40A6E">
                  <w:pPr>
                    <w:snapToGrid w:val="0"/>
                    <w:jc w:val="center"/>
                    <w:rPr>
                      <w:rFonts w:hint="eastAsia" w:eastAsia="宋体"/>
                      <w:color w:val="auto"/>
                      <w:szCs w:val="21"/>
                      <w:highlight w:val="none"/>
                      <w:lang w:eastAsia="zh-CN"/>
                    </w:rPr>
                  </w:pPr>
                </w:p>
              </w:tc>
              <w:tc>
                <w:tcPr>
                  <w:tcW w:w="658" w:type="dxa"/>
                  <w:tcBorders>
                    <w:tl2br w:val="nil"/>
                    <w:tr2bl w:val="nil"/>
                  </w:tcBorders>
                  <w:vAlign w:val="center"/>
                </w:tcPr>
                <w:p w14:paraId="4EF88948">
                  <w:pPr>
                    <w:snapToGrid w:val="0"/>
                    <w:jc w:val="center"/>
                    <w:rPr>
                      <w:rFonts w:hint="eastAsia"/>
                      <w:color w:val="auto"/>
                      <w:szCs w:val="21"/>
                      <w:highlight w:val="none"/>
                      <w:lang w:eastAsia="zh-CN"/>
                    </w:rPr>
                  </w:pPr>
                  <w:r>
                    <w:rPr>
                      <w:rFonts w:hint="eastAsia"/>
                      <w:color w:val="auto"/>
                      <w:szCs w:val="21"/>
                      <w:highlight w:val="none"/>
                      <w:lang w:eastAsia="zh-CN"/>
                    </w:rPr>
                    <w:t>钙粉</w:t>
                  </w:r>
                </w:p>
              </w:tc>
              <w:tc>
                <w:tcPr>
                  <w:tcW w:w="1069" w:type="dxa"/>
                  <w:tcBorders>
                    <w:tl2br w:val="nil"/>
                    <w:tr2bl w:val="nil"/>
                  </w:tcBorders>
                  <w:vAlign w:val="center"/>
                </w:tcPr>
                <w:p w14:paraId="30F01133">
                  <w:pPr>
                    <w:widowControl/>
                    <w:jc w:val="center"/>
                    <w:textAlignment w:val="center"/>
                    <w:rPr>
                      <w:color w:val="auto"/>
                      <w:szCs w:val="21"/>
                      <w:highlight w:val="none"/>
                    </w:rPr>
                  </w:pPr>
                  <w:r>
                    <w:rPr>
                      <w:rFonts w:hint="eastAsia"/>
                      <w:color w:val="auto"/>
                      <w:szCs w:val="21"/>
                      <w:highlight w:val="none"/>
                      <w:lang w:val="en-US" w:eastAsia="zh-CN"/>
                    </w:rPr>
                    <w:t>/</w:t>
                  </w:r>
                </w:p>
              </w:tc>
              <w:tc>
                <w:tcPr>
                  <w:tcW w:w="1746" w:type="dxa"/>
                  <w:tcBorders>
                    <w:tl2br w:val="nil"/>
                    <w:tr2bl w:val="nil"/>
                  </w:tcBorders>
                  <w:vAlign w:val="center"/>
                </w:tcPr>
                <w:p w14:paraId="6BEF7E11">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335CD082">
                  <w:pPr>
                    <w:snapToGrid w:val="0"/>
                    <w:jc w:val="center"/>
                    <w:rPr>
                      <w:color w:val="auto"/>
                      <w:szCs w:val="21"/>
                      <w:highlight w:val="none"/>
                    </w:rPr>
                  </w:pPr>
                  <w:r>
                    <w:rPr>
                      <w:rFonts w:hint="eastAsia"/>
                      <w:color w:val="auto"/>
                      <w:szCs w:val="21"/>
                      <w:highlight w:val="none"/>
                      <w:lang w:val="en-US" w:eastAsia="zh-CN"/>
                    </w:rPr>
                    <w:t>35000</w:t>
                  </w:r>
                </w:p>
              </w:tc>
              <w:tc>
                <w:tcPr>
                  <w:tcW w:w="1783" w:type="dxa"/>
                  <w:tcBorders>
                    <w:tl2br w:val="nil"/>
                    <w:tr2bl w:val="nil"/>
                  </w:tcBorders>
                  <w:vAlign w:val="center"/>
                </w:tcPr>
                <w:p w14:paraId="6191B3D7">
                  <w:pPr>
                    <w:snapToGrid w:val="0"/>
                    <w:jc w:val="center"/>
                    <w:rPr>
                      <w:color w:val="auto"/>
                      <w:szCs w:val="21"/>
                      <w:highlight w:val="none"/>
                    </w:rPr>
                  </w:pPr>
                  <w:r>
                    <w:rPr>
                      <w:rFonts w:hint="eastAsia"/>
                      <w:color w:val="auto"/>
                      <w:szCs w:val="21"/>
                      <w:highlight w:val="none"/>
                      <w:lang w:val="en-US" w:eastAsia="zh-CN"/>
                    </w:rPr>
                    <w:t>自产</w:t>
                  </w:r>
                </w:p>
              </w:tc>
              <w:tc>
                <w:tcPr>
                  <w:tcW w:w="1567" w:type="dxa"/>
                  <w:tcBorders>
                    <w:tl2br w:val="nil"/>
                    <w:tr2bl w:val="nil"/>
                  </w:tcBorders>
                  <w:vAlign w:val="center"/>
                </w:tcPr>
                <w:p w14:paraId="5D04735D">
                  <w:pPr>
                    <w:snapToGrid w:val="0"/>
                    <w:jc w:val="center"/>
                    <w:rPr>
                      <w:color w:val="auto"/>
                      <w:szCs w:val="21"/>
                      <w:highlight w:val="none"/>
                    </w:rPr>
                  </w:pPr>
                  <w:r>
                    <w:rPr>
                      <w:rFonts w:hint="eastAsia"/>
                      <w:color w:val="auto"/>
                      <w:szCs w:val="21"/>
                      <w:highlight w:val="none"/>
                      <w:lang w:val="en-US" w:eastAsia="zh-CN"/>
                    </w:rPr>
                    <w:t>35000</w:t>
                  </w:r>
                </w:p>
              </w:tc>
            </w:tr>
            <w:tr w14:paraId="613B6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6" w:type="dxa"/>
                  <w:vMerge w:val="continue"/>
                  <w:tcBorders>
                    <w:tl2br w:val="nil"/>
                    <w:tr2bl w:val="nil"/>
                  </w:tcBorders>
                  <w:vAlign w:val="center"/>
                </w:tcPr>
                <w:p w14:paraId="3A072822">
                  <w:pPr>
                    <w:snapToGrid w:val="0"/>
                    <w:jc w:val="center"/>
                    <w:rPr>
                      <w:rFonts w:hint="eastAsia" w:eastAsia="宋体"/>
                      <w:color w:val="auto"/>
                      <w:szCs w:val="21"/>
                      <w:highlight w:val="none"/>
                      <w:lang w:eastAsia="zh-CN"/>
                    </w:rPr>
                  </w:pPr>
                </w:p>
              </w:tc>
              <w:tc>
                <w:tcPr>
                  <w:tcW w:w="658" w:type="dxa"/>
                  <w:tcBorders>
                    <w:tl2br w:val="nil"/>
                    <w:tr2bl w:val="nil"/>
                  </w:tcBorders>
                  <w:vAlign w:val="center"/>
                </w:tcPr>
                <w:p w14:paraId="209DF657">
                  <w:pPr>
                    <w:snapToGrid w:val="0"/>
                    <w:jc w:val="center"/>
                    <w:rPr>
                      <w:rFonts w:hint="eastAsia"/>
                      <w:color w:val="auto"/>
                      <w:szCs w:val="21"/>
                      <w:highlight w:val="none"/>
                      <w:lang w:eastAsia="zh-CN"/>
                    </w:rPr>
                  </w:pPr>
                  <w:r>
                    <w:rPr>
                      <w:rFonts w:hint="eastAsia"/>
                      <w:color w:val="auto"/>
                      <w:szCs w:val="21"/>
                      <w:highlight w:val="none"/>
                      <w:lang w:eastAsia="zh-CN"/>
                    </w:rPr>
                    <w:t>乳胶粉</w:t>
                  </w:r>
                </w:p>
              </w:tc>
              <w:tc>
                <w:tcPr>
                  <w:tcW w:w="1069" w:type="dxa"/>
                  <w:tcBorders>
                    <w:tl2br w:val="nil"/>
                    <w:tr2bl w:val="nil"/>
                  </w:tcBorders>
                  <w:vAlign w:val="center"/>
                </w:tcPr>
                <w:p w14:paraId="271FE50D">
                  <w:pPr>
                    <w:widowControl/>
                    <w:jc w:val="center"/>
                    <w:textAlignment w:val="center"/>
                    <w:rPr>
                      <w:color w:val="auto"/>
                      <w:szCs w:val="21"/>
                      <w:highlight w:val="none"/>
                    </w:rPr>
                  </w:pPr>
                  <w:r>
                    <w:rPr>
                      <w:rFonts w:hint="eastAsia"/>
                      <w:color w:val="auto"/>
                      <w:szCs w:val="21"/>
                      <w:highlight w:val="none"/>
                      <w:lang w:val="en-US" w:eastAsia="zh-CN"/>
                    </w:rPr>
                    <w:t>/</w:t>
                  </w:r>
                </w:p>
              </w:tc>
              <w:tc>
                <w:tcPr>
                  <w:tcW w:w="1746" w:type="dxa"/>
                  <w:tcBorders>
                    <w:tl2br w:val="nil"/>
                    <w:tr2bl w:val="nil"/>
                  </w:tcBorders>
                  <w:vAlign w:val="center"/>
                </w:tcPr>
                <w:p w14:paraId="4AA0225F">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546A62AC">
                  <w:pPr>
                    <w:snapToGrid w:val="0"/>
                    <w:jc w:val="center"/>
                    <w:rPr>
                      <w:rFonts w:hint="default"/>
                      <w:color w:val="auto"/>
                      <w:szCs w:val="21"/>
                      <w:highlight w:val="none"/>
                      <w:lang w:val="en-US"/>
                    </w:rPr>
                  </w:pPr>
                  <w:r>
                    <w:rPr>
                      <w:rFonts w:hint="eastAsia"/>
                      <w:bCs/>
                      <w:color w:val="auto"/>
                      <w:szCs w:val="21"/>
                      <w:highlight w:val="none"/>
                      <w:lang w:val="en-US" w:eastAsia="zh-CN"/>
                    </w:rPr>
                    <w:t>1010.4</w:t>
                  </w:r>
                </w:p>
              </w:tc>
              <w:tc>
                <w:tcPr>
                  <w:tcW w:w="1783" w:type="dxa"/>
                  <w:tcBorders>
                    <w:tl2br w:val="nil"/>
                    <w:tr2bl w:val="nil"/>
                  </w:tcBorders>
                  <w:vAlign w:val="center"/>
                </w:tcPr>
                <w:p w14:paraId="20DE8176">
                  <w:pPr>
                    <w:snapToGrid w:val="0"/>
                    <w:jc w:val="center"/>
                    <w:rPr>
                      <w:color w:val="auto"/>
                      <w:szCs w:val="21"/>
                      <w:highlight w:val="none"/>
                    </w:rPr>
                  </w:pPr>
                  <w:r>
                    <w:rPr>
                      <w:rFonts w:hint="eastAsia"/>
                      <w:color w:val="auto"/>
                      <w:szCs w:val="21"/>
                      <w:highlight w:val="none"/>
                      <w:lang w:val="en-US" w:eastAsia="zh-CN"/>
                    </w:rPr>
                    <w:t>外购</w:t>
                  </w:r>
                </w:p>
              </w:tc>
              <w:tc>
                <w:tcPr>
                  <w:tcW w:w="1567" w:type="dxa"/>
                  <w:tcBorders>
                    <w:tl2br w:val="nil"/>
                    <w:tr2bl w:val="nil"/>
                  </w:tcBorders>
                  <w:vAlign w:val="center"/>
                </w:tcPr>
                <w:p w14:paraId="63B40D4A">
                  <w:pPr>
                    <w:snapToGrid w:val="0"/>
                    <w:jc w:val="center"/>
                    <w:rPr>
                      <w:color w:val="auto"/>
                      <w:szCs w:val="21"/>
                      <w:highlight w:val="none"/>
                    </w:rPr>
                  </w:pPr>
                  <w:r>
                    <w:rPr>
                      <w:rFonts w:hint="eastAsia" w:eastAsia="宋体"/>
                      <w:color w:val="auto"/>
                      <w:szCs w:val="21"/>
                      <w:highlight w:val="none"/>
                      <w:lang w:val="en-US" w:eastAsia="zh-CN"/>
                    </w:rPr>
                    <w:t>1010.4</w:t>
                  </w:r>
                </w:p>
              </w:tc>
            </w:tr>
            <w:tr w14:paraId="4E6E8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36" w:type="dxa"/>
                  <w:vMerge w:val="restart"/>
                  <w:tcBorders>
                    <w:tl2br w:val="nil"/>
                    <w:tr2bl w:val="nil"/>
                  </w:tcBorders>
                  <w:vAlign w:val="center"/>
                </w:tcPr>
                <w:p w14:paraId="4030DB63">
                  <w:pPr>
                    <w:snapToGrid w:val="0"/>
                    <w:jc w:val="center"/>
                    <w:rPr>
                      <w:rFonts w:hint="eastAsia"/>
                      <w:color w:val="auto"/>
                      <w:szCs w:val="21"/>
                      <w:highlight w:val="none"/>
                      <w:lang w:eastAsia="zh-CN"/>
                    </w:rPr>
                  </w:pPr>
                  <w:r>
                    <w:rPr>
                      <w:rFonts w:hint="eastAsia"/>
                      <w:color w:val="auto"/>
                      <w:szCs w:val="21"/>
                      <w:highlight w:val="none"/>
                      <w:lang w:eastAsia="zh-CN"/>
                    </w:rPr>
                    <w:t>石膏粉生产线</w:t>
                  </w:r>
                </w:p>
              </w:tc>
              <w:tc>
                <w:tcPr>
                  <w:tcW w:w="658" w:type="dxa"/>
                  <w:tcBorders>
                    <w:tl2br w:val="nil"/>
                    <w:tr2bl w:val="nil"/>
                  </w:tcBorders>
                  <w:vAlign w:val="center"/>
                </w:tcPr>
                <w:p w14:paraId="6C6A3886">
                  <w:pPr>
                    <w:snapToGrid w:val="0"/>
                    <w:jc w:val="center"/>
                    <w:rPr>
                      <w:rFonts w:hint="eastAsia"/>
                      <w:color w:val="auto"/>
                      <w:szCs w:val="21"/>
                      <w:highlight w:val="none"/>
                      <w:lang w:eastAsia="zh-CN"/>
                    </w:rPr>
                  </w:pPr>
                  <w:r>
                    <w:rPr>
                      <w:rFonts w:hint="eastAsia"/>
                      <w:color w:val="auto"/>
                      <w:szCs w:val="21"/>
                      <w:highlight w:val="none"/>
                      <w:lang w:eastAsia="zh-CN"/>
                    </w:rPr>
                    <w:t>石膏粉</w:t>
                  </w:r>
                </w:p>
              </w:tc>
              <w:tc>
                <w:tcPr>
                  <w:tcW w:w="1069" w:type="dxa"/>
                  <w:tcBorders>
                    <w:tl2br w:val="nil"/>
                    <w:tr2bl w:val="nil"/>
                  </w:tcBorders>
                  <w:vAlign w:val="center"/>
                </w:tcPr>
                <w:p w14:paraId="40C62239">
                  <w:pPr>
                    <w:widowControl/>
                    <w:jc w:val="center"/>
                    <w:textAlignment w:val="center"/>
                    <w:rPr>
                      <w:rFonts w:hint="eastAsia"/>
                      <w:color w:val="auto"/>
                      <w:kern w:val="0"/>
                      <w:sz w:val="22"/>
                      <w:szCs w:val="22"/>
                      <w:highlight w:val="none"/>
                    </w:rPr>
                  </w:pPr>
                  <w:r>
                    <w:rPr>
                      <w:rFonts w:hint="eastAsia"/>
                      <w:color w:val="auto"/>
                      <w:szCs w:val="21"/>
                      <w:highlight w:val="none"/>
                      <w:lang w:val="en-US" w:eastAsia="zh-CN"/>
                    </w:rPr>
                    <w:t>/</w:t>
                  </w:r>
                </w:p>
              </w:tc>
              <w:tc>
                <w:tcPr>
                  <w:tcW w:w="1746" w:type="dxa"/>
                  <w:tcBorders>
                    <w:tl2br w:val="nil"/>
                    <w:tr2bl w:val="nil"/>
                  </w:tcBorders>
                  <w:vAlign w:val="center"/>
                </w:tcPr>
                <w:p w14:paraId="45F36F99">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567AE542">
                  <w:pPr>
                    <w:snapToGrid w:val="0"/>
                    <w:jc w:val="center"/>
                    <w:rPr>
                      <w:rFonts w:hint="default"/>
                      <w:color w:val="auto"/>
                      <w:szCs w:val="21"/>
                      <w:highlight w:val="none"/>
                      <w:lang w:val="en-US" w:eastAsia="zh-CN"/>
                    </w:rPr>
                  </w:pPr>
                  <w:r>
                    <w:rPr>
                      <w:rFonts w:hint="eastAsia"/>
                      <w:color w:val="auto"/>
                      <w:szCs w:val="21"/>
                      <w:highlight w:val="none"/>
                      <w:lang w:val="en-US" w:eastAsia="zh-CN"/>
                    </w:rPr>
                    <w:t>78000</w:t>
                  </w:r>
                </w:p>
              </w:tc>
              <w:tc>
                <w:tcPr>
                  <w:tcW w:w="1783" w:type="dxa"/>
                  <w:tcBorders>
                    <w:tl2br w:val="nil"/>
                    <w:tr2bl w:val="nil"/>
                  </w:tcBorders>
                  <w:vAlign w:val="center"/>
                </w:tcPr>
                <w:p w14:paraId="0AB6A2F5">
                  <w:pPr>
                    <w:snapToGrid w:val="0"/>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1567" w:type="dxa"/>
                  <w:tcBorders>
                    <w:tl2br w:val="nil"/>
                    <w:tr2bl w:val="nil"/>
                  </w:tcBorders>
                  <w:vAlign w:val="center"/>
                </w:tcPr>
                <w:p w14:paraId="41716561">
                  <w:pPr>
                    <w:snapToGrid w:val="0"/>
                    <w:jc w:val="center"/>
                    <w:rPr>
                      <w:rFonts w:hint="eastAsia"/>
                      <w:color w:val="auto"/>
                      <w:szCs w:val="21"/>
                      <w:highlight w:val="none"/>
                      <w:lang w:val="en-US" w:eastAsia="zh-CN"/>
                    </w:rPr>
                  </w:pPr>
                  <w:r>
                    <w:rPr>
                      <w:rFonts w:hint="eastAsia"/>
                      <w:color w:val="auto"/>
                      <w:szCs w:val="21"/>
                      <w:highlight w:val="none"/>
                      <w:lang w:val="en-US" w:eastAsia="zh-CN"/>
                    </w:rPr>
                    <w:t>78000</w:t>
                  </w:r>
                </w:p>
              </w:tc>
            </w:tr>
            <w:tr w14:paraId="5495A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36" w:type="dxa"/>
                  <w:vMerge w:val="continue"/>
                  <w:tcBorders>
                    <w:tl2br w:val="nil"/>
                    <w:tr2bl w:val="nil"/>
                  </w:tcBorders>
                  <w:vAlign w:val="center"/>
                </w:tcPr>
                <w:p w14:paraId="58FDF33D">
                  <w:pPr>
                    <w:snapToGrid w:val="0"/>
                    <w:jc w:val="center"/>
                    <w:rPr>
                      <w:rFonts w:hint="eastAsia"/>
                      <w:color w:val="auto"/>
                      <w:szCs w:val="21"/>
                      <w:highlight w:val="none"/>
                      <w:lang w:eastAsia="zh-CN"/>
                    </w:rPr>
                  </w:pPr>
                </w:p>
              </w:tc>
              <w:tc>
                <w:tcPr>
                  <w:tcW w:w="658" w:type="dxa"/>
                  <w:tcBorders>
                    <w:tl2br w:val="nil"/>
                    <w:tr2bl w:val="nil"/>
                  </w:tcBorders>
                  <w:vAlign w:val="center"/>
                </w:tcPr>
                <w:p w14:paraId="7336D608">
                  <w:pPr>
                    <w:snapToGrid w:val="0"/>
                    <w:jc w:val="center"/>
                    <w:rPr>
                      <w:rFonts w:hint="eastAsia"/>
                      <w:color w:val="auto"/>
                      <w:szCs w:val="21"/>
                      <w:highlight w:val="none"/>
                      <w:lang w:eastAsia="zh-CN"/>
                    </w:rPr>
                  </w:pPr>
                  <w:r>
                    <w:rPr>
                      <w:rFonts w:hint="eastAsia"/>
                      <w:color w:val="auto"/>
                      <w:szCs w:val="21"/>
                      <w:highlight w:val="none"/>
                      <w:lang w:eastAsia="zh-CN"/>
                    </w:rPr>
                    <w:t>纤维素</w:t>
                  </w:r>
                </w:p>
              </w:tc>
              <w:tc>
                <w:tcPr>
                  <w:tcW w:w="1069" w:type="dxa"/>
                  <w:tcBorders>
                    <w:tl2br w:val="nil"/>
                    <w:tr2bl w:val="nil"/>
                  </w:tcBorders>
                  <w:vAlign w:val="center"/>
                </w:tcPr>
                <w:p w14:paraId="4208A1F0">
                  <w:pPr>
                    <w:widowControl/>
                    <w:jc w:val="center"/>
                    <w:textAlignment w:val="center"/>
                    <w:rPr>
                      <w:rFonts w:hint="eastAsia"/>
                      <w:color w:val="auto"/>
                      <w:kern w:val="0"/>
                      <w:sz w:val="22"/>
                      <w:szCs w:val="22"/>
                      <w:highlight w:val="none"/>
                    </w:rPr>
                  </w:pPr>
                  <w:r>
                    <w:rPr>
                      <w:rFonts w:hint="eastAsia"/>
                      <w:color w:val="auto"/>
                      <w:szCs w:val="21"/>
                      <w:highlight w:val="none"/>
                      <w:lang w:val="en-US" w:eastAsia="zh-CN"/>
                    </w:rPr>
                    <w:t>/</w:t>
                  </w:r>
                </w:p>
              </w:tc>
              <w:tc>
                <w:tcPr>
                  <w:tcW w:w="1746" w:type="dxa"/>
                  <w:tcBorders>
                    <w:tl2br w:val="nil"/>
                    <w:tr2bl w:val="nil"/>
                  </w:tcBorders>
                  <w:vAlign w:val="center"/>
                </w:tcPr>
                <w:p w14:paraId="34B2304A">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0C3C866A">
                  <w:pPr>
                    <w:snapToGrid w:val="0"/>
                    <w:jc w:val="center"/>
                    <w:rPr>
                      <w:rFonts w:hint="default"/>
                      <w:color w:val="auto"/>
                      <w:szCs w:val="21"/>
                      <w:highlight w:val="none"/>
                      <w:lang w:val="en-US" w:eastAsia="zh-CN"/>
                    </w:rPr>
                  </w:pPr>
                  <w:r>
                    <w:rPr>
                      <w:rFonts w:hint="eastAsia"/>
                      <w:color w:val="auto"/>
                      <w:szCs w:val="21"/>
                      <w:highlight w:val="none"/>
                      <w:lang w:val="en-US" w:eastAsia="zh-CN"/>
                    </w:rPr>
                    <w:t>2010.2</w:t>
                  </w:r>
                </w:p>
              </w:tc>
              <w:tc>
                <w:tcPr>
                  <w:tcW w:w="1783" w:type="dxa"/>
                  <w:tcBorders>
                    <w:tl2br w:val="nil"/>
                    <w:tr2bl w:val="nil"/>
                  </w:tcBorders>
                  <w:vAlign w:val="center"/>
                </w:tcPr>
                <w:p w14:paraId="6C3E2A65">
                  <w:pPr>
                    <w:snapToGrid w:val="0"/>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1567" w:type="dxa"/>
                  <w:tcBorders>
                    <w:tl2br w:val="nil"/>
                    <w:tr2bl w:val="nil"/>
                  </w:tcBorders>
                  <w:vAlign w:val="center"/>
                </w:tcPr>
                <w:p w14:paraId="2600B842">
                  <w:pPr>
                    <w:snapToGrid w:val="0"/>
                    <w:jc w:val="center"/>
                    <w:rPr>
                      <w:rFonts w:hint="eastAsia"/>
                      <w:color w:val="auto"/>
                      <w:szCs w:val="21"/>
                      <w:highlight w:val="none"/>
                      <w:lang w:val="en-US" w:eastAsia="zh-CN"/>
                    </w:rPr>
                  </w:pPr>
                  <w:r>
                    <w:rPr>
                      <w:rFonts w:hint="eastAsia"/>
                      <w:color w:val="auto"/>
                      <w:szCs w:val="21"/>
                      <w:highlight w:val="none"/>
                      <w:lang w:val="en-US" w:eastAsia="zh-CN"/>
                    </w:rPr>
                    <w:t>2010.2</w:t>
                  </w:r>
                </w:p>
              </w:tc>
            </w:tr>
            <w:tr w14:paraId="02DC1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6" w:type="dxa"/>
                  <w:vMerge w:val="restart"/>
                  <w:tcBorders>
                    <w:tl2br w:val="nil"/>
                    <w:tr2bl w:val="nil"/>
                  </w:tcBorders>
                  <w:vAlign w:val="center"/>
                </w:tcPr>
                <w:p w14:paraId="5E9F2B9C">
                  <w:pPr>
                    <w:snapToGrid w:val="0"/>
                    <w:jc w:val="center"/>
                    <w:rPr>
                      <w:rFonts w:hint="eastAsia"/>
                      <w:color w:val="auto"/>
                      <w:szCs w:val="21"/>
                      <w:highlight w:val="none"/>
                      <w:lang w:eastAsia="zh-CN"/>
                    </w:rPr>
                  </w:pPr>
                  <w:r>
                    <w:rPr>
                      <w:rFonts w:hint="eastAsia"/>
                      <w:color w:val="auto"/>
                      <w:szCs w:val="21"/>
                      <w:highlight w:val="none"/>
                      <w:lang w:eastAsia="zh-CN"/>
                    </w:rPr>
                    <w:t>砂浆生产线</w:t>
                  </w:r>
                </w:p>
              </w:tc>
              <w:tc>
                <w:tcPr>
                  <w:tcW w:w="658" w:type="dxa"/>
                  <w:tcBorders>
                    <w:tl2br w:val="nil"/>
                    <w:tr2bl w:val="nil"/>
                  </w:tcBorders>
                  <w:vAlign w:val="center"/>
                </w:tcPr>
                <w:p w14:paraId="2F88AC09">
                  <w:pPr>
                    <w:snapToGrid w:val="0"/>
                    <w:jc w:val="center"/>
                    <w:rPr>
                      <w:rFonts w:hint="eastAsia"/>
                      <w:color w:val="auto"/>
                      <w:szCs w:val="21"/>
                      <w:highlight w:val="none"/>
                      <w:lang w:eastAsia="zh-CN"/>
                    </w:rPr>
                  </w:pPr>
                  <w:r>
                    <w:rPr>
                      <w:rFonts w:hint="eastAsia"/>
                      <w:color w:val="auto"/>
                      <w:szCs w:val="21"/>
                      <w:highlight w:val="none"/>
                      <w:lang w:eastAsia="zh-CN"/>
                    </w:rPr>
                    <w:t>彩砂</w:t>
                  </w:r>
                </w:p>
              </w:tc>
              <w:tc>
                <w:tcPr>
                  <w:tcW w:w="1069" w:type="dxa"/>
                  <w:tcBorders>
                    <w:tl2br w:val="nil"/>
                    <w:tr2bl w:val="nil"/>
                  </w:tcBorders>
                  <w:vAlign w:val="center"/>
                </w:tcPr>
                <w:p w14:paraId="0DDAD869">
                  <w:pPr>
                    <w:widowControl/>
                    <w:jc w:val="center"/>
                    <w:textAlignment w:val="center"/>
                    <w:rPr>
                      <w:rFonts w:hint="eastAsia"/>
                      <w:color w:val="auto"/>
                      <w:kern w:val="0"/>
                      <w:sz w:val="22"/>
                      <w:szCs w:val="22"/>
                      <w:highlight w:val="none"/>
                    </w:rPr>
                  </w:pPr>
                  <w:r>
                    <w:rPr>
                      <w:rFonts w:hint="eastAsia"/>
                      <w:color w:val="auto"/>
                      <w:szCs w:val="21"/>
                      <w:highlight w:val="none"/>
                      <w:lang w:val="en-US" w:eastAsia="zh-CN"/>
                    </w:rPr>
                    <w:t>/</w:t>
                  </w:r>
                </w:p>
              </w:tc>
              <w:tc>
                <w:tcPr>
                  <w:tcW w:w="1746" w:type="dxa"/>
                  <w:tcBorders>
                    <w:tl2br w:val="nil"/>
                    <w:tr2bl w:val="nil"/>
                  </w:tcBorders>
                  <w:vAlign w:val="center"/>
                </w:tcPr>
                <w:p w14:paraId="10C1ECE5">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303612F3">
                  <w:pPr>
                    <w:snapToGrid w:val="0"/>
                    <w:jc w:val="center"/>
                    <w:rPr>
                      <w:rFonts w:hint="default"/>
                      <w:color w:val="auto"/>
                      <w:szCs w:val="21"/>
                      <w:highlight w:val="none"/>
                      <w:lang w:val="en-US" w:eastAsia="zh-CN"/>
                    </w:rPr>
                  </w:pPr>
                  <w:r>
                    <w:rPr>
                      <w:rFonts w:hint="eastAsia"/>
                      <w:color w:val="auto"/>
                      <w:szCs w:val="21"/>
                      <w:highlight w:val="none"/>
                      <w:lang w:val="en-US" w:eastAsia="zh-CN"/>
                    </w:rPr>
                    <w:t>45000</w:t>
                  </w:r>
                </w:p>
              </w:tc>
              <w:tc>
                <w:tcPr>
                  <w:tcW w:w="1783" w:type="dxa"/>
                  <w:tcBorders>
                    <w:tl2br w:val="nil"/>
                    <w:tr2bl w:val="nil"/>
                  </w:tcBorders>
                  <w:vAlign w:val="center"/>
                </w:tcPr>
                <w:p w14:paraId="6CCCC994">
                  <w:pPr>
                    <w:snapToGrid w:val="0"/>
                    <w:jc w:val="center"/>
                    <w:rPr>
                      <w:rFonts w:hint="eastAsia"/>
                      <w:color w:val="auto"/>
                      <w:szCs w:val="21"/>
                      <w:highlight w:val="none"/>
                      <w:lang w:val="en-US" w:eastAsia="zh-CN"/>
                    </w:rPr>
                  </w:pPr>
                  <w:r>
                    <w:rPr>
                      <w:rFonts w:hint="eastAsia"/>
                      <w:color w:val="auto"/>
                      <w:szCs w:val="21"/>
                      <w:highlight w:val="none"/>
                      <w:lang w:val="en-US" w:eastAsia="zh-CN"/>
                    </w:rPr>
                    <w:t>自产</w:t>
                  </w:r>
                </w:p>
              </w:tc>
              <w:tc>
                <w:tcPr>
                  <w:tcW w:w="1567" w:type="dxa"/>
                  <w:tcBorders>
                    <w:tl2br w:val="nil"/>
                    <w:tr2bl w:val="nil"/>
                  </w:tcBorders>
                  <w:vAlign w:val="center"/>
                </w:tcPr>
                <w:p w14:paraId="68D26B8A">
                  <w:pPr>
                    <w:snapToGrid w:val="0"/>
                    <w:jc w:val="center"/>
                    <w:rPr>
                      <w:rFonts w:hint="eastAsia"/>
                      <w:color w:val="auto"/>
                      <w:szCs w:val="21"/>
                      <w:highlight w:val="none"/>
                      <w:lang w:val="en-US" w:eastAsia="zh-CN"/>
                    </w:rPr>
                  </w:pPr>
                  <w:r>
                    <w:rPr>
                      <w:rFonts w:hint="eastAsia"/>
                      <w:color w:val="auto"/>
                      <w:szCs w:val="21"/>
                      <w:highlight w:val="none"/>
                      <w:lang w:val="en-US" w:eastAsia="zh-CN"/>
                    </w:rPr>
                    <w:t>45000</w:t>
                  </w:r>
                </w:p>
              </w:tc>
            </w:tr>
            <w:tr w14:paraId="32C1F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436" w:type="dxa"/>
                  <w:vMerge w:val="continue"/>
                  <w:tcBorders>
                    <w:tl2br w:val="nil"/>
                    <w:tr2bl w:val="nil"/>
                  </w:tcBorders>
                  <w:vAlign w:val="center"/>
                </w:tcPr>
                <w:p w14:paraId="77221DD1">
                  <w:pPr>
                    <w:snapToGrid w:val="0"/>
                    <w:jc w:val="center"/>
                    <w:rPr>
                      <w:rFonts w:hint="eastAsia"/>
                      <w:color w:val="auto"/>
                      <w:szCs w:val="21"/>
                      <w:highlight w:val="none"/>
                      <w:lang w:eastAsia="zh-CN"/>
                    </w:rPr>
                  </w:pPr>
                </w:p>
              </w:tc>
              <w:tc>
                <w:tcPr>
                  <w:tcW w:w="658" w:type="dxa"/>
                  <w:tcBorders>
                    <w:tl2br w:val="nil"/>
                    <w:tr2bl w:val="nil"/>
                  </w:tcBorders>
                  <w:vAlign w:val="center"/>
                </w:tcPr>
                <w:p w14:paraId="0B6268C1">
                  <w:pPr>
                    <w:snapToGrid w:val="0"/>
                    <w:jc w:val="center"/>
                    <w:rPr>
                      <w:rFonts w:hint="eastAsia"/>
                      <w:color w:val="auto"/>
                      <w:szCs w:val="21"/>
                      <w:highlight w:val="none"/>
                      <w:lang w:eastAsia="zh-CN"/>
                    </w:rPr>
                  </w:pPr>
                  <w:r>
                    <w:rPr>
                      <w:rFonts w:hint="eastAsia"/>
                      <w:color w:val="auto"/>
                      <w:szCs w:val="21"/>
                      <w:highlight w:val="none"/>
                      <w:lang w:eastAsia="zh-CN"/>
                    </w:rPr>
                    <w:t>纤维素</w:t>
                  </w:r>
                </w:p>
              </w:tc>
              <w:tc>
                <w:tcPr>
                  <w:tcW w:w="1069" w:type="dxa"/>
                  <w:tcBorders>
                    <w:tl2br w:val="nil"/>
                    <w:tr2bl w:val="nil"/>
                  </w:tcBorders>
                  <w:vAlign w:val="center"/>
                </w:tcPr>
                <w:p w14:paraId="298ACB17">
                  <w:pPr>
                    <w:widowControl/>
                    <w:jc w:val="center"/>
                    <w:textAlignment w:val="center"/>
                    <w:rPr>
                      <w:rFonts w:hint="eastAsia"/>
                      <w:color w:val="auto"/>
                      <w:kern w:val="0"/>
                      <w:sz w:val="22"/>
                      <w:szCs w:val="22"/>
                      <w:highlight w:val="none"/>
                    </w:rPr>
                  </w:pPr>
                  <w:r>
                    <w:rPr>
                      <w:rFonts w:hint="eastAsia"/>
                      <w:color w:val="auto"/>
                      <w:szCs w:val="21"/>
                      <w:highlight w:val="none"/>
                      <w:lang w:val="en-US" w:eastAsia="zh-CN"/>
                    </w:rPr>
                    <w:t>/</w:t>
                  </w:r>
                </w:p>
              </w:tc>
              <w:tc>
                <w:tcPr>
                  <w:tcW w:w="1746" w:type="dxa"/>
                  <w:tcBorders>
                    <w:tl2br w:val="nil"/>
                    <w:tr2bl w:val="nil"/>
                  </w:tcBorders>
                  <w:vAlign w:val="center"/>
                </w:tcPr>
                <w:p w14:paraId="6082D712">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345E5A26">
                  <w:pPr>
                    <w:snapToGrid w:val="0"/>
                    <w:jc w:val="center"/>
                    <w:rPr>
                      <w:rFonts w:hint="default"/>
                      <w:color w:val="auto"/>
                      <w:szCs w:val="21"/>
                      <w:highlight w:val="none"/>
                      <w:lang w:val="en-US" w:eastAsia="zh-CN"/>
                    </w:rPr>
                  </w:pPr>
                  <w:r>
                    <w:rPr>
                      <w:rFonts w:hint="eastAsia"/>
                      <w:color w:val="auto"/>
                      <w:szCs w:val="21"/>
                      <w:highlight w:val="none"/>
                      <w:lang w:val="en-US" w:eastAsia="zh-CN"/>
                    </w:rPr>
                    <w:t>3015</w:t>
                  </w:r>
                </w:p>
              </w:tc>
              <w:tc>
                <w:tcPr>
                  <w:tcW w:w="1783" w:type="dxa"/>
                  <w:tcBorders>
                    <w:tl2br w:val="nil"/>
                    <w:tr2bl w:val="nil"/>
                  </w:tcBorders>
                  <w:vAlign w:val="center"/>
                </w:tcPr>
                <w:p w14:paraId="483212FC">
                  <w:pPr>
                    <w:snapToGrid w:val="0"/>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1567" w:type="dxa"/>
                  <w:tcBorders>
                    <w:tl2br w:val="nil"/>
                    <w:tr2bl w:val="nil"/>
                  </w:tcBorders>
                  <w:vAlign w:val="center"/>
                </w:tcPr>
                <w:p w14:paraId="2C52CF05">
                  <w:pPr>
                    <w:snapToGrid w:val="0"/>
                    <w:jc w:val="center"/>
                    <w:rPr>
                      <w:rFonts w:hint="eastAsia"/>
                      <w:color w:val="auto"/>
                      <w:szCs w:val="21"/>
                      <w:highlight w:val="none"/>
                      <w:lang w:val="en-US" w:eastAsia="zh-CN"/>
                    </w:rPr>
                  </w:pPr>
                  <w:r>
                    <w:rPr>
                      <w:rFonts w:hint="eastAsia"/>
                      <w:color w:val="auto"/>
                      <w:szCs w:val="21"/>
                      <w:highlight w:val="none"/>
                      <w:lang w:val="en-US" w:eastAsia="zh-CN"/>
                    </w:rPr>
                    <w:t>3015</w:t>
                  </w:r>
                </w:p>
              </w:tc>
            </w:tr>
            <w:tr w14:paraId="1281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continue"/>
                  <w:tcBorders>
                    <w:tl2br w:val="nil"/>
                    <w:tr2bl w:val="nil"/>
                  </w:tcBorders>
                  <w:vAlign w:val="center"/>
                </w:tcPr>
                <w:p w14:paraId="37FBF80D">
                  <w:pPr>
                    <w:snapToGrid w:val="0"/>
                    <w:jc w:val="center"/>
                    <w:rPr>
                      <w:rFonts w:hint="eastAsia"/>
                      <w:color w:val="auto"/>
                      <w:szCs w:val="21"/>
                      <w:highlight w:val="none"/>
                      <w:lang w:eastAsia="zh-CN"/>
                    </w:rPr>
                  </w:pPr>
                </w:p>
              </w:tc>
              <w:tc>
                <w:tcPr>
                  <w:tcW w:w="658" w:type="dxa"/>
                  <w:tcBorders>
                    <w:tl2br w:val="nil"/>
                    <w:tr2bl w:val="nil"/>
                  </w:tcBorders>
                  <w:vAlign w:val="center"/>
                </w:tcPr>
                <w:p w14:paraId="0A620196">
                  <w:pPr>
                    <w:snapToGrid w:val="0"/>
                    <w:jc w:val="center"/>
                    <w:rPr>
                      <w:rFonts w:hint="eastAsia"/>
                      <w:color w:val="auto"/>
                      <w:szCs w:val="21"/>
                      <w:highlight w:val="none"/>
                      <w:lang w:eastAsia="zh-CN"/>
                    </w:rPr>
                  </w:pPr>
                  <w:r>
                    <w:rPr>
                      <w:rFonts w:hint="eastAsia"/>
                      <w:color w:val="auto"/>
                      <w:szCs w:val="21"/>
                      <w:highlight w:val="none"/>
                      <w:lang w:eastAsia="zh-CN"/>
                    </w:rPr>
                    <w:t>石膏粉</w:t>
                  </w:r>
                </w:p>
              </w:tc>
              <w:tc>
                <w:tcPr>
                  <w:tcW w:w="1069" w:type="dxa"/>
                  <w:tcBorders>
                    <w:tl2br w:val="nil"/>
                    <w:tr2bl w:val="nil"/>
                  </w:tcBorders>
                  <w:vAlign w:val="center"/>
                </w:tcPr>
                <w:p w14:paraId="0BE3A19C">
                  <w:pPr>
                    <w:widowControl/>
                    <w:jc w:val="center"/>
                    <w:textAlignment w:val="center"/>
                    <w:rPr>
                      <w:rFonts w:hint="eastAsia"/>
                      <w:color w:val="auto"/>
                      <w:kern w:val="0"/>
                      <w:sz w:val="22"/>
                      <w:szCs w:val="22"/>
                      <w:highlight w:val="none"/>
                    </w:rPr>
                  </w:pPr>
                  <w:r>
                    <w:rPr>
                      <w:rFonts w:hint="eastAsia"/>
                      <w:color w:val="auto"/>
                      <w:szCs w:val="21"/>
                      <w:highlight w:val="none"/>
                      <w:lang w:val="en-US" w:eastAsia="zh-CN"/>
                    </w:rPr>
                    <w:t>/</w:t>
                  </w:r>
                </w:p>
              </w:tc>
              <w:tc>
                <w:tcPr>
                  <w:tcW w:w="1746" w:type="dxa"/>
                  <w:tcBorders>
                    <w:tl2br w:val="nil"/>
                    <w:tr2bl w:val="nil"/>
                  </w:tcBorders>
                  <w:vAlign w:val="center"/>
                </w:tcPr>
                <w:p w14:paraId="13669664">
                  <w:pPr>
                    <w:snapToGrid w:val="0"/>
                    <w:jc w:val="center"/>
                    <w:rPr>
                      <w:color w:val="auto"/>
                      <w:szCs w:val="21"/>
                      <w:highlight w:val="none"/>
                    </w:rPr>
                  </w:pPr>
                  <w:r>
                    <w:rPr>
                      <w:rFonts w:hint="eastAsia"/>
                      <w:color w:val="auto"/>
                      <w:szCs w:val="21"/>
                      <w:highlight w:val="none"/>
                      <w:lang w:val="en-US" w:eastAsia="zh-CN"/>
                    </w:rPr>
                    <w:t>/</w:t>
                  </w:r>
                </w:p>
              </w:tc>
              <w:tc>
                <w:tcPr>
                  <w:tcW w:w="1217" w:type="dxa"/>
                  <w:tcBorders>
                    <w:tl2br w:val="nil"/>
                    <w:tr2bl w:val="nil"/>
                  </w:tcBorders>
                  <w:vAlign w:val="center"/>
                </w:tcPr>
                <w:p w14:paraId="20B8BA99">
                  <w:pPr>
                    <w:snapToGrid w:val="0"/>
                    <w:jc w:val="center"/>
                    <w:rPr>
                      <w:rFonts w:hint="default"/>
                      <w:color w:val="auto"/>
                      <w:szCs w:val="21"/>
                      <w:highlight w:val="none"/>
                      <w:lang w:val="en-US" w:eastAsia="zh-CN"/>
                    </w:rPr>
                  </w:pPr>
                  <w:r>
                    <w:rPr>
                      <w:rFonts w:hint="eastAsia"/>
                      <w:color w:val="auto"/>
                      <w:szCs w:val="21"/>
                      <w:highlight w:val="none"/>
                      <w:lang w:val="en-US" w:eastAsia="zh-CN"/>
                    </w:rPr>
                    <w:t>12000</w:t>
                  </w:r>
                </w:p>
              </w:tc>
              <w:tc>
                <w:tcPr>
                  <w:tcW w:w="1783" w:type="dxa"/>
                  <w:tcBorders>
                    <w:tl2br w:val="nil"/>
                    <w:tr2bl w:val="nil"/>
                  </w:tcBorders>
                  <w:vAlign w:val="center"/>
                </w:tcPr>
                <w:p w14:paraId="28375155">
                  <w:pPr>
                    <w:snapToGrid w:val="0"/>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1567" w:type="dxa"/>
                  <w:tcBorders>
                    <w:tl2br w:val="nil"/>
                    <w:tr2bl w:val="nil"/>
                  </w:tcBorders>
                  <w:vAlign w:val="center"/>
                </w:tcPr>
                <w:p w14:paraId="21D5A5F8">
                  <w:pPr>
                    <w:snapToGrid w:val="0"/>
                    <w:jc w:val="center"/>
                    <w:rPr>
                      <w:rFonts w:hint="eastAsia"/>
                      <w:color w:val="auto"/>
                      <w:szCs w:val="21"/>
                      <w:highlight w:val="none"/>
                      <w:lang w:val="en-US" w:eastAsia="zh-CN"/>
                    </w:rPr>
                  </w:pPr>
                  <w:r>
                    <w:rPr>
                      <w:rFonts w:hint="eastAsia"/>
                      <w:color w:val="auto"/>
                      <w:szCs w:val="21"/>
                      <w:highlight w:val="none"/>
                      <w:lang w:val="en-US" w:eastAsia="zh-CN"/>
                    </w:rPr>
                    <w:t>12000</w:t>
                  </w:r>
                </w:p>
              </w:tc>
            </w:tr>
            <w:tr w14:paraId="7EB0A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73680600">
                  <w:pPr>
                    <w:snapToGrid w:val="0"/>
                    <w:jc w:val="center"/>
                    <w:rPr>
                      <w:color w:val="auto"/>
                      <w:szCs w:val="21"/>
                      <w:highlight w:val="none"/>
                    </w:rPr>
                  </w:pPr>
                  <w:r>
                    <w:rPr>
                      <w:rFonts w:hint="eastAsia"/>
                      <w:color w:val="auto"/>
                      <w:szCs w:val="21"/>
                      <w:highlight w:val="none"/>
                    </w:rPr>
                    <w:t>水</w:t>
                  </w:r>
                </w:p>
              </w:tc>
              <w:tc>
                <w:tcPr>
                  <w:tcW w:w="1069" w:type="dxa"/>
                  <w:tcBorders>
                    <w:tl2br w:val="nil"/>
                    <w:tr2bl w:val="nil"/>
                  </w:tcBorders>
                  <w:vAlign w:val="center"/>
                </w:tcPr>
                <w:p w14:paraId="3A7FF7DA">
                  <w:pPr>
                    <w:widowControl/>
                    <w:jc w:val="center"/>
                    <w:textAlignment w:val="center"/>
                    <w:rPr>
                      <w:color w:val="auto"/>
                      <w:kern w:val="0"/>
                      <w:sz w:val="22"/>
                      <w:szCs w:val="22"/>
                      <w:highlight w:val="none"/>
                    </w:rPr>
                  </w:pPr>
                  <w:r>
                    <w:rPr>
                      <w:rFonts w:hint="eastAsia"/>
                      <w:color w:val="auto"/>
                      <w:kern w:val="0"/>
                      <w:sz w:val="21"/>
                      <w:szCs w:val="21"/>
                      <w:highlight w:val="none"/>
                      <w:lang w:val="en-US" w:eastAsia="zh-CN"/>
                    </w:rPr>
                    <w:t>510</w:t>
                  </w:r>
                  <w:r>
                    <w:rPr>
                      <w:rFonts w:hint="eastAsia"/>
                      <w:color w:val="auto"/>
                      <w:kern w:val="0"/>
                      <w:sz w:val="22"/>
                      <w:szCs w:val="22"/>
                      <w:highlight w:val="none"/>
                      <w:lang w:val="en-US" w:eastAsia="zh-CN"/>
                    </w:rPr>
                    <w:t>m</w:t>
                  </w:r>
                  <w:r>
                    <w:rPr>
                      <w:rFonts w:hint="eastAsia"/>
                      <w:color w:val="auto"/>
                      <w:kern w:val="0"/>
                      <w:sz w:val="22"/>
                      <w:szCs w:val="22"/>
                      <w:highlight w:val="none"/>
                      <w:vertAlign w:val="superscript"/>
                      <w:lang w:val="en-US" w:eastAsia="zh-CN"/>
                    </w:rPr>
                    <w:t>3</w:t>
                  </w:r>
                  <w:r>
                    <w:rPr>
                      <w:rFonts w:hint="eastAsia"/>
                      <w:color w:val="auto"/>
                      <w:kern w:val="0"/>
                      <w:sz w:val="22"/>
                      <w:szCs w:val="22"/>
                      <w:highlight w:val="none"/>
                    </w:rPr>
                    <w:t>/a</w:t>
                  </w:r>
                </w:p>
              </w:tc>
              <w:tc>
                <w:tcPr>
                  <w:tcW w:w="1746" w:type="dxa"/>
                  <w:tcBorders>
                    <w:tl2br w:val="nil"/>
                    <w:tr2bl w:val="nil"/>
                  </w:tcBorders>
                </w:tcPr>
                <w:p w14:paraId="19A14565">
                  <w:pPr>
                    <w:snapToGrid w:val="0"/>
                    <w:jc w:val="center"/>
                    <w:rPr>
                      <w:color w:val="auto"/>
                      <w:szCs w:val="21"/>
                      <w:highlight w:val="none"/>
                    </w:rPr>
                  </w:pPr>
                  <w:r>
                    <w:rPr>
                      <w:rFonts w:hint="eastAsia"/>
                      <w:color w:val="auto"/>
                      <w:szCs w:val="21"/>
                      <w:highlight w:val="none"/>
                      <w:lang w:eastAsia="zh-CN"/>
                    </w:rPr>
                    <w:t>园区供水管网</w:t>
                  </w:r>
                  <w:r>
                    <w:rPr>
                      <w:rFonts w:hint="eastAsia"/>
                      <w:color w:val="auto"/>
                      <w:szCs w:val="21"/>
                      <w:highlight w:val="none"/>
                    </w:rPr>
                    <w:t>提供</w:t>
                  </w:r>
                </w:p>
              </w:tc>
              <w:tc>
                <w:tcPr>
                  <w:tcW w:w="1217" w:type="dxa"/>
                  <w:tcBorders>
                    <w:tl2br w:val="nil"/>
                    <w:tr2bl w:val="nil"/>
                  </w:tcBorders>
                  <w:vAlign w:val="center"/>
                </w:tcPr>
                <w:p w14:paraId="270C8203">
                  <w:pPr>
                    <w:snapToGrid w:val="0"/>
                    <w:jc w:val="center"/>
                    <w:rPr>
                      <w:rFonts w:hint="default" w:eastAsia="宋体"/>
                      <w:color w:val="auto"/>
                      <w:szCs w:val="21"/>
                      <w:highlight w:val="none"/>
                      <w:vertAlign w:val="baseline"/>
                      <w:lang w:val="en-US" w:eastAsia="zh-CN"/>
                    </w:rPr>
                  </w:pPr>
                  <w:r>
                    <w:rPr>
                      <w:rFonts w:hint="eastAsia"/>
                      <w:color w:val="auto"/>
                      <w:szCs w:val="21"/>
                      <w:highlight w:val="none"/>
                      <w:lang w:val="en-US" w:eastAsia="zh-CN"/>
                    </w:rPr>
                    <w:t>327</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vertAlign w:val="baseline"/>
                      <w:lang w:val="en-US" w:eastAsia="zh-CN"/>
                    </w:rPr>
                    <w:t>/a</w:t>
                  </w:r>
                </w:p>
              </w:tc>
              <w:tc>
                <w:tcPr>
                  <w:tcW w:w="1783" w:type="dxa"/>
                  <w:tcBorders>
                    <w:tl2br w:val="nil"/>
                    <w:tr2bl w:val="nil"/>
                  </w:tcBorders>
                  <w:vAlign w:val="center"/>
                </w:tcPr>
                <w:p w14:paraId="6DE8FC45">
                  <w:pPr>
                    <w:snapToGrid w:val="0"/>
                    <w:jc w:val="center"/>
                    <w:rPr>
                      <w:rFonts w:hint="eastAsia"/>
                      <w:color w:val="auto"/>
                      <w:szCs w:val="21"/>
                      <w:highlight w:val="none"/>
                    </w:rPr>
                  </w:pPr>
                  <w:r>
                    <w:rPr>
                      <w:rFonts w:hint="eastAsia"/>
                      <w:color w:val="auto"/>
                      <w:szCs w:val="21"/>
                      <w:highlight w:val="none"/>
                      <w:lang w:eastAsia="zh-CN"/>
                    </w:rPr>
                    <w:t>园区供水管网</w:t>
                  </w:r>
                  <w:r>
                    <w:rPr>
                      <w:rFonts w:hint="eastAsia"/>
                      <w:color w:val="auto"/>
                      <w:szCs w:val="21"/>
                      <w:highlight w:val="none"/>
                    </w:rPr>
                    <w:t>提供</w:t>
                  </w:r>
                </w:p>
              </w:tc>
              <w:tc>
                <w:tcPr>
                  <w:tcW w:w="1567" w:type="dxa"/>
                  <w:tcBorders>
                    <w:tl2br w:val="nil"/>
                    <w:tr2bl w:val="nil"/>
                  </w:tcBorders>
                  <w:vAlign w:val="center"/>
                </w:tcPr>
                <w:p w14:paraId="0E241AD8">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837m</w:t>
                  </w:r>
                  <w:r>
                    <w:rPr>
                      <w:rFonts w:hint="eastAsia"/>
                      <w:color w:val="auto"/>
                      <w:szCs w:val="21"/>
                      <w:highlight w:val="none"/>
                      <w:vertAlign w:val="superscript"/>
                      <w:lang w:val="en-US" w:eastAsia="zh-CN"/>
                    </w:rPr>
                    <w:t>3</w:t>
                  </w:r>
                  <w:r>
                    <w:rPr>
                      <w:rFonts w:hint="eastAsia"/>
                      <w:color w:val="auto"/>
                      <w:szCs w:val="21"/>
                      <w:highlight w:val="none"/>
                      <w:lang w:val="en-US" w:eastAsia="zh-CN"/>
                    </w:rPr>
                    <w:t>/a</w:t>
                  </w:r>
                </w:p>
              </w:tc>
            </w:tr>
            <w:tr w14:paraId="5FE7C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2034E487">
                  <w:pPr>
                    <w:snapToGrid w:val="0"/>
                    <w:jc w:val="center"/>
                    <w:rPr>
                      <w:color w:val="auto"/>
                      <w:szCs w:val="21"/>
                      <w:highlight w:val="none"/>
                    </w:rPr>
                  </w:pPr>
                  <w:r>
                    <w:rPr>
                      <w:rFonts w:hint="eastAsia"/>
                      <w:color w:val="auto"/>
                      <w:szCs w:val="21"/>
                      <w:highlight w:val="none"/>
                    </w:rPr>
                    <w:t>润滑油</w:t>
                  </w:r>
                </w:p>
              </w:tc>
              <w:tc>
                <w:tcPr>
                  <w:tcW w:w="1069" w:type="dxa"/>
                  <w:tcBorders>
                    <w:tl2br w:val="nil"/>
                    <w:tr2bl w:val="nil"/>
                  </w:tcBorders>
                  <w:vAlign w:val="center"/>
                </w:tcPr>
                <w:p w14:paraId="555108A6">
                  <w:pPr>
                    <w:widowControl/>
                    <w:jc w:val="center"/>
                    <w:textAlignment w:val="center"/>
                    <w:rPr>
                      <w:color w:val="auto"/>
                      <w:kern w:val="0"/>
                      <w:sz w:val="22"/>
                      <w:szCs w:val="22"/>
                      <w:highlight w:val="none"/>
                    </w:rPr>
                  </w:pPr>
                  <w:r>
                    <w:rPr>
                      <w:rFonts w:hint="eastAsia"/>
                      <w:color w:val="auto"/>
                      <w:kern w:val="0"/>
                      <w:sz w:val="22"/>
                      <w:szCs w:val="22"/>
                      <w:highlight w:val="none"/>
                      <w:lang w:val="en-US" w:eastAsia="zh-CN"/>
                    </w:rPr>
                    <w:t>0.05</w:t>
                  </w:r>
                </w:p>
              </w:tc>
              <w:tc>
                <w:tcPr>
                  <w:tcW w:w="1746" w:type="dxa"/>
                  <w:tcBorders>
                    <w:tl2br w:val="nil"/>
                    <w:tr2bl w:val="nil"/>
                  </w:tcBorders>
                </w:tcPr>
                <w:p w14:paraId="33CEB687">
                  <w:pPr>
                    <w:snapToGrid w:val="0"/>
                    <w:jc w:val="center"/>
                    <w:rPr>
                      <w:color w:val="auto"/>
                      <w:szCs w:val="21"/>
                      <w:highlight w:val="none"/>
                    </w:rPr>
                  </w:pPr>
                  <w:r>
                    <w:rPr>
                      <w:color w:val="auto"/>
                      <w:szCs w:val="21"/>
                      <w:highlight w:val="none"/>
                    </w:rPr>
                    <w:t>外购</w:t>
                  </w:r>
                </w:p>
              </w:tc>
              <w:tc>
                <w:tcPr>
                  <w:tcW w:w="1217" w:type="dxa"/>
                  <w:tcBorders>
                    <w:tl2br w:val="nil"/>
                    <w:tr2bl w:val="nil"/>
                  </w:tcBorders>
                  <w:vAlign w:val="center"/>
                </w:tcPr>
                <w:p w14:paraId="1C083A2F">
                  <w:pPr>
                    <w:snapToGrid w:val="0"/>
                    <w:jc w:val="center"/>
                    <w:rPr>
                      <w:color w:val="auto"/>
                      <w:szCs w:val="21"/>
                      <w:highlight w:val="none"/>
                    </w:rPr>
                  </w:pPr>
                  <w:r>
                    <w:rPr>
                      <w:rFonts w:hint="eastAsia"/>
                      <w:color w:val="auto"/>
                      <w:szCs w:val="21"/>
                      <w:highlight w:val="none"/>
                      <w:lang w:val="en-US" w:eastAsia="zh-CN"/>
                    </w:rPr>
                    <w:t>0.04</w:t>
                  </w:r>
                </w:p>
              </w:tc>
              <w:tc>
                <w:tcPr>
                  <w:tcW w:w="1783" w:type="dxa"/>
                  <w:tcBorders>
                    <w:tl2br w:val="nil"/>
                    <w:tr2bl w:val="nil"/>
                  </w:tcBorders>
                  <w:vAlign w:val="center"/>
                </w:tcPr>
                <w:p w14:paraId="5C639A73">
                  <w:pPr>
                    <w:snapToGrid w:val="0"/>
                    <w:jc w:val="center"/>
                    <w:rPr>
                      <w:color w:val="auto"/>
                      <w:szCs w:val="21"/>
                      <w:highlight w:val="none"/>
                    </w:rPr>
                  </w:pPr>
                  <w:r>
                    <w:rPr>
                      <w:rFonts w:hint="eastAsia"/>
                      <w:color w:val="auto"/>
                      <w:szCs w:val="21"/>
                      <w:highlight w:val="none"/>
                    </w:rPr>
                    <w:t>外购</w:t>
                  </w:r>
                </w:p>
              </w:tc>
              <w:tc>
                <w:tcPr>
                  <w:tcW w:w="1567" w:type="dxa"/>
                  <w:tcBorders>
                    <w:tl2br w:val="nil"/>
                    <w:tr2bl w:val="nil"/>
                  </w:tcBorders>
                  <w:vAlign w:val="center"/>
                </w:tcPr>
                <w:p w14:paraId="66FC1328">
                  <w:pPr>
                    <w:snapToGrid w:val="0"/>
                    <w:jc w:val="center"/>
                    <w:rPr>
                      <w:color w:val="auto"/>
                      <w:szCs w:val="21"/>
                      <w:highlight w:val="none"/>
                    </w:rPr>
                  </w:pPr>
                  <w:r>
                    <w:rPr>
                      <w:rFonts w:hint="eastAsia"/>
                      <w:color w:val="auto"/>
                      <w:szCs w:val="21"/>
                      <w:highlight w:val="none"/>
                      <w:lang w:val="en-US" w:eastAsia="zh-CN"/>
                    </w:rPr>
                    <w:t>0.09</w:t>
                  </w:r>
                </w:p>
              </w:tc>
            </w:tr>
            <w:tr w14:paraId="10079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1094" w:type="dxa"/>
                  <w:gridSpan w:val="2"/>
                  <w:tcBorders>
                    <w:tl2br w:val="nil"/>
                    <w:tr2bl w:val="nil"/>
                  </w:tcBorders>
                  <w:vAlign w:val="center"/>
                </w:tcPr>
                <w:p w14:paraId="25462417">
                  <w:pPr>
                    <w:snapToGrid w:val="0"/>
                    <w:jc w:val="center"/>
                    <w:rPr>
                      <w:color w:val="auto"/>
                      <w:szCs w:val="21"/>
                      <w:highlight w:val="none"/>
                    </w:rPr>
                  </w:pPr>
                  <w:r>
                    <w:rPr>
                      <w:rFonts w:hint="eastAsia"/>
                      <w:color w:val="auto"/>
                      <w:szCs w:val="21"/>
                      <w:highlight w:val="none"/>
                      <w:lang w:eastAsia="zh-CN"/>
                    </w:rPr>
                    <w:t>包装材料</w:t>
                  </w:r>
                </w:p>
              </w:tc>
              <w:tc>
                <w:tcPr>
                  <w:tcW w:w="1069" w:type="dxa"/>
                  <w:tcBorders>
                    <w:tl2br w:val="nil"/>
                    <w:tr2bl w:val="nil"/>
                  </w:tcBorders>
                  <w:vAlign w:val="center"/>
                </w:tcPr>
                <w:p w14:paraId="7B321CCF">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500kg/a</w:t>
                  </w:r>
                </w:p>
              </w:tc>
              <w:tc>
                <w:tcPr>
                  <w:tcW w:w="1746" w:type="dxa"/>
                  <w:tcBorders>
                    <w:tl2br w:val="nil"/>
                    <w:tr2bl w:val="nil"/>
                  </w:tcBorders>
                  <w:vAlign w:val="center"/>
                </w:tcPr>
                <w:p w14:paraId="40EA9A60">
                  <w:pPr>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217" w:type="dxa"/>
                  <w:tcBorders>
                    <w:tl2br w:val="nil"/>
                    <w:tr2bl w:val="nil"/>
                  </w:tcBorders>
                  <w:vAlign w:val="center"/>
                </w:tcPr>
                <w:p w14:paraId="671CC3C7">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300kg/a</w:t>
                  </w:r>
                </w:p>
              </w:tc>
              <w:tc>
                <w:tcPr>
                  <w:tcW w:w="1783" w:type="dxa"/>
                  <w:tcBorders>
                    <w:tl2br w:val="nil"/>
                    <w:tr2bl w:val="nil"/>
                  </w:tcBorders>
                  <w:vAlign w:val="center"/>
                </w:tcPr>
                <w:p w14:paraId="1534700F">
                  <w:pPr>
                    <w:snapToGrid w:val="0"/>
                    <w:jc w:val="center"/>
                    <w:rPr>
                      <w:rFonts w:hint="eastAsia" w:eastAsia="宋体"/>
                      <w:color w:val="auto"/>
                      <w:szCs w:val="21"/>
                      <w:highlight w:val="none"/>
                      <w:lang w:eastAsia="zh-CN"/>
                    </w:rPr>
                  </w:pPr>
                </w:p>
              </w:tc>
              <w:tc>
                <w:tcPr>
                  <w:tcW w:w="1567" w:type="dxa"/>
                  <w:tcBorders>
                    <w:tl2br w:val="nil"/>
                    <w:tr2bl w:val="nil"/>
                  </w:tcBorders>
                  <w:vAlign w:val="center"/>
                </w:tcPr>
                <w:p w14:paraId="56A3DE62">
                  <w:pPr>
                    <w:snapToGrid w:val="0"/>
                    <w:jc w:val="center"/>
                    <w:rPr>
                      <w:rFonts w:hint="eastAsia"/>
                      <w:color w:val="auto"/>
                      <w:szCs w:val="21"/>
                      <w:highlight w:val="none"/>
                    </w:rPr>
                  </w:pPr>
                  <w:r>
                    <w:rPr>
                      <w:rFonts w:hint="eastAsia"/>
                      <w:color w:val="auto"/>
                      <w:szCs w:val="21"/>
                      <w:highlight w:val="none"/>
                      <w:lang w:val="en-US" w:eastAsia="zh-CN"/>
                    </w:rPr>
                    <w:t>800kg/a</w:t>
                  </w:r>
                </w:p>
              </w:tc>
            </w:tr>
          </w:tbl>
          <w:p w14:paraId="00268DC8">
            <w:pPr>
              <w:pStyle w:val="10"/>
              <w:spacing w:line="360" w:lineRule="auto"/>
              <w:ind w:left="0" w:leftChars="0" w:firstLine="482" w:firstLineChars="200"/>
              <w:rPr>
                <w:rFonts w:hint="eastAsia"/>
                <w:color w:val="auto"/>
                <w:sz w:val="24"/>
                <w:highlight w:val="none"/>
                <w:lang w:eastAsia="zh-CN"/>
              </w:rPr>
            </w:pPr>
            <w:r>
              <w:rPr>
                <w:rFonts w:hint="eastAsia"/>
                <w:b/>
                <w:bCs w:val="0"/>
                <w:color w:val="auto"/>
                <w:sz w:val="24"/>
                <w:highlight w:val="none"/>
              </w:rPr>
              <w:t>乳胶粉</w:t>
            </w:r>
            <w:r>
              <w:rPr>
                <w:rFonts w:hint="eastAsia"/>
                <w:b/>
                <w:bCs w:val="0"/>
                <w:color w:val="auto"/>
                <w:sz w:val="24"/>
                <w:highlight w:val="none"/>
                <w:lang w:eastAsia="zh-CN"/>
              </w:rPr>
              <w:t>：</w:t>
            </w:r>
            <w:r>
              <w:rPr>
                <w:rFonts w:hint="eastAsia"/>
                <w:color w:val="auto"/>
                <w:sz w:val="24"/>
                <w:highlight w:val="none"/>
              </w:rPr>
              <w:t>为水溶性白色或者类白色可流动性粉末，分为乙烯、醋酸、叔碳酸乙烯酯共聚物等等，经喷雾干燥后制成的粉体粘合剂，以聚乙烯醇作为保护胶体。这种粉体在与水接触后可以很快分散成乳液，由于可再分散，乳胶粉具有高粘结能力和独特的性能，主要应用于</w:t>
            </w:r>
            <w:r>
              <w:rPr>
                <w:rFonts w:hint="eastAsia"/>
                <w:color w:val="auto"/>
                <w:sz w:val="24"/>
                <w:highlight w:val="none"/>
                <w:lang w:eastAsia="zh-CN"/>
              </w:rPr>
              <w:t>：</w:t>
            </w:r>
            <w:r>
              <w:rPr>
                <w:rFonts w:hint="eastAsia"/>
                <w:color w:val="auto"/>
                <w:sz w:val="24"/>
                <w:highlight w:val="none"/>
              </w:rPr>
              <w:t>内外墙腻子粉、干粉界面剂、外墙外保温</w:t>
            </w:r>
            <w:r>
              <w:rPr>
                <w:rFonts w:hint="eastAsia"/>
                <w:color w:val="auto"/>
                <w:sz w:val="24"/>
                <w:highlight w:val="none"/>
                <w:lang w:eastAsia="zh-CN"/>
              </w:rPr>
              <w:t>材料</w:t>
            </w:r>
            <w:r>
              <w:rPr>
                <w:rFonts w:hint="eastAsia"/>
                <w:color w:val="auto"/>
                <w:sz w:val="24"/>
                <w:highlight w:val="none"/>
              </w:rPr>
              <w:t>中</w:t>
            </w:r>
            <w:r>
              <w:rPr>
                <w:rFonts w:hint="eastAsia"/>
                <w:color w:val="auto"/>
                <w:sz w:val="24"/>
                <w:highlight w:val="none"/>
                <w:lang w:eastAsia="zh-CN"/>
              </w:rPr>
              <w:t>。</w:t>
            </w:r>
          </w:p>
          <w:p w14:paraId="4ED1E2AB">
            <w:pPr>
              <w:pStyle w:val="10"/>
              <w:spacing w:line="360" w:lineRule="auto"/>
              <w:ind w:left="0" w:leftChars="0" w:firstLine="482" w:firstLineChars="200"/>
              <w:rPr>
                <w:rFonts w:hint="eastAsia"/>
                <w:color w:val="auto"/>
                <w:sz w:val="24"/>
                <w:highlight w:val="none"/>
                <w:lang w:eastAsia="zh-CN"/>
              </w:rPr>
            </w:pPr>
            <w:r>
              <w:rPr>
                <w:rFonts w:hint="eastAsia"/>
                <w:b/>
                <w:bCs w:val="0"/>
                <w:color w:val="auto"/>
                <w:sz w:val="24"/>
                <w:highlight w:val="none"/>
                <w:lang w:eastAsia="zh-CN"/>
              </w:rPr>
              <w:t>纤维素：</w:t>
            </w:r>
            <w:r>
              <w:rPr>
                <w:rFonts w:hint="eastAsia"/>
                <w:color w:val="auto"/>
                <w:sz w:val="24"/>
                <w:highlight w:val="none"/>
                <w:lang w:eastAsia="zh-CN"/>
              </w:rPr>
              <w:t>本次计划采用的纤维素类型为羟丙基纤维素（简称HPC），白色或浅黄色粉末，无味，可燃。常温下难溶于苯和乙醚，溶于水、甲醇、乙醇、异丙醇等极性有机溶剂。本品是一种非离子型纤维素衍生物。热塑性、成膜性能、粘结性、乳胶稳定性及分散性均好，灰分极少。在医药上主要用作片剂粘合剂、薄膜包衣等，也可用作化妆品，X-射线照相显影剂，增粘剂和分散剂等。</w:t>
            </w:r>
          </w:p>
          <w:p w14:paraId="64E38DCF">
            <w:pPr>
              <w:pStyle w:val="10"/>
              <w:spacing w:line="360" w:lineRule="auto"/>
              <w:ind w:left="0" w:leftChars="0" w:firstLine="482" w:firstLineChars="200"/>
              <w:rPr>
                <w:rFonts w:hint="default" w:ascii="Times New Roman" w:hAnsi="Times New Roman" w:cs="Times New Roman"/>
                <w:color w:val="auto"/>
                <w:sz w:val="24"/>
                <w:highlight w:val="none"/>
                <w:lang w:eastAsia="zh-CN"/>
              </w:rPr>
            </w:pPr>
            <w:r>
              <w:rPr>
                <w:rFonts w:hint="default" w:ascii="Times New Roman" w:hAnsi="Times New Roman" w:cs="Times New Roman"/>
                <w:b/>
                <w:bCs w:val="0"/>
                <w:color w:val="auto"/>
                <w:sz w:val="24"/>
                <w:highlight w:val="none"/>
                <w:lang w:eastAsia="zh-CN"/>
              </w:rPr>
              <w:t>石膏粉：</w:t>
            </w:r>
            <w:r>
              <w:rPr>
                <w:rFonts w:hint="default" w:ascii="Times New Roman" w:hAnsi="Times New Roman" w:cs="Times New Roman"/>
                <w:color w:val="auto"/>
                <w:sz w:val="24"/>
                <w:highlight w:val="none"/>
                <w:lang w:eastAsia="zh-CN"/>
              </w:rPr>
              <w:t>石膏粉一般指生石膏，生石膏即天然二水石膏(CaSO</w:t>
            </w:r>
            <w:r>
              <w:rPr>
                <w:rFonts w:hint="default" w:ascii="Times New Roman" w:hAnsi="Times New Roman" w:cs="Times New Roman"/>
                <w:color w:val="auto"/>
                <w:sz w:val="24"/>
                <w:highlight w:val="none"/>
                <w:vertAlign w:val="subscript"/>
                <w:lang w:eastAsia="zh-CN"/>
              </w:rPr>
              <w:t>4</w:t>
            </w:r>
            <w:r>
              <w:rPr>
                <w:rFonts w:hint="default" w:ascii="Times New Roman" w:hAnsi="Times New Roman" w:cs="Times New Roman"/>
                <w:color w:val="auto"/>
                <w:sz w:val="24"/>
                <w:highlight w:val="none"/>
                <w:lang w:eastAsia="zh-CN"/>
              </w:rPr>
              <w:t>·2H</w:t>
            </w:r>
            <w:r>
              <w:rPr>
                <w:rFonts w:hint="default" w:ascii="Times New Roman" w:hAnsi="Times New Roman" w:cs="Times New Roman"/>
                <w:color w:val="auto"/>
                <w:sz w:val="24"/>
                <w:highlight w:val="none"/>
                <w:vertAlign w:val="subscript"/>
                <w:lang w:eastAsia="zh-CN"/>
              </w:rPr>
              <w:t>2</w:t>
            </w:r>
            <w:r>
              <w:rPr>
                <w:rFonts w:hint="default" w:ascii="Times New Roman" w:hAnsi="Times New Roman" w:cs="Times New Roman"/>
                <w:color w:val="auto"/>
                <w:sz w:val="24"/>
                <w:highlight w:val="none"/>
                <w:lang w:eastAsia="zh-CN"/>
              </w:rPr>
              <w:t>O)，CAS号10101-41-4，又称细理石，又名“寒水石”，主治中风寒热，有解肌发汗，除口干舌焦，头痛牙疼等功能。石膏一般呈白色或无色透明，当含有杂质时，呈灰褐、黄等色，比重</w:t>
            </w:r>
            <w:r>
              <w:rPr>
                <w:rFonts w:hint="eastAsia" w:cs="Times New Roman"/>
                <w:color w:val="auto"/>
                <w:sz w:val="24"/>
                <w:highlight w:val="none"/>
                <w:lang w:eastAsia="zh-CN"/>
              </w:rPr>
              <w:t>介于</w:t>
            </w:r>
            <w:r>
              <w:rPr>
                <w:rFonts w:hint="default" w:ascii="Times New Roman" w:hAnsi="Times New Roman" w:cs="Times New Roman"/>
                <w:color w:val="auto"/>
                <w:sz w:val="24"/>
                <w:highlight w:val="none"/>
                <w:lang w:eastAsia="zh-CN"/>
              </w:rPr>
              <w:t>2.31~2.33，摩氏硬度为1.5~2，在水中的溶解度比较小，在20℃时，换算为CaO的二水石膏的溶解度为每升2.05克。石膏硬化后，内部具有大量的孔隙，孔隙率可达50%~60%，故其密度小，强度也较低，建筑石膏硬化后具有较强的吸湿性，吸湿后，晶体间粘结力减弱，强度</w:t>
            </w:r>
            <w:r>
              <w:rPr>
                <w:rFonts w:hint="eastAsia" w:cs="Times New Roman"/>
                <w:color w:val="auto"/>
                <w:sz w:val="24"/>
                <w:highlight w:val="none"/>
                <w:lang w:eastAsia="zh-CN"/>
              </w:rPr>
              <w:t>显著</w:t>
            </w:r>
            <w:r>
              <w:rPr>
                <w:rFonts w:hint="default" w:ascii="Times New Roman" w:hAnsi="Times New Roman" w:cs="Times New Roman"/>
                <w:color w:val="auto"/>
                <w:sz w:val="24"/>
                <w:highlight w:val="none"/>
                <w:lang w:eastAsia="zh-CN"/>
              </w:rPr>
              <w:t>下降，遇水则晶体溶解引起破坏，吸水后受冻，更易崩裂。所以，单纯建筑石膏的耐水性和抗冻性均较差。建筑石膏凝固时，不像石灰和水泥那样出现收缩，而是略有膨胀(约为1%)，硬化时不会出现裂缝。所以，石膏浆可以</w:t>
            </w:r>
            <w:r>
              <w:rPr>
                <w:rFonts w:hint="eastAsia" w:cs="Times New Roman"/>
                <w:color w:val="auto"/>
                <w:sz w:val="24"/>
                <w:highlight w:val="none"/>
                <w:lang w:eastAsia="zh-CN"/>
              </w:rPr>
              <w:t>浇铸</w:t>
            </w:r>
            <w:r>
              <w:rPr>
                <w:rFonts w:hint="default" w:ascii="Times New Roman" w:hAnsi="Times New Roman" w:cs="Times New Roman"/>
                <w:color w:val="auto"/>
                <w:sz w:val="24"/>
                <w:highlight w:val="none"/>
                <w:lang w:eastAsia="zh-CN"/>
              </w:rPr>
              <w:t>成尺寸准确，表面光滑细致的构件。石膏是热的不良导体，其导热率16℃~46℃，为0.259千卡/米·度·时。当石膏遇火时，由于二水石膏中的结晶水蒸发，吸收热量，表面生成的无水物又是良好的热绝缘体，故石膏的防火性好。</w:t>
            </w:r>
          </w:p>
          <w:p w14:paraId="6EF107D1">
            <w:pPr>
              <w:snapToGrid w:val="0"/>
              <w:spacing w:line="360" w:lineRule="auto"/>
              <w:ind w:firstLine="480" w:firstLineChars="200"/>
              <w:rPr>
                <w:color w:val="auto"/>
                <w:sz w:val="24"/>
                <w:highlight w:val="none"/>
              </w:rPr>
            </w:pPr>
            <w:r>
              <w:rPr>
                <w:rFonts w:hint="eastAsia"/>
                <w:color w:val="auto"/>
                <w:sz w:val="24"/>
                <w:highlight w:val="none"/>
              </w:rPr>
              <w:t>6</w:t>
            </w:r>
            <w:r>
              <w:rPr>
                <w:color w:val="auto"/>
                <w:sz w:val="24"/>
                <w:highlight w:val="none"/>
              </w:rPr>
              <w:t>、劳动定员及工作制度</w:t>
            </w:r>
          </w:p>
          <w:p w14:paraId="79A5D003">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根据</w:t>
            </w:r>
            <w:r>
              <w:rPr>
                <w:rFonts w:hint="eastAsia" w:hAnsi="宋体"/>
                <w:color w:val="auto"/>
                <w:sz w:val="24"/>
                <w:highlight w:val="none"/>
                <w:lang w:eastAsia="zh-CN"/>
              </w:rPr>
              <w:t>现场调查</w:t>
            </w:r>
            <w:r>
              <w:rPr>
                <w:rFonts w:hint="eastAsia" w:hAnsi="宋体"/>
                <w:color w:val="auto"/>
                <w:sz w:val="24"/>
                <w:highlight w:val="none"/>
              </w:rPr>
              <w:t>，现有工程员工人数为</w:t>
            </w:r>
            <w:r>
              <w:rPr>
                <w:rFonts w:hint="eastAsia" w:hAnsi="宋体"/>
                <w:color w:val="auto"/>
                <w:sz w:val="24"/>
                <w:highlight w:val="none"/>
                <w:lang w:val="en-US" w:eastAsia="zh-CN"/>
              </w:rPr>
              <w:t>8</w:t>
            </w:r>
            <w:r>
              <w:rPr>
                <w:rFonts w:hint="eastAsia" w:hAnsi="宋体"/>
                <w:color w:val="auto"/>
                <w:sz w:val="24"/>
                <w:highlight w:val="none"/>
              </w:rPr>
              <w:t>人</w:t>
            </w:r>
            <w:r>
              <w:rPr>
                <w:color w:val="auto"/>
                <w:sz w:val="24"/>
                <w:highlight w:val="none"/>
              </w:rPr>
              <w:t>，年工作时间</w:t>
            </w:r>
            <w:r>
              <w:rPr>
                <w:rFonts w:hint="eastAsia"/>
                <w:color w:val="auto"/>
                <w:sz w:val="24"/>
                <w:highlight w:val="none"/>
                <w:lang w:val="en-US" w:eastAsia="zh-CN"/>
              </w:rPr>
              <w:t>30</w:t>
            </w:r>
            <w:r>
              <w:rPr>
                <w:color w:val="auto"/>
                <w:sz w:val="24"/>
                <w:highlight w:val="none"/>
              </w:rPr>
              <w:t>0天</w:t>
            </w:r>
            <w:r>
              <w:rPr>
                <w:rFonts w:hint="eastAsia"/>
                <w:color w:val="auto"/>
                <w:sz w:val="24"/>
                <w:highlight w:val="none"/>
                <w:lang w:eastAsia="zh-CN"/>
              </w:rPr>
              <w:t>，</w:t>
            </w:r>
            <w:r>
              <w:rPr>
                <w:color w:val="auto"/>
                <w:sz w:val="24"/>
                <w:highlight w:val="none"/>
              </w:rPr>
              <w:t>每天</w:t>
            </w:r>
            <w:r>
              <w:rPr>
                <w:rFonts w:hint="eastAsia"/>
                <w:color w:val="auto"/>
                <w:sz w:val="24"/>
                <w:highlight w:val="none"/>
                <w:lang w:eastAsia="zh-CN"/>
              </w:rPr>
              <w:t>一</w:t>
            </w:r>
            <w:r>
              <w:rPr>
                <w:color w:val="auto"/>
                <w:sz w:val="24"/>
                <w:highlight w:val="none"/>
              </w:rPr>
              <w:t>班</w:t>
            </w:r>
            <w:r>
              <w:rPr>
                <w:rFonts w:hint="eastAsia"/>
                <w:color w:val="auto"/>
                <w:sz w:val="24"/>
                <w:highlight w:val="none"/>
                <w:lang w:eastAsia="zh-CN"/>
              </w:rPr>
              <w:t>，每班八小时，员工在</w:t>
            </w:r>
            <w:r>
              <w:rPr>
                <w:color w:val="auto"/>
                <w:sz w:val="24"/>
                <w:highlight w:val="none"/>
              </w:rPr>
              <w:t>厂区内</w:t>
            </w:r>
            <w:r>
              <w:rPr>
                <w:rFonts w:hint="eastAsia"/>
                <w:color w:val="auto"/>
                <w:sz w:val="24"/>
                <w:highlight w:val="none"/>
                <w:lang w:eastAsia="zh-CN"/>
              </w:rPr>
              <w:t>食宿</w:t>
            </w:r>
            <w:r>
              <w:rPr>
                <w:rFonts w:hint="eastAsia"/>
                <w:color w:val="auto"/>
                <w:sz w:val="24"/>
                <w:highlight w:val="none"/>
              </w:rPr>
              <w:t>。</w:t>
            </w:r>
          </w:p>
          <w:p w14:paraId="2217A37A">
            <w:pPr>
              <w:snapToGrid w:val="0"/>
              <w:spacing w:line="360" w:lineRule="auto"/>
              <w:ind w:firstLine="480" w:firstLineChars="200"/>
              <w:rPr>
                <w:rFonts w:hAnsi="宋体"/>
                <w:color w:val="auto"/>
                <w:sz w:val="24"/>
                <w:highlight w:val="none"/>
              </w:rPr>
            </w:pPr>
            <w:r>
              <w:rPr>
                <w:rFonts w:hint="eastAsia" w:hAnsi="宋体"/>
                <w:color w:val="auto"/>
                <w:sz w:val="24"/>
                <w:highlight w:val="none"/>
              </w:rPr>
              <w:t>本次</w:t>
            </w:r>
            <w:r>
              <w:rPr>
                <w:rFonts w:hint="eastAsia" w:hAnsi="宋体"/>
                <w:color w:val="auto"/>
                <w:sz w:val="24"/>
                <w:highlight w:val="none"/>
                <w:lang w:eastAsia="zh-CN"/>
              </w:rPr>
              <w:t>变动</w:t>
            </w:r>
            <w:r>
              <w:rPr>
                <w:rFonts w:hint="eastAsia" w:hAnsi="宋体"/>
                <w:color w:val="auto"/>
                <w:sz w:val="24"/>
                <w:highlight w:val="none"/>
              </w:rPr>
              <w:t>新增员工</w:t>
            </w:r>
            <w:r>
              <w:rPr>
                <w:rFonts w:hint="eastAsia" w:hAnsi="宋体"/>
                <w:color w:val="auto"/>
                <w:sz w:val="24"/>
                <w:highlight w:val="none"/>
                <w:lang w:val="en-US" w:eastAsia="zh-CN"/>
              </w:rPr>
              <w:t>4</w:t>
            </w:r>
            <w:r>
              <w:rPr>
                <w:rFonts w:hint="eastAsia" w:hAnsi="宋体"/>
                <w:color w:val="auto"/>
                <w:sz w:val="24"/>
                <w:highlight w:val="none"/>
              </w:rPr>
              <w:t>人，员工皆为周边居民</w:t>
            </w:r>
            <w:r>
              <w:rPr>
                <w:rFonts w:hint="eastAsia" w:hAnsi="宋体"/>
                <w:color w:val="auto"/>
                <w:sz w:val="24"/>
                <w:highlight w:val="none"/>
                <w:lang w:eastAsia="zh-CN"/>
              </w:rPr>
              <w:t>，</w:t>
            </w:r>
            <w:r>
              <w:rPr>
                <w:rFonts w:hint="eastAsia" w:hAnsi="宋体"/>
                <w:color w:val="auto"/>
                <w:sz w:val="24"/>
                <w:highlight w:val="none"/>
              </w:rPr>
              <w:t>工作制度</w:t>
            </w:r>
            <w:r>
              <w:rPr>
                <w:rFonts w:hint="eastAsia" w:hAnsi="宋体"/>
                <w:color w:val="auto"/>
                <w:sz w:val="24"/>
                <w:highlight w:val="none"/>
                <w:lang w:eastAsia="zh-CN"/>
              </w:rPr>
              <w:t>维持不变</w:t>
            </w:r>
            <w:r>
              <w:rPr>
                <w:rFonts w:hint="eastAsia"/>
                <w:color w:val="auto"/>
                <w:sz w:val="24"/>
                <w:highlight w:val="none"/>
              </w:rPr>
              <w:t>。</w:t>
            </w:r>
          </w:p>
          <w:p w14:paraId="4841B929">
            <w:pPr>
              <w:adjustRightInd w:val="0"/>
              <w:snapToGrid w:val="0"/>
              <w:spacing w:line="360" w:lineRule="auto"/>
              <w:ind w:firstLine="482"/>
              <w:jc w:val="left"/>
              <w:rPr>
                <w:color w:val="auto"/>
                <w:sz w:val="24"/>
                <w:highlight w:val="none"/>
              </w:rPr>
            </w:pPr>
            <w:r>
              <w:rPr>
                <w:rFonts w:hint="eastAsia"/>
                <w:color w:val="auto"/>
                <w:sz w:val="24"/>
                <w:highlight w:val="none"/>
              </w:rPr>
              <w:t>7</w:t>
            </w:r>
            <w:r>
              <w:rPr>
                <w:color w:val="auto"/>
                <w:sz w:val="24"/>
                <w:highlight w:val="none"/>
              </w:rPr>
              <w:t>、公用工程</w:t>
            </w:r>
          </w:p>
          <w:p w14:paraId="359EE838">
            <w:pPr>
              <w:snapToGrid w:val="0"/>
              <w:spacing w:line="360" w:lineRule="auto"/>
              <w:ind w:firstLine="480" w:firstLineChars="200"/>
              <w:rPr>
                <w:rFonts w:hAnsi="宋体"/>
                <w:color w:val="auto"/>
                <w:sz w:val="24"/>
                <w:highlight w:val="none"/>
              </w:rPr>
            </w:pPr>
            <w:r>
              <w:rPr>
                <w:rFonts w:hint="eastAsia" w:hAnsi="宋体"/>
                <w:color w:val="auto"/>
                <w:sz w:val="24"/>
                <w:highlight w:val="none"/>
              </w:rPr>
              <w:t>（1）给水系统</w:t>
            </w:r>
          </w:p>
          <w:p w14:paraId="6ABFDA8A">
            <w:pPr>
              <w:snapToGrid w:val="0"/>
              <w:spacing w:line="360" w:lineRule="auto"/>
              <w:ind w:firstLine="480" w:firstLineChars="200"/>
              <w:rPr>
                <w:color w:val="auto"/>
                <w:sz w:val="24"/>
                <w:highlight w:val="none"/>
              </w:rPr>
            </w:pPr>
            <w:r>
              <w:rPr>
                <w:rFonts w:hint="eastAsia" w:hAnsi="宋体"/>
                <w:color w:val="auto"/>
                <w:sz w:val="24"/>
                <w:highlight w:val="none"/>
              </w:rPr>
              <w:t>项目生产及生活用水均由</w:t>
            </w:r>
            <w:r>
              <w:rPr>
                <w:rFonts w:hint="eastAsia" w:hAnsi="宋体"/>
                <w:color w:val="auto"/>
                <w:sz w:val="24"/>
                <w:highlight w:val="none"/>
                <w:lang w:eastAsia="zh-CN"/>
              </w:rPr>
              <w:t>园区供水管网</w:t>
            </w:r>
            <w:r>
              <w:rPr>
                <w:rFonts w:hint="eastAsia" w:hAnsi="宋体"/>
                <w:color w:val="auto"/>
                <w:sz w:val="24"/>
                <w:highlight w:val="none"/>
              </w:rPr>
              <w:t>提供。</w:t>
            </w:r>
          </w:p>
          <w:p w14:paraId="4BB98148">
            <w:pPr>
              <w:snapToGrid w:val="0"/>
              <w:spacing w:line="360" w:lineRule="auto"/>
              <w:ind w:firstLine="480" w:firstLineChars="200"/>
              <w:rPr>
                <w:rFonts w:hAnsi="宋体"/>
                <w:color w:val="auto"/>
                <w:sz w:val="24"/>
                <w:highlight w:val="none"/>
              </w:rPr>
            </w:pPr>
            <w:r>
              <w:rPr>
                <w:rFonts w:hint="eastAsia" w:hAnsi="宋体"/>
                <w:color w:val="auto"/>
                <w:sz w:val="24"/>
                <w:highlight w:val="none"/>
              </w:rPr>
              <w:t>（2）排水系统</w:t>
            </w:r>
          </w:p>
          <w:p w14:paraId="6B3BD713">
            <w:pPr>
              <w:snapToGrid w:val="0"/>
              <w:spacing w:line="360" w:lineRule="auto"/>
              <w:ind w:firstLine="480" w:firstLineChars="200"/>
              <w:rPr>
                <w:rFonts w:hAnsi="宋体"/>
                <w:color w:val="auto"/>
                <w:sz w:val="24"/>
                <w:highlight w:val="none"/>
              </w:rPr>
            </w:pPr>
            <w:r>
              <w:rPr>
                <w:rFonts w:hint="eastAsia" w:hAnsi="宋体"/>
                <w:color w:val="auto"/>
                <w:sz w:val="24"/>
                <w:highlight w:val="none"/>
                <w:lang w:eastAsia="zh-CN"/>
              </w:rPr>
              <w:t>厂区现实行</w:t>
            </w:r>
            <w:r>
              <w:rPr>
                <w:rFonts w:hint="eastAsia" w:hAnsi="宋体"/>
                <w:color w:val="auto"/>
                <w:sz w:val="24"/>
                <w:highlight w:val="none"/>
              </w:rPr>
              <w:t>采取雨污分流</w:t>
            </w:r>
            <w:r>
              <w:rPr>
                <w:rFonts w:hint="eastAsia" w:hAnsi="宋体"/>
                <w:color w:val="auto"/>
                <w:sz w:val="24"/>
                <w:highlight w:val="none"/>
                <w:lang w:eastAsia="zh-CN"/>
              </w:rPr>
              <w:t>措施</w:t>
            </w:r>
            <w:r>
              <w:rPr>
                <w:rFonts w:hint="eastAsia" w:hAnsi="宋体"/>
                <w:color w:val="auto"/>
                <w:sz w:val="24"/>
                <w:highlight w:val="none"/>
              </w:rPr>
              <w:t>。雨水经雨水渠外排；餐饮废水经油水分离器处理后，同生活污水一起排入厂区化粪池，处理后用于周边</w:t>
            </w:r>
            <w:r>
              <w:rPr>
                <w:rFonts w:hint="eastAsia" w:hAnsi="宋体"/>
                <w:color w:val="auto"/>
                <w:sz w:val="24"/>
                <w:highlight w:val="none"/>
                <w:lang w:val="en-US" w:eastAsia="zh-CN"/>
              </w:rPr>
              <w:t>农田施肥；洗车废水经配套沉淀池处理后回用，不外排</w:t>
            </w:r>
            <w:r>
              <w:rPr>
                <w:rFonts w:hint="eastAsia" w:hAnsi="宋体"/>
                <w:color w:val="auto"/>
                <w:sz w:val="24"/>
                <w:highlight w:val="none"/>
              </w:rPr>
              <w:t>。</w:t>
            </w:r>
          </w:p>
          <w:p w14:paraId="1810EBD3">
            <w:pPr>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供电</w:t>
            </w:r>
            <w:r>
              <w:rPr>
                <w:rFonts w:hint="eastAsia"/>
                <w:color w:val="auto"/>
                <w:sz w:val="24"/>
                <w:highlight w:val="none"/>
              </w:rPr>
              <w:t>系统</w:t>
            </w:r>
          </w:p>
          <w:p w14:paraId="0E34A9EA">
            <w:pPr>
              <w:snapToGrid w:val="0"/>
              <w:spacing w:line="360" w:lineRule="auto"/>
              <w:ind w:firstLine="480" w:firstLineChars="200"/>
              <w:rPr>
                <w:color w:val="auto"/>
                <w:sz w:val="24"/>
                <w:highlight w:val="none"/>
              </w:rPr>
            </w:pPr>
            <w:r>
              <w:rPr>
                <w:color w:val="auto"/>
                <w:sz w:val="24"/>
                <w:highlight w:val="none"/>
              </w:rPr>
              <w:t>项目用电</w:t>
            </w:r>
            <w:r>
              <w:rPr>
                <w:rFonts w:hint="eastAsia"/>
                <w:color w:val="auto"/>
                <w:sz w:val="24"/>
                <w:highlight w:val="none"/>
                <w:lang w:eastAsia="zh-CN"/>
              </w:rPr>
              <w:t>由园区供电系统提供</w:t>
            </w:r>
            <w:r>
              <w:rPr>
                <w:rFonts w:hint="default"/>
                <w:color w:val="auto"/>
                <w:sz w:val="24"/>
                <w:highlight w:val="none"/>
              </w:rPr>
              <w:t>，厂区设置10kv配电室，</w:t>
            </w:r>
            <w:r>
              <w:rPr>
                <w:rFonts w:hint="eastAsia"/>
                <w:color w:val="auto"/>
                <w:sz w:val="24"/>
                <w:highlight w:val="none"/>
                <w:lang w:eastAsia="zh-CN"/>
              </w:rPr>
              <w:t>直接</w:t>
            </w:r>
            <w:r>
              <w:rPr>
                <w:rFonts w:hint="default"/>
                <w:color w:val="auto"/>
                <w:sz w:val="24"/>
                <w:highlight w:val="none"/>
              </w:rPr>
              <w:t>供给生产用电</w:t>
            </w:r>
            <w:r>
              <w:rPr>
                <w:rFonts w:hint="eastAsia"/>
                <w:color w:val="auto"/>
                <w:sz w:val="24"/>
                <w:highlight w:val="none"/>
              </w:rPr>
              <w:t>。</w:t>
            </w:r>
          </w:p>
          <w:p w14:paraId="25442D4F">
            <w:pPr>
              <w:numPr>
                <w:ilvl w:val="255"/>
                <w:numId w:val="0"/>
              </w:numPr>
              <w:snapToGrid w:val="0"/>
              <w:spacing w:line="360" w:lineRule="auto"/>
              <w:ind w:firstLine="480" w:firstLineChars="200"/>
              <w:rPr>
                <w:color w:val="auto"/>
                <w:sz w:val="24"/>
                <w:highlight w:val="none"/>
              </w:rPr>
            </w:pPr>
            <w:r>
              <w:rPr>
                <w:rFonts w:hint="eastAsia"/>
                <w:color w:val="auto"/>
                <w:sz w:val="24"/>
                <w:highlight w:val="none"/>
              </w:rPr>
              <w:t>8、</w:t>
            </w:r>
            <w:r>
              <w:rPr>
                <w:color w:val="auto"/>
                <w:sz w:val="24"/>
                <w:highlight w:val="none"/>
              </w:rPr>
              <w:t>项目水平衡</w:t>
            </w:r>
          </w:p>
          <w:p w14:paraId="1CDF96E9">
            <w:pPr>
              <w:pStyle w:val="2"/>
              <w:spacing w:line="360" w:lineRule="auto"/>
              <w:ind w:firstLine="480"/>
              <w:rPr>
                <w:color w:val="auto"/>
                <w:highlight w:val="none"/>
              </w:rPr>
            </w:pPr>
            <w:r>
              <w:rPr>
                <w:rFonts w:hint="eastAsia"/>
                <w:color w:val="auto"/>
                <w:highlight w:val="none"/>
              </w:rPr>
              <w:t>项目用水工序主要为车辆冲洗用水、道路抑尘用水</w:t>
            </w:r>
            <w:r>
              <w:rPr>
                <w:rFonts w:hint="eastAsia"/>
                <w:color w:val="auto"/>
                <w:highlight w:val="none"/>
                <w:lang w:eastAsia="zh-CN"/>
              </w:rPr>
              <w:t>及</w:t>
            </w:r>
            <w:r>
              <w:rPr>
                <w:rFonts w:hint="eastAsia"/>
                <w:color w:val="auto"/>
                <w:highlight w:val="none"/>
              </w:rPr>
              <w:t>员工生活用水，情况详细分析如下：</w:t>
            </w:r>
          </w:p>
          <w:p w14:paraId="21BFEBD3">
            <w:pPr>
              <w:spacing w:line="360" w:lineRule="auto"/>
              <w:ind w:firstLine="482"/>
              <w:rPr>
                <w:rFonts w:hint="eastAsia" w:ascii="宋体" w:hAnsi="宋体" w:cs="宋体"/>
                <w:color w:val="auto"/>
                <w:sz w:val="24"/>
                <w:highlight w:val="none"/>
              </w:rPr>
            </w:pPr>
            <w:r>
              <w:rPr>
                <w:rFonts w:hint="eastAsia" w:ascii="宋体" w:hAnsi="宋体" w:eastAsia="宋体" w:cs="宋体"/>
                <w:color w:val="auto"/>
                <w:sz w:val="24"/>
                <w:highlight w:val="none"/>
              </w:rPr>
              <w:t>①</w:t>
            </w:r>
            <w:r>
              <w:rPr>
                <w:rFonts w:hint="eastAsia" w:ascii="宋体" w:hAnsi="宋体" w:cs="宋体"/>
                <w:color w:val="auto"/>
                <w:sz w:val="24"/>
                <w:highlight w:val="none"/>
              </w:rPr>
              <w:t>车辆冲洗用水：</w:t>
            </w:r>
          </w:p>
          <w:p w14:paraId="4BD455E4">
            <w:pPr>
              <w:spacing w:line="360" w:lineRule="auto"/>
              <w:ind w:firstLine="482"/>
              <w:rPr>
                <w:color w:val="auto"/>
                <w:sz w:val="24"/>
                <w:highlight w:val="none"/>
              </w:rPr>
            </w:pPr>
            <w:r>
              <w:rPr>
                <w:rFonts w:hint="eastAsia" w:ascii="宋体" w:hAnsi="宋体" w:cs="宋体"/>
                <w:color w:val="auto"/>
                <w:sz w:val="24"/>
                <w:highlight w:val="none"/>
                <w:lang w:eastAsia="zh-CN"/>
              </w:rPr>
              <w:t>根据建设单位负责人介绍，现有工程运行期间清洗车辆用水量约</w:t>
            </w:r>
            <w:r>
              <w:rPr>
                <w:rFonts w:hint="default" w:ascii="Times New Roman" w:hAnsi="Times New Roman" w:cs="Times New Roman"/>
                <w:color w:val="auto"/>
                <w:sz w:val="24"/>
                <w:highlight w:val="none"/>
                <w:lang w:val="en-US" w:eastAsia="zh-CN"/>
              </w:rPr>
              <w:t>2.0</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。结合前文工程分析可知，本次新增的原料及产品量合计约</w:t>
            </w:r>
            <w:r>
              <w:rPr>
                <w:rFonts w:hint="eastAsia"/>
                <w:color w:val="auto"/>
                <w:sz w:val="24"/>
                <w:highlight w:val="none"/>
                <w:lang w:val="en-US" w:eastAsia="zh-CN"/>
              </w:rPr>
              <w:t>52万t/a，</w:t>
            </w:r>
            <w:r>
              <w:rPr>
                <w:color w:val="auto"/>
                <w:sz w:val="24"/>
                <w:highlight w:val="none"/>
              </w:rPr>
              <w:t>根据《建筑给水排水设计手册》</w:t>
            </w:r>
            <w:r>
              <w:rPr>
                <w:rFonts w:hint="eastAsia"/>
                <w:color w:val="auto"/>
                <w:sz w:val="24"/>
                <w:highlight w:val="none"/>
              </w:rPr>
              <w:t>（2019年第三版）</w:t>
            </w:r>
            <w:r>
              <w:rPr>
                <w:color w:val="auto"/>
                <w:sz w:val="24"/>
                <w:highlight w:val="none"/>
              </w:rPr>
              <w:t>用水定额中汽车冲洗用水定额，冲洗载重车用水定额为80L/辆·次</w:t>
            </w:r>
            <w:r>
              <w:rPr>
                <w:rFonts w:hint="eastAsia"/>
                <w:color w:val="auto"/>
                <w:sz w:val="24"/>
                <w:highlight w:val="none"/>
                <w:lang w:eastAsia="zh-CN"/>
              </w:rPr>
              <w:t>，</w:t>
            </w:r>
            <w:r>
              <w:rPr>
                <w:color w:val="auto"/>
                <w:sz w:val="24"/>
                <w:highlight w:val="none"/>
              </w:rPr>
              <w:t>运输车辆按</w:t>
            </w:r>
            <w:r>
              <w:rPr>
                <w:rFonts w:hint="eastAsia"/>
                <w:color w:val="auto"/>
                <w:sz w:val="24"/>
                <w:highlight w:val="none"/>
              </w:rPr>
              <w:t>3</w:t>
            </w:r>
            <w:r>
              <w:rPr>
                <w:color w:val="auto"/>
                <w:sz w:val="24"/>
                <w:highlight w:val="none"/>
              </w:rPr>
              <w:t>0t/辆计，</w:t>
            </w:r>
            <w:r>
              <w:rPr>
                <w:rFonts w:hint="eastAsia"/>
                <w:color w:val="auto"/>
                <w:sz w:val="24"/>
                <w:highlight w:val="none"/>
                <w:lang w:eastAsia="zh-CN"/>
              </w:rPr>
              <w:t>综合计算可知新增工程用水量约为</w:t>
            </w:r>
            <w:r>
              <w:rPr>
                <w:rFonts w:hint="eastAsia"/>
                <w:color w:val="auto"/>
                <w:sz w:val="24"/>
                <w:highlight w:val="none"/>
                <w:lang w:val="en-US" w:eastAsia="zh-CN"/>
              </w:rPr>
              <w:t>3.84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。因此新增工程投入运营后，运营期全厂车辆冲洗用水量为</w:t>
            </w:r>
            <w:r>
              <w:rPr>
                <w:rFonts w:hint="eastAsia"/>
                <w:color w:val="auto"/>
                <w:sz w:val="24"/>
                <w:highlight w:val="none"/>
                <w:lang w:val="en-US" w:eastAsia="zh-CN"/>
              </w:rPr>
              <w:t>5.84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color w:val="auto"/>
                <w:sz w:val="24"/>
                <w:highlight w:val="none"/>
              </w:rPr>
              <w:t>污水产生系数按0</w:t>
            </w:r>
            <w:r>
              <w:rPr>
                <w:rFonts w:hint="eastAsia"/>
                <w:color w:val="auto"/>
                <w:sz w:val="24"/>
                <w:highlight w:val="none"/>
              </w:rPr>
              <w:t>.9</w:t>
            </w:r>
            <w:r>
              <w:rPr>
                <w:color w:val="auto"/>
                <w:sz w:val="24"/>
                <w:highlight w:val="none"/>
              </w:rPr>
              <w:t>计，则车辆冲洗废水产生量</w:t>
            </w:r>
            <w:r>
              <w:rPr>
                <w:rFonts w:hint="eastAsia"/>
                <w:color w:val="auto"/>
                <w:sz w:val="24"/>
                <w:highlight w:val="none"/>
                <w:lang w:eastAsia="zh-CN"/>
              </w:rPr>
              <w:t>约为</w:t>
            </w:r>
            <w:r>
              <w:rPr>
                <w:rFonts w:hint="eastAsia"/>
                <w:color w:val="auto"/>
                <w:sz w:val="24"/>
                <w:highlight w:val="none"/>
                <w:lang w:val="en-US" w:eastAsia="zh-CN"/>
              </w:rPr>
              <w:t>5.25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p>
          <w:p w14:paraId="53D69345">
            <w:pPr>
              <w:widowControl/>
              <w:adjustRightInd w:val="0"/>
              <w:snapToGrid w:val="0"/>
              <w:spacing w:line="360" w:lineRule="auto"/>
              <w:ind w:firstLine="480" w:firstLineChars="200"/>
              <w:rPr>
                <w:color w:val="auto"/>
                <w:sz w:val="24"/>
                <w:highlight w:val="none"/>
              </w:rPr>
            </w:pPr>
            <w:r>
              <w:rPr>
                <w:rFonts w:hint="eastAsia" w:ascii="宋体" w:hAnsi="宋体" w:eastAsia="宋体" w:cs="宋体"/>
                <w:color w:val="auto"/>
                <w:sz w:val="24"/>
                <w:highlight w:val="none"/>
              </w:rPr>
              <w:t>②</w:t>
            </w:r>
            <w:r>
              <w:rPr>
                <w:rFonts w:hint="eastAsia" w:ascii="宋体" w:hAnsi="宋体" w:cs="宋体"/>
                <w:color w:val="auto"/>
                <w:sz w:val="24"/>
                <w:highlight w:val="none"/>
              </w:rPr>
              <w:t>道路抑尘用水：经现场踏勘，目前厂区主干道已完成硬化，</w:t>
            </w:r>
            <w:r>
              <w:rPr>
                <w:rFonts w:hint="eastAsia" w:ascii="宋体" w:hAnsi="宋体" w:cs="宋体"/>
                <w:color w:val="auto"/>
                <w:sz w:val="24"/>
                <w:highlight w:val="none"/>
                <w:lang w:eastAsia="zh-CN"/>
              </w:rPr>
              <w:t>现有工程道路抑尘用水量约</w:t>
            </w:r>
            <w:r>
              <w:rPr>
                <w:rFonts w:hint="default" w:ascii="Times New Roman" w:hAnsi="Times New Roman" w:cs="Times New Roman"/>
                <w:color w:val="auto"/>
                <w:sz w:val="24"/>
                <w:highlight w:val="none"/>
                <w:lang w:val="en-US" w:eastAsia="zh-CN"/>
              </w:rPr>
              <w:t>1.0</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。考虑到本次变动不新增主干道，但日运输量会增大，预计会新增约</w:t>
            </w:r>
            <w:r>
              <w:rPr>
                <w:rFonts w:hint="eastAsia"/>
                <w:color w:val="auto"/>
                <w:sz w:val="24"/>
                <w:highlight w:val="none"/>
                <w:lang w:val="en-US" w:eastAsia="zh-CN"/>
              </w:rPr>
              <w:t>50%的抑尘用水。因此</w:t>
            </w:r>
            <w:r>
              <w:rPr>
                <w:rFonts w:hint="eastAsia"/>
                <w:color w:val="auto"/>
                <w:sz w:val="24"/>
                <w:highlight w:val="none"/>
                <w:lang w:eastAsia="zh-CN"/>
              </w:rPr>
              <w:t>新增工程投入运营后，运营期全厂</w:t>
            </w:r>
            <w:r>
              <w:rPr>
                <w:rFonts w:hint="eastAsia" w:ascii="宋体" w:hAnsi="宋体" w:cs="宋体"/>
                <w:color w:val="auto"/>
                <w:sz w:val="24"/>
                <w:highlight w:val="none"/>
              </w:rPr>
              <w:t>道路抑尘用水</w:t>
            </w:r>
            <w:r>
              <w:rPr>
                <w:rFonts w:hint="eastAsia"/>
                <w:color w:val="auto"/>
                <w:sz w:val="24"/>
                <w:highlight w:val="none"/>
                <w:lang w:eastAsia="zh-CN"/>
              </w:rPr>
              <w:t>量为</w:t>
            </w:r>
            <w:r>
              <w:rPr>
                <w:rFonts w:hint="eastAsia"/>
                <w:color w:val="auto"/>
                <w:sz w:val="24"/>
                <w:highlight w:val="none"/>
                <w:lang w:val="en-US" w:eastAsia="zh-CN"/>
              </w:rPr>
              <w:t>1.5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rPr>
              <w:t>由于</w:t>
            </w:r>
            <w:r>
              <w:rPr>
                <w:color w:val="auto"/>
                <w:sz w:val="24"/>
                <w:highlight w:val="none"/>
              </w:rPr>
              <w:t>浇</w:t>
            </w:r>
            <w:r>
              <w:rPr>
                <w:rFonts w:hint="eastAsia"/>
                <w:color w:val="auto"/>
                <w:sz w:val="24"/>
                <w:highlight w:val="none"/>
              </w:rPr>
              <w:t>洒</w:t>
            </w:r>
            <w:r>
              <w:rPr>
                <w:color w:val="auto"/>
                <w:sz w:val="24"/>
                <w:highlight w:val="none"/>
              </w:rPr>
              <w:t>面积较大，此类水</w:t>
            </w:r>
            <w:r>
              <w:rPr>
                <w:rFonts w:hint="eastAsia"/>
                <w:color w:val="auto"/>
                <w:sz w:val="24"/>
                <w:highlight w:val="none"/>
                <w:lang w:eastAsia="zh-CN"/>
              </w:rPr>
              <w:t>会</w:t>
            </w:r>
            <w:r>
              <w:rPr>
                <w:color w:val="auto"/>
                <w:sz w:val="24"/>
                <w:highlight w:val="none"/>
              </w:rPr>
              <w:t>完全蒸发，不会形成径流。</w:t>
            </w:r>
          </w:p>
          <w:p w14:paraId="28A685F7">
            <w:pPr>
              <w:spacing w:line="360" w:lineRule="auto"/>
              <w:ind w:firstLine="482"/>
              <w:rPr>
                <w:color w:val="auto"/>
                <w:sz w:val="24"/>
                <w:highlight w:val="none"/>
              </w:rPr>
            </w:pPr>
            <w:r>
              <w:rPr>
                <w:rFonts w:hint="eastAsia" w:ascii="宋体" w:hAnsi="宋体" w:eastAsia="宋体" w:cs="宋体"/>
                <w:color w:val="auto"/>
                <w:sz w:val="24"/>
                <w:highlight w:val="none"/>
              </w:rPr>
              <w:t>③</w:t>
            </w:r>
            <w:r>
              <w:rPr>
                <w:rFonts w:hint="eastAsia" w:ascii="宋体" w:hAnsi="宋体" w:cs="宋体"/>
                <w:color w:val="auto"/>
                <w:sz w:val="24"/>
                <w:highlight w:val="none"/>
              </w:rPr>
              <w:t>生活用水：</w:t>
            </w:r>
            <w:r>
              <w:rPr>
                <w:rFonts w:hint="eastAsia" w:ascii="宋体" w:hAnsi="宋体" w:cs="宋体"/>
                <w:color w:val="auto"/>
                <w:sz w:val="24"/>
                <w:highlight w:val="none"/>
                <w:lang w:eastAsia="zh-CN"/>
              </w:rPr>
              <w:t>根据建设单位负责人介绍，现有工程运行期间生活用水量为</w:t>
            </w:r>
            <w:r>
              <w:rPr>
                <w:rFonts w:hint="default"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m</w:t>
            </w:r>
            <w:r>
              <w:rPr>
                <w:rFonts w:hint="eastAsia"/>
                <w:color w:val="auto"/>
                <w:sz w:val="24"/>
                <w:highlight w:val="none"/>
                <w:vertAlign w:val="superscript"/>
              </w:rPr>
              <w:t>3</w:t>
            </w:r>
            <w:r>
              <w:rPr>
                <w:color w:val="auto"/>
                <w:sz w:val="24"/>
                <w:highlight w:val="none"/>
              </w:rPr>
              <w:t>/d</w:t>
            </w:r>
            <w:r>
              <w:rPr>
                <w:rFonts w:hint="eastAsia"/>
                <w:color w:val="auto"/>
                <w:sz w:val="24"/>
                <w:highlight w:val="none"/>
                <w:lang w:eastAsia="zh-CN"/>
              </w:rPr>
              <w:t>。本次计划新增</w:t>
            </w:r>
            <w:r>
              <w:rPr>
                <w:rFonts w:hint="eastAsia"/>
                <w:color w:val="auto"/>
                <w:sz w:val="24"/>
                <w:highlight w:val="none"/>
                <w:lang w:val="en-US" w:eastAsia="zh-CN"/>
              </w:rPr>
              <w:t>4人，在厂区内食宿，</w:t>
            </w:r>
            <w:r>
              <w:rPr>
                <w:rFonts w:hint="eastAsia"/>
                <w:color w:val="auto"/>
                <w:sz w:val="24"/>
                <w:highlight w:val="none"/>
              </w:rPr>
              <w:t>生活用水量按《建筑给水排水设计标准》（GB50015-2019）中车间工人用水定额</w:t>
            </w:r>
            <w:r>
              <w:rPr>
                <w:rFonts w:hint="eastAsia"/>
                <w:color w:val="auto"/>
                <w:sz w:val="24"/>
                <w:highlight w:val="none"/>
                <w:lang w:val="en-US" w:eastAsia="zh-CN"/>
              </w:rPr>
              <w:t>5</w:t>
            </w:r>
            <w:r>
              <w:rPr>
                <w:color w:val="auto"/>
                <w:sz w:val="24"/>
                <w:highlight w:val="none"/>
              </w:rPr>
              <w:t>0L/d</w:t>
            </w:r>
            <w:r>
              <w:rPr>
                <w:rFonts w:hint="eastAsia"/>
                <w:color w:val="auto"/>
                <w:sz w:val="24"/>
                <w:highlight w:val="none"/>
              </w:rPr>
              <w:t>·班计，由于</w:t>
            </w:r>
            <w:r>
              <w:rPr>
                <w:rFonts w:hint="eastAsia"/>
                <w:color w:val="auto"/>
                <w:sz w:val="24"/>
                <w:highlight w:val="none"/>
                <w:lang w:eastAsia="zh-CN"/>
              </w:rPr>
              <w:t>厂区</w:t>
            </w:r>
            <w:r>
              <w:rPr>
                <w:rFonts w:hint="eastAsia"/>
                <w:color w:val="auto"/>
                <w:sz w:val="24"/>
                <w:highlight w:val="none"/>
              </w:rPr>
              <w:t>实行每天一班制，则</w:t>
            </w:r>
            <w:r>
              <w:rPr>
                <w:rFonts w:hint="eastAsia"/>
                <w:color w:val="auto"/>
                <w:sz w:val="24"/>
                <w:highlight w:val="none"/>
                <w:lang w:eastAsia="zh-CN"/>
              </w:rPr>
              <w:t>新增用</w:t>
            </w:r>
            <w:r>
              <w:rPr>
                <w:rFonts w:hint="eastAsia"/>
                <w:color w:val="auto"/>
                <w:sz w:val="24"/>
                <w:highlight w:val="none"/>
              </w:rPr>
              <w:t>水量为0.</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color w:val="auto"/>
                <w:sz w:val="24"/>
                <w:highlight w:val="none"/>
              </w:rPr>
              <w:t>/d</w:t>
            </w:r>
            <w:r>
              <w:rPr>
                <w:rFonts w:hint="eastAsia"/>
                <w:color w:val="auto"/>
                <w:sz w:val="24"/>
                <w:highlight w:val="none"/>
                <w:lang w:eastAsia="zh-CN"/>
              </w:rPr>
              <w:t>。因此新增工程投入运营后，运营期全厂生活用水量为</w:t>
            </w:r>
            <w:r>
              <w:rPr>
                <w:rFonts w:hint="eastAsia"/>
                <w:color w:val="auto"/>
                <w:sz w:val="24"/>
                <w:highlight w:val="none"/>
                <w:lang w:val="en-US" w:eastAsia="zh-CN"/>
              </w:rPr>
              <w:t>0.7</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rPr>
              <w:t>排放系数取</w:t>
            </w:r>
            <w:r>
              <w:rPr>
                <w:color w:val="auto"/>
                <w:sz w:val="24"/>
                <w:highlight w:val="none"/>
              </w:rPr>
              <w:t>0.8，则车辆冲洗废水产生量</w:t>
            </w:r>
            <w:r>
              <w:rPr>
                <w:rFonts w:hint="eastAsia"/>
                <w:color w:val="auto"/>
                <w:sz w:val="24"/>
                <w:highlight w:val="none"/>
                <w:lang w:eastAsia="zh-CN"/>
              </w:rPr>
              <w:t>约为</w:t>
            </w:r>
            <w:r>
              <w:rPr>
                <w:rFonts w:hint="eastAsia"/>
                <w:color w:val="auto"/>
                <w:sz w:val="24"/>
                <w:highlight w:val="none"/>
                <w:lang w:val="en-US" w:eastAsia="zh-CN"/>
              </w:rPr>
              <w:t>0.56</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p>
          <w:p w14:paraId="041DF4EB">
            <w:pPr>
              <w:spacing w:line="360" w:lineRule="auto"/>
              <w:ind w:firstLine="482"/>
              <w:rPr>
                <w:rFonts w:hint="eastAsia"/>
                <w:color w:val="auto"/>
                <w:sz w:val="24"/>
                <w:highlight w:val="none"/>
                <w:lang w:val="en-US" w:eastAsia="zh-CN"/>
              </w:rPr>
            </w:pPr>
            <w:r>
              <w:rPr>
                <w:rFonts w:hint="eastAsia"/>
                <w:color w:val="auto"/>
                <w:sz w:val="24"/>
                <w:highlight w:val="none"/>
              </w:rPr>
              <w:t>综上，</w:t>
            </w:r>
            <w:r>
              <w:rPr>
                <w:rFonts w:hint="eastAsia"/>
                <w:color w:val="auto"/>
                <w:sz w:val="24"/>
                <w:highlight w:val="none"/>
                <w:lang w:eastAsia="zh-CN"/>
              </w:rPr>
              <w:t>现有工程水平衡见图</w:t>
            </w:r>
            <w:r>
              <w:rPr>
                <w:rFonts w:hint="eastAsia"/>
                <w:color w:val="auto"/>
                <w:sz w:val="24"/>
                <w:highlight w:val="none"/>
                <w:lang w:val="en-US" w:eastAsia="zh-CN"/>
              </w:rPr>
              <w:t>2-1，</w:t>
            </w:r>
            <w:r>
              <w:rPr>
                <w:rFonts w:hint="eastAsia"/>
                <w:color w:val="auto"/>
                <w:sz w:val="24"/>
                <w:highlight w:val="none"/>
                <w:lang w:eastAsia="zh-CN"/>
              </w:rPr>
              <w:t>新增工程水平衡见图</w:t>
            </w:r>
            <w:r>
              <w:rPr>
                <w:rFonts w:hint="eastAsia"/>
                <w:color w:val="auto"/>
                <w:sz w:val="24"/>
                <w:highlight w:val="none"/>
                <w:lang w:val="en-US" w:eastAsia="zh-CN"/>
              </w:rPr>
              <w:t>2-2，新增工程投入后全厂运营期水平衡见图2-3。</w:t>
            </w:r>
          </w:p>
          <w:p w14:paraId="01D5CECF">
            <w:pPr>
              <w:spacing w:line="360" w:lineRule="auto"/>
              <w:jc w:val="center"/>
              <w:rPr>
                <w:b/>
                <w:bCs/>
                <w:color w:val="auto"/>
                <w:highlight w:val="none"/>
              </w:rPr>
            </w:pPr>
            <w:r>
              <w:rPr>
                <w:rFonts w:hint="default"/>
                <w:color w:val="auto"/>
                <w:sz w:val="24"/>
                <w:highlight w:val="none"/>
                <w:lang w:val="en-US" w:eastAsia="zh-CN"/>
              </w:rPr>
              <w:object>
                <v:shape id="_x0000_i1025" o:spt="75" type="#_x0000_t75" style="height:237.1pt;width:419.2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b/>
                <w:bCs/>
                <w:color w:val="auto"/>
                <w:highlight w:val="none"/>
              </w:rPr>
              <w:t>图</w:t>
            </w:r>
            <w:r>
              <w:rPr>
                <w:rFonts w:hint="eastAsia"/>
                <w:b/>
                <w:bCs/>
                <w:color w:val="auto"/>
                <w:highlight w:val="none"/>
              </w:rPr>
              <w:t>2-1</w:t>
            </w:r>
            <w:r>
              <w:rPr>
                <w:b/>
                <w:bCs/>
                <w:color w:val="auto"/>
                <w:highlight w:val="none"/>
              </w:rPr>
              <w:t xml:space="preserve">  </w:t>
            </w:r>
            <w:r>
              <w:rPr>
                <w:rFonts w:hint="eastAsia"/>
                <w:b/>
                <w:bCs/>
                <w:color w:val="auto"/>
                <w:highlight w:val="none"/>
                <w:lang w:eastAsia="zh-CN"/>
              </w:rPr>
              <w:t>现有工程</w:t>
            </w:r>
            <w:r>
              <w:rPr>
                <w:b/>
                <w:bCs/>
                <w:color w:val="auto"/>
                <w:highlight w:val="none"/>
              </w:rPr>
              <w:t>水平衡图    单位m</w:t>
            </w:r>
            <w:r>
              <w:rPr>
                <w:b/>
                <w:bCs/>
                <w:color w:val="auto"/>
                <w:highlight w:val="none"/>
                <w:vertAlign w:val="superscript"/>
              </w:rPr>
              <w:t>3</w:t>
            </w:r>
            <w:r>
              <w:rPr>
                <w:b/>
                <w:bCs/>
                <w:color w:val="auto"/>
                <w:highlight w:val="none"/>
              </w:rPr>
              <w:t>/d</w:t>
            </w:r>
          </w:p>
          <w:p w14:paraId="3F803A8B">
            <w:pPr>
              <w:spacing w:line="360" w:lineRule="auto"/>
              <w:jc w:val="center"/>
              <w:rPr>
                <w:b/>
                <w:bCs/>
                <w:color w:val="auto"/>
                <w:highlight w:val="none"/>
              </w:rPr>
            </w:pPr>
            <w:r>
              <w:rPr>
                <w:b/>
                <w:bCs/>
                <w:color w:val="auto"/>
                <w:highlight w:val="none"/>
              </w:rPr>
              <w:object>
                <v:shape id="_x0000_i1026" o:spt="75" type="#_x0000_t75" style="height:196.5pt;width:369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1D59FF7C">
            <w:pPr>
              <w:spacing w:line="360" w:lineRule="auto"/>
              <w:jc w:val="center"/>
              <w:rPr>
                <w:b/>
                <w:bCs/>
                <w:color w:val="auto"/>
                <w:highlight w:val="none"/>
              </w:rPr>
            </w:pPr>
            <w:r>
              <w:rPr>
                <w:b/>
                <w:bCs/>
                <w:color w:val="auto"/>
                <w:highlight w:val="none"/>
              </w:rPr>
              <w:t>图</w:t>
            </w:r>
            <w:r>
              <w:rPr>
                <w:rFonts w:hint="eastAsia"/>
                <w:b/>
                <w:bCs/>
                <w:color w:val="auto"/>
                <w:highlight w:val="none"/>
              </w:rPr>
              <w:t>2-</w:t>
            </w:r>
            <w:r>
              <w:rPr>
                <w:rFonts w:hint="eastAsia"/>
                <w:b/>
                <w:bCs/>
                <w:color w:val="auto"/>
                <w:highlight w:val="none"/>
                <w:lang w:val="en-US" w:eastAsia="zh-CN"/>
              </w:rPr>
              <w:t>2</w:t>
            </w:r>
            <w:r>
              <w:rPr>
                <w:b/>
                <w:bCs/>
                <w:color w:val="auto"/>
                <w:highlight w:val="none"/>
              </w:rPr>
              <w:t xml:space="preserve">  </w:t>
            </w:r>
            <w:r>
              <w:rPr>
                <w:rFonts w:hint="eastAsia"/>
                <w:b/>
                <w:bCs/>
                <w:color w:val="auto"/>
                <w:highlight w:val="none"/>
                <w:lang w:eastAsia="zh-CN"/>
              </w:rPr>
              <w:t>新增工程</w:t>
            </w:r>
            <w:r>
              <w:rPr>
                <w:b/>
                <w:bCs/>
                <w:color w:val="auto"/>
                <w:highlight w:val="none"/>
              </w:rPr>
              <w:t>水平衡图    单位m</w:t>
            </w:r>
            <w:r>
              <w:rPr>
                <w:b/>
                <w:bCs/>
                <w:color w:val="auto"/>
                <w:highlight w:val="none"/>
                <w:vertAlign w:val="superscript"/>
              </w:rPr>
              <w:t>3</w:t>
            </w:r>
            <w:r>
              <w:rPr>
                <w:b/>
                <w:bCs/>
                <w:color w:val="auto"/>
                <w:highlight w:val="none"/>
              </w:rPr>
              <w:t>/d</w:t>
            </w:r>
          </w:p>
          <w:p w14:paraId="726A4E51">
            <w:pPr>
              <w:spacing w:line="360" w:lineRule="auto"/>
              <w:jc w:val="center"/>
              <w:rPr>
                <w:b/>
                <w:bCs/>
                <w:color w:val="auto"/>
                <w:highlight w:val="none"/>
              </w:rPr>
            </w:pPr>
            <w:r>
              <w:rPr>
                <w:b/>
                <w:bCs/>
                <w:color w:val="auto"/>
                <w:highlight w:val="none"/>
              </w:rPr>
              <w:object>
                <v:shape id="_x0000_i1027" o:spt="75" type="#_x0000_t75" style="height:196.5pt;width:369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3BCC1B5A">
            <w:pPr>
              <w:spacing w:line="360" w:lineRule="auto"/>
              <w:jc w:val="center"/>
              <w:rPr>
                <w:color w:val="auto"/>
                <w:sz w:val="24"/>
                <w:highlight w:val="none"/>
              </w:rPr>
            </w:pPr>
            <w:r>
              <w:rPr>
                <w:b/>
                <w:bCs/>
                <w:color w:val="auto"/>
                <w:highlight w:val="none"/>
              </w:rPr>
              <w:t>图</w:t>
            </w:r>
            <w:r>
              <w:rPr>
                <w:rFonts w:hint="eastAsia"/>
                <w:b/>
                <w:bCs/>
                <w:color w:val="auto"/>
                <w:highlight w:val="none"/>
              </w:rPr>
              <w:t>2-</w:t>
            </w:r>
            <w:r>
              <w:rPr>
                <w:rFonts w:hint="eastAsia"/>
                <w:b/>
                <w:bCs/>
                <w:color w:val="auto"/>
                <w:highlight w:val="none"/>
                <w:lang w:val="en-US" w:eastAsia="zh-CN"/>
              </w:rPr>
              <w:t>3</w:t>
            </w:r>
            <w:r>
              <w:rPr>
                <w:b/>
                <w:bCs/>
                <w:color w:val="auto"/>
                <w:highlight w:val="none"/>
              </w:rPr>
              <w:t xml:space="preserve">  </w:t>
            </w:r>
            <w:r>
              <w:rPr>
                <w:rFonts w:hint="eastAsia"/>
                <w:b/>
                <w:bCs/>
                <w:color w:val="auto"/>
                <w:highlight w:val="none"/>
                <w:lang w:eastAsia="zh-CN"/>
              </w:rPr>
              <w:t>新增工程投入后全厂</w:t>
            </w:r>
            <w:r>
              <w:rPr>
                <w:b/>
                <w:bCs/>
                <w:color w:val="auto"/>
                <w:highlight w:val="none"/>
              </w:rPr>
              <w:t>运营期水平衡图    单位m</w:t>
            </w:r>
            <w:r>
              <w:rPr>
                <w:b/>
                <w:bCs/>
                <w:color w:val="auto"/>
                <w:highlight w:val="none"/>
                <w:vertAlign w:val="superscript"/>
              </w:rPr>
              <w:t>3</w:t>
            </w:r>
            <w:r>
              <w:rPr>
                <w:b/>
                <w:bCs/>
                <w:color w:val="auto"/>
                <w:highlight w:val="none"/>
              </w:rPr>
              <w:t>/d</w:t>
            </w:r>
          </w:p>
          <w:p w14:paraId="048250B7">
            <w:pPr>
              <w:adjustRightInd w:val="0"/>
              <w:snapToGrid w:val="0"/>
              <w:spacing w:line="360" w:lineRule="auto"/>
              <w:ind w:firstLine="480" w:firstLineChars="200"/>
              <w:rPr>
                <w:color w:val="auto"/>
                <w:sz w:val="24"/>
                <w:highlight w:val="none"/>
              </w:rPr>
            </w:pPr>
            <w:r>
              <w:rPr>
                <w:rFonts w:hint="eastAsia"/>
                <w:color w:val="auto"/>
                <w:sz w:val="24"/>
                <w:highlight w:val="none"/>
              </w:rPr>
              <w:t>9、项目物料平衡</w:t>
            </w:r>
          </w:p>
          <w:p w14:paraId="2CBA5E10">
            <w:pPr>
              <w:adjustRightInd w:val="0"/>
              <w:snapToGrid w:val="0"/>
              <w:spacing w:line="360" w:lineRule="auto"/>
              <w:ind w:firstLine="480" w:firstLineChars="200"/>
              <w:jc w:val="left"/>
              <w:rPr>
                <w:rFonts w:hint="default"/>
                <w:bCs/>
                <w:color w:val="auto"/>
                <w:sz w:val="24"/>
                <w:highlight w:val="none"/>
                <w:lang w:val="en-US" w:eastAsia="zh-CN"/>
              </w:rPr>
            </w:pPr>
            <w:r>
              <w:rPr>
                <w:rFonts w:hint="eastAsia"/>
                <w:bCs/>
                <w:color w:val="auto"/>
                <w:sz w:val="24"/>
                <w:highlight w:val="none"/>
                <w:lang w:eastAsia="zh-CN"/>
              </w:rPr>
              <w:t>现有工程物料平衡见表</w:t>
            </w:r>
            <w:r>
              <w:rPr>
                <w:rFonts w:hint="eastAsia"/>
                <w:bCs/>
                <w:color w:val="auto"/>
                <w:sz w:val="24"/>
                <w:highlight w:val="none"/>
                <w:lang w:val="en-US" w:eastAsia="zh-CN"/>
              </w:rPr>
              <w:t>2-6，</w:t>
            </w:r>
            <w:r>
              <w:rPr>
                <w:rFonts w:hint="eastAsia"/>
                <w:bCs/>
                <w:color w:val="auto"/>
                <w:sz w:val="24"/>
                <w:highlight w:val="none"/>
                <w:lang w:eastAsia="zh-CN"/>
              </w:rPr>
              <w:t>新增工程物料平衡见表</w:t>
            </w:r>
            <w:r>
              <w:rPr>
                <w:rFonts w:hint="eastAsia"/>
                <w:bCs/>
                <w:color w:val="auto"/>
                <w:sz w:val="24"/>
                <w:highlight w:val="none"/>
                <w:lang w:val="en-US" w:eastAsia="zh-CN"/>
              </w:rPr>
              <w:t>2-7，新增工程投入运营后全厂物料平衡见表2-8。</w:t>
            </w:r>
          </w:p>
          <w:p w14:paraId="49B4FF1A">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w:t>
            </w:r>
            <w:r>
              <w:rPr>
                <w:rFonts w:hint="eastAsia"/>
                <w:b/>
                <w:color w:val="auto"/>
                <w:szCs w:val="21"/>
                <w:highlight w:val="none"/>
                <w:lang w:val="en-US" w:eastAsia="zh-CN"/>
              </w:rPr>
              <w:t>6</w:t>
            </w:r>
            <w:r>
              <w:rPr>
                <w:rFonts w:hint="eastAsia"/>
                <w:b/>
                <w:color w:val="auto"/>
                <w:szCs w:val="21"/>
                <w:highlight w:val="none"/>
              </w:rPr>
              <w:t xml:space="preserve">  </w:t>
            </w:r>
            <w:r>
              <w:rPr>
                <w:rFonts w:hint="eastAsia"/>
                <w:b/>
                <w:color w:val="auto"/>
                <w:szCs w:val="21"/>
                <w:highlight w:val="none"/>
                <w:lang w:eastAsia="zh-CN"/>
              </w:rPr>
              <w:t>现有工程</w:t>
            </w:r>
            <w:r>
              <w:rPr>
                <w:b/>
                <w:color w:val="auto"/>
                <w:szCs w:val="18"/>
                <w:highlight w:val="none"/>
              </w:rPr>
              <w:t>物料平衡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6"/>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17"/>
              <w:gridCol w:w="2324"/>
              <w:gridCol w:w="1634"/>
            </w:tblGrid>
            <w:tr w14:paraId="2AFB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4427" w:type="dxa"/>
                  <w:gridSpan w:val="2"/>
                  <w:tcBorders>
                    <w:tl2br w:val="nil"/>
                    <w:tr2bl w:val="nil"/>
                  </w:tcBorders>
                  <w:vAlign w:val="center"/>
                </w:tcPr>
                <w:p w14:paraId="5E769778">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958" w:type="dxa"/>
                  <w:gridSpan w:val="2"/>
                  <w:tcBorders>
                    <w:tl2br w:val="nil"/>
                    <w:tr2bl w:val="nil"/>
                  </w:tcBorders>
                  <w:vAlign w:val="center"/>
                </w:tcPr>
                <w:p w14:paraId="66612006">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607D0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1B4AAA3E">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 w:val="21"/>
                      <w:szCs w:val="21"/>
                      <w:highlight w:val="none"/>
                      <w:lang w:eastAsia="zh-CN"/>
                    </w:rPr>
                    <w:t>白方石</w:t>
                  </w:r>
                </w:p>
              </w:tc>
              <w:tc>
                <w:tcPr>
                  <w:tcW w:w="2017" w:type="dxa"/>
                  <w:tcBorders>
                    <w:tl2br w:val="nil"/>
                    <w:tr2bl w:val="nil"/>
                  </w:tcBorders>
                </w:tcPr>
                <w:p w14:paraId="34171C9F">
                  <w:pPr>
                    <w:spacing w:beforeLines="30" w:afterLines="30"/>
                    <w:jc w:val="center"/>
                    <w:rPr>
                      <w:rFonts w:hint="default" w:eastAsia="宋体"/>
                      <w:color w:val="auto"/>
                      <w:szCs w:val="21"/>
                      <w:highlight w:val="none"/>
                      <w:lang w:val="en-US" w:eastAsia="zh-CN"/>
                    </w:rPr>
                  </w:pPr>
                  <w:r>
                    <w:rPr>
                      <w:rFonts w:hint="eastAsia" w:eastAsia="宋体"/>
                      <w:color w:val="auto"/>
                      <w:szCs w:val="21"/>
                      <w:highlight w:val="none"/>
                      <w:lang w:val="en-US" w:eastAsia="zh-CN"/>
                    </w:rPr>
                    <w:t>350013.55</w:t>
                  </w:r>
                </w:p>
              </w:tc>
              <w:tc>
                <w:tcPr>
                  <w:tcW w:w="2324" w:type="dxa"/>
                  <w:tcBorders>
                    <w:tl2br w:val="nil"/>
                    <w:tr2bl w:val="nil"/>
                  </w:tcBorders>
                  <w:vAlign w:val="center"/>
                </w:tcPr>
                <w:p w14:paraId="28568F6F">
                  <w:pPr>
                    <w:snapToGrid w:val="0"/>
                    <w:jc w:val="center"/>
                    <w:rPr>
                      <w:rFonts w:hint="eastAsia" w:eastAsia="宋体"/>
                      <w:bCs/>
                      <w:color w:val="auto"/>
                      <w:szCs w:val="21"/>
                      <w:highlight w:val="none"/>
                      <w:lang w:eastAsia="zh-CN"/>
                    </w:rPr>
                  </w:pPr>
                  <w:r>
                    <w:rPr>
                      <w:rFonts w:hint="eastAsia"/>
                      <w:bCs/>
                      <w:color w:val="auto"/>
                      <w:szCs w:val="21"/>
                      <w:highlight w:val="none"/>
                      <w:lang w:eastAsia="zh-CN"/>
                    </w:rPr>
                    <w:t>彩砂</w:t>
                  </w:r>
                </w:p>
              </w:tc>
              <w:tc>
                <w:tcPr>
                  <w:tcW w:w="1634" w:type="dxa"/>
                  <w:tcBorders>
                    <w:tl2br w:val="nil"/>
                    <w:tr2bl w:val="nil"/>
                  </w:tcBorders>
                  <w:vAlign w:val="center"/>
                </w:tcPr>
                <w:p w14:paraId="557D6F44">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300000</w:t>
                  </w:r>
                </w:p>
              </w:tc>
            </w:tr>
            <w:tr w14:paraId="4FF9A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6DDA502">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017" w:type="dxa"/>
                  <w:tcBorders>
                    <w:tl2br w:val="nil"/>
                    <w:tr2bl w:val="nil"/>
                  </w:tcBorders>
                  <w:vAlign w:val="center"/>
                </w:tcPr>
                <w:p w14:paraId="7D3D6211">
                  <w:pPr>
                    <w:tabs>
                      <w:tab w:val="left" w:pos="2418"/>
                      <w:tab w:val="left" w:pos="4203"/>
                      <w:tab w:val="left" w:pos="5708"/>
                      <w:tab w:val="left" w:pos="7213"/>
                      <w:tab w:val="left" w:pos="8718"/>
                    </w:tabs>
                    <w:snapToGrid w:val="0"/>
                    <w:spacing w:beforeLines="30" w:afterLines="30"/>
                    <w:jc w:val="center"/>
                    <w:rPr>
                      <w:rFonts w:hint="default" w:eastAsia="宋体"/>
                      <w:color w:val="auto"/>
                      <w:szCs w:val="21"/>
                      <w:highlight w:val="none"/>
                      <w:lang w:val="en-US" w:eastAsia="zh-CN"/>
                    </w:rPr>
                  </w:pPr>
                </w:p>
              </w:tc>
              <w:tc>
                <w:tcPr>
                  <w:tcW w:w="2324" w:type="dxa"/>
                  <w:tcBorders>
                    <w:tl2br w:val="nil"/>
                    <w:tr2bl w:val="nil"/>
                  </w:tcBorders>
                  <w:vAlign w:val="center"/>
                </w:tcPr>
                <w:p w14:paraId="12A7C2C8">
                  <w:pPr>
                    <w:spacing w:beforeLines="20" w:afterLines="20"/>
                    <w:jc w:val="center"/>
                    <w:rPr>
                      <w:rFonts w:hint="eastAsia" w:eastAsia="宋体"/>
                      <w:color w:val="auto"/>
                      <w:szCs w:val="21"/>
                      <w:highlight w:val="none"/>
                      <w:lang w:eastAsia="zh-CN"/>
                    </w:rPr>
                  </w:pPr>
                  <w:r>
                    <w:rPr>
                      <w:rFonts w:hint="eastAsia"/>
                      <w:bCs/>
                      <w:color w:val="auto"/>
                      <w:szCs w:val="21"/>
                      <w:highlight w:val="none"/>
                      <w:lang w:eastAsia="zh-CN"/>
                    </w:rPr>
                    <w:t>钙粉</w:t>
                  </w:r>
                </w:p>
              </w:tc>
              <w:tc>
                <w:tcPr>
                  <w:tcW w:w="1634" w:type="dxa"/>
                  <w:tcBorders>
                    <w:tl2br w:val="nil"/>
                    <w:tr2bl w:val="nil"/>
                  </w:tcBorders>
                  <w:vAlign w:val="center"/>
                </w:tcPr>
                <w:p w14:paraId="38A30282">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50000</w:t>
                  </w:r>
                </w:p>
              </w:tc>
            </w:tr>
            <w:tr w14:paraId="4A6F7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3E4316FC">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p>
              </w:tc>
              <w:tc>
                <w:tcPr>
                  <w:tcW w:w="2017" w:type="dxa"/>
                  <w:tcBorders>
                    <w:tl2br w:val="nil"/>
                    <w:tr2bl w:val="nil"/>
                  </w:tcBorders>
                  <w:vAlign w:val="center"/>
                </w:tcPr>
                <w:p w14:paraId="2DB55E1C">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p>
              </w:tc>
              <w:tc>
                <w:tcPr>
                  <w:tcW w:w="2324" w:type="dxa"/>
                  <w:tcBorders>
                    <w:tl2br w:val="nil"/>
                    <w:tr2bl w:val="nil"/>
                  </w:tcBorders>
                  <w:vAlign w:val="center"/>
                </w:tcPr>
                <w:p w14:paraId="66769070">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收集尘</w:t>
                  </w:r>
                </w:p>
              </w:tc>
              <w:tc>
                <w:tcPr>
                  <w:tcW w:w="1634" w:type="dxa"/>
                  <w:tcBorders>
                    <w:tl2br w:val="nil"/>
                    <w:tr2bl w:val="nil"/>
                  </w:tcBorders>
                  <w:vAlign w:val="center"/>
                </w:tcPr>
                <w:p w14:paraId="3AF58328">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11.88</w:t>
                  </w:r>
                </w:p>
              </w:tc>
            </w:tr>
            <w:tr w14:paraId="5EACC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6C67F3A3">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p>
              </w:tc>
              <w:tc>
                <w:tcPr>
                  <w:tcW w:w="2017" w:type="dxa"/>
                  <w:tcBorders>
                    <w:tl2br w:val="nil"/>
                    <w:tr2bl w:val="nil"/>
                  </w:tcBorders>
                  <w:vAlign w:val="center"/>
                </w:tcPr>
                <w:p w14:paraId="12590189">
                  <w:pPr>
                    <w:tabs>
                      <w:tab w:val="left" w:pos="2418"/>
                      <w:tab w:val="left" w:pos="4203"/>
                      <w:tab w:val="left" w:pos="5708"/>
                      <w:tab w:val="left" w:pos="7213"/>
                      <w:tab w:val="left" w:pos="8718"/>
                    </w:tabs>
                    <w:snapToGrid w:val="0"/>
                    <w:spacing w:beforeLines="30" w:afterLines="30"/>
                    <w:jc w:val="center"/>
                    <w:rPr>
                      <w:rFonts w:hint="eastAsia"/>
                      <w:bCs/>
                      <w:color w:val="auto"/>
                      <w:szCs w:val="21"/>
                      <w:highlight w:val="none"/>
                      <w:lang w:val="en-US" w:eastAsia="zh-CN"/>
                    </w:rPr>
                  </w:pPr>
                </w:p>
              </w:tc>
              <w:tc>
                <w:tcPr>
                  <w:tcW w:w="2324" w:type="dxa"/>
                  <w:tcBorders>
                    <w:tl2br w:val="nil"/>
                    <w:tr2bl w:val="nil"/>
                  </w:tcBorders>
                  <w:vAlign w:val="center"/>
                </w:tcPr>
                <w:p w14:paraId="72F3DE8D">
                  <w:pPr>
                    <w:spacing w:beforeLines="20" w:afterLines="20"/>
                    <w:jc w:val="center"/>
                    <w:rPr>
                      <w:rFonts w:hint="eastAsia"/>
                      <w:bCs/>
                      <w:color w:val="auto"/>
                      <w:szCs w:val="21"/>
                      <w:highlight w:val="none"/>
                      <w:lang w:eastAsia="zh-CN"/>
                    </w:rPr>
                  </w:pPr>
                  <w:r>
                    <w:rPr>
                      <w:rFonts w:hint="eastAsia"/>
                      <w:bCs/>
                      <w:color w:val="auto"/>
                      <w:szCs w:val="21"/>
                      <w:highlight w:val="none"/>
                      <w:lang w:eastAsia="zh-CN"/>
                    </w:rPr>
                    <w:t>粉尘</w:t>
                  </w:r>
                </w:p>
              </w:tc>
              <w:tc>
                <w:tcPr>
                  <w:tcW w:w="1634" w:type="dxa"/>
                  <w:tcBorders>
                    <w:tl2br w:val="nil"/>
                    <w:tr2bl w:val="nil"/>
                  </w:tcBorders>
                  <w:vAlign w:val="center"/>
                </w:tcPr>
                <w:p w14:paraId="349D4306">
                  <w:pPr>
                    <w:spacing w:beforeLines="20" w:afterLines="20"/>
                    <w:jc w:val="center"/>
                    <w:rPr>
                      <w:rFonts w:hint="default"/>
                      <w:bCs/>
                      <w:color w:val="auto"/>
                      <w:szCs w:val="21"/>
                      <w:highlight w:val="none"/>
                      <w:lang w:val="en-US" w:eastAsia="zh-CN"/>
                    </w:rPr>
                  </w:pPr>
                  <w:r>
                    <w:rPr>
                      <w:rFonts w:hint="eastAsia"/>
                      <w:bCs/>
                      <w:color w:val="auto"/>
                      <w:szCs w:val="21"/>
                      <w:highlight w:val="none"/>
                      <w:lang w:val="en-US" w:eastAsia="zh-CN"/>
                    </w:rPr>
                    <w:t>1.67</w:t>
                  </w:r>
                </w:p>
              </w:tc>
            </w:tr>
            <w:tr w14:paraId="1FF09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076C24F8">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bCs/>
                      <w:color w:val="auto"/>
                      <w:szCs w:val="21"/>
                      <w:highlight w:val="none"/>
                    </w:rPr>
                    <w:t>总计</w:t>
                  </w:r>
                </w:p>
              </w:tc>
              <w:tc>
                <w:tcPr>
                  <w:tcW w:w="2017" w:type="dxa"/>
                  <w:tcBorders>
                    <w:tl2br w:val="nil"/>
                    <w:tr2bl w:val="nil"/>
                  </w:tcBorders>
                  <w:vAlign w:val="center"/>
                </w:tcPr>
                <w:p w14:paraId="01A64EE9">
                  <w:pPr>
                    <w:spacing w:beforeLines="30" w:afterLines="30"/>
                    <w:jc w:val="center"/>
                    <w:rPr>
                      <w:rFonts w:hint="eastAsia"/>
                      <w:bCs/>
                      <w:color w:val="auto"/>
                      <w:szCs w:val="21"/>
                      <w:highlight w:val="none"/>
                      <w:lang w:val="en-US" w:eastAsia="zh-CN"/>
                    </w:rPr>
                  </w:pPr>
                  <w:r>
                    <w:rPr>
                      <w:rFonts w:hint="eastAsia" w:eastAsia="宋体"/>
                      <w:color w:val="auto"/>
                      <w:szCs w:val="21"/>
                      <w:highlight w:val="none"/>
                      <w:lang w:val="en-US" w:eastAsia="zh-CN"/>
                    </w:rPr>
                    <w:t>350013.55</w:t>
                  </w:r>
                </w:p>
              </w:tc>
              <w:tc>
                <w:tcPr>
                  <w:tcW w:w="2324" w:type="dxa"/>
                  <w:tcBorders>
                    <w:tl2br w:val="nil"/>
                    <w:tr2bl w:val="nil"/>
                  </w:tcBorders>
                  <w:vAlign w:val="center"/>
                </w:tcPr>
                <w:p w14:paraId="5BA4782F">
                  <w:pPr>
                    <w:tabs>
                      <w:tab w:val="left" w:pos="2418"/>
                      <w:tab w:val="left" w:pos="4203"/>
                      <w:tab w:val="left" w:pos="5708"/>
                      <w:tab w:val="left" w:pos="7213"/>
                      <w:tab w:val="left" w:pos="8718"/>
                    </w:tabs>
                    <w:snapToGrid w:val="0"/>
                    <w:spacing w:beforeLines="30" w:afterLines="30"/>
                    <w:jc w:val="center"/>
                    <w:rPr>
                      <w:rFonts w:hint="eastAsia"/>
                      <w:bCs/>
                      <w:color w:val="auto"/>
                      <w:szCs w:val="21"/>
                      <w:highlight w:val="none"/>
                      <w:lang w:eastAsia="zh-CN"/>
                    </w:rPr>
                  </w:pPr>
                  <w:r>
                    <w:rPr>
                      <w:bCs/>
                      <w:color w:val="auto"/>
                      <w:szCs w:val="21"/>
                      <w:highlight w:val="none"/>
                    </w:rPr>
                    <w:t>总计</w:t>
                  </w:r>
                </w:p>
              </w:tc>
              <w:tc>
                <w:tcPr>
                  <w:tcW w:w="1634" w:type="dxa"/>
                  <w:tcBorders>
                    <w:tl2br w:val="nil"/>
                    <w:tr2bl w:val="nil"/>
                  </w:tcBorders>
                  <w:vAlign w:val="center"/>
                </w:tcPr>
                <w:p w14:paraId="4C0F61BF">
                  <w:pPr>
                    <w:tabs>
                      <w:tab w:val="left" w:pos="2418"/>
                      <w:tab w:val="left" w:pos="4203"/>
                      <w:tab w:val="left" w:pos="5708"/>
                      <w:tab w:val="left" w:pos="7213"/>
                      <w:tab w:val="left" w:pos="8718"/>
                    </w:tabs>
                    <w:snapToGrid w:val="0"/>
                    <w:spacing w:beforeLines="30" w:afterLines="30"/>
                    <w:jc w:val="center"/>
                    <w:rPr>
                      <w:rFonts w:hint="eastAsia"/>
                      <w:bCs/>
                      <w:color w:val="auto"/>
                      <w:szCs w:val="21"/>
                      <w:highlight w:val="none"/>
                      <w:lang w:val="en-US" w:eastAsia="zh-CN"/>
                    </w:rPr>
                  </w:pPr>
                  <w:r>
                    <w:rPr>
                      <w:rFonts w:hint="eastAsia" w:eastAsia="宋体"/>
                      <w:color w:val="auto"/>
                      <w:szCs w:val="21"/>
                      <w:highlight w:val="none"/>
                      <w:lang w:val="en-US" w:eastAsia="zh-CN"/>
                    </w:rPr>
                    <w:t>350013.55</w:t>
                  </w:r>
                </w:p>
              </w:tc>
            </w:tr>
          </w:tbl>
          <w:p w14:paraId="5FACA45F">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w:t>
            </w:r>
            <w:r>
              <w:rPr>
                <w:rFonts w:hint="eastAsia"/>
                <w:b/>
                <w:color w:val="auto"/>
                <w:szCs w:val="21"/>
                <w:highlight w:val="none"/>
                <w:lang w:val="en-US" w:eastAsia="zh-CN"/>
              </w:rPr>
              <w:t>7</w:t>
            </w:r>
            <w:r>
              <w:rPr>
                <w:rFonts w:hint="eastAsia"/>
                <w:b/>
                <w:color w:val="auto"/>
                <w:szCs w:val="21"/>
                <w:highlight w:val="none"/>
              </w:rPr>
              <w:t xml:space="preserve">  </w:t>
            </w:r>
            <w:r>
              <w:rPr>
                <w:rFonts w:hint="eastAsia"/>
                <w:b/>
                <w:color w:val="auto"/>
                <w:szCs w:val="21"/>
                <w:highlight w:val="none"/>
                <w:lang w:eastAsia="zh-CN"/>
              </w:rPr>
              <w:t>新增工程</w:t>
            </w:r>
            <w:r>
              <w:rPr>
                <w:b/>
                <w:color w:val="auto"/>
                <w:szCs w:val="18"/>
                <w:highlight w:val="none"/>
              </w:rPr>
              <w:t>物料平衡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6"/>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17"/>
              <w:gridCol w:w="2324"/>
              <w:gridCol w:w="1634"/>
            </w:tblGrid>
            <w:tr w14:paraId="630AE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4427" w:type="dxa"/>
                  <w:gridSpan w:val="2"/>
                  <w:tcBorders>
                    <w:tl2br w:val="nil"/>
                    <w:tr2bl w:val="nil"/>
                  </w:tcBorders>
                  <w:vAlign w:val="center"/>
                </w:tcPr>
                <w:p w14:paraId="5234DB38">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958" w:type="dxa"/>
                  <w:gridSpan w:val="2"/>
                  <w:tcBorders>
                    <w:tl2br w:val="nil"/>
                    <w:tr2bl w:val="nil"/>
                  </w:tcBorders>
                  <w:vAlign w:val="center"/>
                </w:tcPr>
                <w:p w14:paraId="52EF5864">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6246A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3B12DEBD">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 w:val="21"/>
                      <w:szCs w:val="21"/>
                      <w:highlight w:val="none"/>
                      <w:lang w:eastAsia="zh-CN"/>
                    </w:rPr>
                    <w:t>彩砂（自产）</w:t>
                  </w:r>
                </w:p>
              </w:tc>
              <w:tc>
                <w:tcPr>
                  <w:tcW w:w="2017" w:type="dxa"/>
                  <w:tcBorders>
                    <w:tl2br w:val="nil"/>
                    <w:tr2bl w:val="nil"/>
                  </w:tcBorders>
                </w:tcPr>
                <w:p w14:paraId="2FE413AC">
                  <w:pPr>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129000</w:t>
                  </w:r>
                </w:p>
              </w:tc>
              <w:tc>
                <w:tcPr>
                  <w:tcW w:w="2324" w:type="dxa"/>
                  <w:tcBorders>
                    <w:tl2br w:val="nil"/>
                    <w:tr2bl w:val="nil"/>
                  </w:tcBorders>
                  <w:vAlign w:val="center"/>
                </w:tcPr>
                <w:p w14:paraId="05073334">
                  <w:pPr>
                    <w:snapToGrid w:val="0"/>
                    <w:jc w:val="center"/>
                    <w:rPr>
                      <w:rFonts w:hint="eastAsia" w:eastAsia="宋体"/>
                      <w:bCs/>
                      <w:color w:val="auto"/>
                      <w:szCs w:val="21"/>
                      <w:highlight w:val="none"/>
                      <w:lang w:eastAsia="zh-CN"/>
                    </w:rPr>
                  </w:pPr>
                  <w:r>
                    <w:rPr>
                      <w:rFonts w:hint="eastAsia"/>
                      <w:bCs/>
                      <w:color w:val="auto"/>
                      <w:szCs w:val="21"/>
                      <w:highlight w:val="none"/>
                      <w:lang w:eastAsia="zh-CN"/>
                    </w:rPr>
                    <w:t>腻子粉</w:t>
                  </w:r>
                </w:p>
              </w:tc>
              <w:tc>
                <w:tcPr>
                  <w:tcW w:w="1634" w:type="dxa"/>
                  <w:tcBorders>
                    <w:tl2br w:val="nil"/>
                    <w:tr2bl w:val="nil"/>
                  </w:tcBorders>
                  <w:vAlign w:val="center"/>
                </w:tcPr>
                <w:p w14:paraId="47DD8EE0">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120000</w:t>
                  </w:r>
                </w:p>
              </w:tc>
            </w:tr>
            <w:tr w14:paraId="6EB28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43082543">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lang w:eastAsia="zh-CN"/>
                    </w:rPr>
                    <w:t>钙粉（</w:t>
                  </w:r>
                  <w:r>
                    <w:rPr>
                      <w:rFonts w:hint="eastAsia" w:hAnsi="宋体"/>
                      <w:color w:val="auto"/>
                      <w:sz w:val="21"/>
                      <w:szCs w:val="21"/>
                      <w:highlight w:val="none"/>
                      <w:lang w:eastAsia="zh-CN"/>
                    </w:rPr>
                    <w:t>自产</w:t>
                  </w:r>
                  <w:r>
                    <w:rPr>
                      <w:rFonts w:hint="eastAsia"/>
                      <w:color w:val="auto"/>
                      <w:szCs w:val="21"/>
                      <w:highlight w:val="none"/>
                      <w:lang w:eastAsia="zh-CN"/>
                    </w:rPr>
                    <w:t>）</w:t>
                  </w:r>
                </w:p>
              </w:tc>
              <w:tc>
                <w:tcPr>
                  <w:tcW w:w="2017" w:type="dxa"/>
                  <w:tcBorders>
                    <w:tl2br w:val="nil"/>
                    <w:tr2bl w:val="nil"/>
                  </w:tcBorders>
                  <w:vAlign w:val="center"/>
                </w:tcPr>
                <w:p w14:paraId="5415141B">
                  <w:pPr>
                    <w:tabs>
                      <w:tab w:val="left" w:pos="2418"/>
                      <w:tab w:val="left" w:pos="4203"/>
                      <w:tab w:val="left" w:pos="5708"/>
                      <w:tab w:val="left" w:pos="7213"/>
                      <w:tab w:val="left" w:pos="8718"/>
                    </w:tabs>
                    <w:snapToGrid w:val="0"/>
                    <w:spacing w:beforeLines="30" w:afterLines="30"/>
                    <w:jc w:val="center"/>
                    <w:rPr>
                      <w:rFonts w:hint="default" w:eastAsia="宋体"/>
                      <w:color w:val="auto"/>
                      <w:szCs w:val="21"/>
                      <w:highlight w:val="none"/>
                      <w:lang w:val="en-US" w:eastAsia="zh-CN"/>
                    </w:rPr>
                  </w:pPr>
                  <w:r>
                    <w:rPr>
                      <w:rFonts w:hint="eastAsia"/>
                      <w:bCs/>
                      <w:color w:val="auto"/>
                      <w:szCs w:val="21"/>
                      <w:highlight w:val="none"/>
                      <w:lang w:val="en-US" w:eastAsia="zh-CN"/>
                    </w:rPr>
                    <w:t>35000</w:t>
                  </w:r>
                </w:p>
              </w:tc>
              <w:tc>
                <w:tcPr>
                  <w:tcW w:w="2324" w:type="dxa"/>
                  <w:tcBorders>
                    <w:tl2br w:val="nil"/>
                    <w:tr2bl w:val="nil"/>
                  </w:tcBorders>
                  <w:vAlign w:val="center"/>
                </w:tcPr>
                <w:p w14:paraId="2A0E8F52">
                  <w:pPr>
                    <w:spacing w:beforeLines="20" w:afterLines="20"/>
                    <w:jc w:val="center"/>
                    <w:rPr>
                      <w:rFonts w:hint="eastAsia" w:eastAsia="宋体"/>
                      <w:color w:val="auto"/>
                      <w:szCs w:val="21"/>
                      <w:highlight w:val="none"/>
                      <w:lang w:eastAsia="zh-CN"/>
                    </w:rPr>
                  </w:pPr>
                  <w:r>
                    <w:rPr>
                      <w:rFonts w:hint="eastAsia"/>
                      <w:bCs/>
                      <w:color w:val="auto"/>
                      <w:szCs w:val="21"/>
                      <w:highlight w:val="none"/>
                      <w:lang w:eastAsia="zh-CN"/>
                    </w:rPr>
                    <w:t>石膏粉</w:t>
                  </w:r>
                </w:p>
              </w:tc>
              <w:tc>
                <w:tcPr>
                  <w:tcW w:w="1634" w:type="dxa"/>
                  <w:tcBorders>
                    <w:tl2br w:val="nil"/>
                    <w:tr2bl w:val="nil"/>
                  </w:tcBorders>
                  <w:vAlign w:val="center"/>
                </w:tcPr>
                <w:p w14:paraId="5369F187">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80000</w:t>
                  </w:r>
                </w:p>
              </w:tc>
            </w:tr>
            <w:tr w14:paraId="34315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3B691276">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rFonts w:hint="eastAsia"/>
                      <w:color w:val="auto"/>
                      <w:szCs w:val="21"/>
                      <w:highlight w:val="none"/>
                      <w:lang w:eastAsia="zh-CN"/>
                    </w:rPr>
                    <w:t>石膏粉（外购）</w:t>
                  </w:r>
                </w:p>
              </w:tc>
              <w:tc>
                <w:tcPr>
                  <w:tcW w:w="2017" w:type="dxa"/>
                  <w:tcBorders>
                    <w:tl2br w:val="nil"/>
                    <w:tr2bl w:val="nil"/>
                  </w:tcBorders>
                  <w:vAlign w:val="center"/>
                </w:tcPr>
                <w:p w14:paraId="50477D85">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90000</w:t>
                  </w:r>
                </w:p>
              </w:tc>
              <w:tc>
                <w:tcPr>
                  <w:tcW w:w="2324" w:type="dxa"/>
                  <w:tcBorders>
                    <w:tl2br w:val="nil"/>
                    <w:tr2bl w:val="nil"/>
                  </w:tcBorders>
                  <w:vAlign w:val="center"/>
                </w:tcPr>
                <w:p w14:paraId="0AC326F8">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砂浆</w:t>
                  </w:r>
                </w:p>
              </w:tc>
              <w:tc>
                <w:tcPr>
                  <w:tcW w:w="1634" w:type="dxa"/>
                  <w:tcBorders>
                    <w:tl2br w:val="nil"/>
                    <w:tr2bl w:val="nil"/>
                  </w:tcBorders>
                  <w:vAlign w:val="center"/>
                </w:tcPr>
                <w:p w14:paraId="3B2C032E">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60000</w:t>
                  </w:r>
                </w:p>
              </w:tc>
            </w:tr>
            <w:tr w14:paraId="32725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FF30714">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rFonts w:hint="eastAsia"/>
                      <w:color w:val="auto"/>
                      <w:szCs w:val="21"/>
                      <w:highlight w:val="none"/>
                      <w:lang w:eastAsia="zh-CN"/>
                    </w:rPr>
                    <w:t>纤维素（外购）</w:t>
                  </w:r>
                </w:p>
              </w:tc>
              <w:tc>
                <w:tcPr>
                  <w:tcW w:w="2017" w:type="dxa"/>
                  <w:tcBorders>
                    <w:tl2br w:val="nil"/>
                    <w:tr2bl w:val="nil"/>
                  </w:tcBorders>
                  <w:vAlign w:val="center"/>
                </w:tcPr>
                <w:p w14:paraId="7D68045F">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5025.2</w:t>
                  </w:r>
                </w:p>
              </w:tc>
              <w:tc>
                <w:tcPr>
                  <w:tcW w:w="2324" w:type="dxa"/>
                  <w:tcBorders>
                    <w:tl2br w:val="nil"/>
                    <w:tr2bl w:val="nil"/>
                  </w:tcBorders>
                  <w:vAlign w:val="center"/>
                </w:tcPr>
                <w:p w14:paraId="212247E2">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收集尘</w:t>
                  </w:r>
                </w:p>
              </w:tc>
              <w:tc>
                <w:tcPr>
                  <w:tcW w:w="1634" w:type="dxa"/>
                  <w:tcBorders>
                    <w:tl2br w:val="nil"/>
                    <w:tr2bl w:val="nil"/>
                  </w:tcBorders>
                  <w:vAlign w:val="center"/>
                </w:tcPr>
                <w:p w14:paraId="0BB71DEA">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31.6</w:t>
                  </w:r>
                </w:p>
              </w:tc>
            </w:tr>
            <w:tr w14:paraId="091C7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1490B548">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rFonts w:hint="eastAsia"/>
                      <w:color w:val="auto"/>
                      <w:szCs w:val="21"/>
                      <w:highlight w:val="none"/>
                      <w:lang w:eastAsia="zh-CN"/>
                    </w:rPr>
                    <w:t>乳胶粉（外购）</w:t>
                  </w:r>
                </w:p>
              </w:tc>
              <w:tc>
                <w:tcPr>
                  <w:tcW w:w="2017" w:type="dxa"/>
                  <w:tcBorders>
                    <w:tl2br w:val="nil"/>
                    <w:tr2bl w:val="nil"/>
                  </w:tcBorders>
                  <w:vAlign w:val="center"/>
                </w:tcPr>
                <w:p w14:paraId="06F48CE3">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1010.4</w:t>
                  </w:r>
                </w:p>
              </w:tc>
              <w:tc>
                <w:tcPr>
                  <w:tcW w:w="2324" w:type="dxa"/>
                  <w:tcBorders>
                    <w:tl2br w:val="nil"/>
                    <w:tr2bl w:val="nil"/>
                  </w:tcBorders>
                  <w:vAlign w:val="center"/>
                </w:tcPr>
                <w:p w14:paraId="55A56575">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粉尘</w:t>
                  </w:r>
                </w:p>
              </w:tc>
              <w:tc>
                <w:tcPr>
                  <w:tcW w:w="1634" w:type="dxa"/>
                  <w:tcBorders>
                    <w:tl2br w:val="nil"/>
                    <w:tr2bl w:val="nil"/>
                  </w:tcBorders>
                  <w:vAlign w:val="center"/>
                </w:tcPr>
                <w:p w14:paraId="7ECEDFEA">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4.0</w:t>
                  </w:r>
                </w:p>
              </w:tc>
            </w:tr>
            <w:tr w14:paraId="5DF84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35194447">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2017" w:type="dxa"/>
                  <w:tcBorders>
                    <w:tl2br w:val="nil"/>
                    <w:tr2bl w:val="nil"/>
                  </w:tcBorders>
                  <w:vAlign w:val="center"/>
                </w:tcPr>
                <w:p w14:paraId="73D8649F">
                  <w:pPr>
                    <w:spacing w:beforeLines="30" w:afterLines="30"/>
                    <w:jc w:val="center"/>
                    <w:rPr>
                      <w:color w:val="auto"/>
                      <w:szCs w:val="21"/>
                      <w:highlight w:val="none"/>
                    </w:rPr>
                  </w:pPr>
                  <w:r>
                    <w:rPr>
                      <w:rFonts w:hint="eastAsia"/>
                      <w:color w:val="auto"/>
                      <w:szCs w:val="21"/>
                      <w:highlight w:val="none"/>
                      <w:lang w:val="en-US" w:eastAsia="zh-CN"/>
                    </w:rPr>
                    <w:t>260035.6</w:t>
                  </w:r>
                </w:p>
              </w:tc>
              <w:tc>
                <w:tcPr>
                  <w:tcW w:w="2324" w:type="dxa"/>
                  <w:tcBorders>
                    <w:tl2br w:val="nil"/>
                    <w:tr2bl w:val="nil"/>
                  </w:tcBorders>
                  <w:vAlign w:val="center"/>
                </w:tcPr>
                <w:p w14:paraId="62C081A6">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4EBC4CAA">
                  <w:pPr>
                    <w:tabs>
                      <w:tab w:val="left" w:pos="2418"/>
                      <w:tab w:val="left" w:pos="4203"/>
                      <w:tab w:val="left" w:pos="5708"/>
                      <w:tab w:val="left" w:pos="7213"/>
                      <w:tab w:val="left" w:pos="8718"/>
                    </w:tabs>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260035.6</w:t>
                  </w:r>
                </w:p>
              </w:tc>
            </w:tr>
          </w:tbl>
          <w:p w14:paraId="7614DAD1">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w:t>
            </w:r>
            <w:r>
              <w:rPr>
                <w:rFonts w:hint="eastAsia"/>
                <w:b/>
                <w:color w:val="auto"/>
                <w:szCs w:val="21"/>
                <w:highlight w:val="none"/>
                <w:lang w:val="en-US" w:eastAsia="zh-CN"/>
              </w:rPr>
              <w:t>8</w:t>
            </w:r>
            <w:r>
              <w:rPr>
                <w:rFonts w:hint="eastAsia"/>
                <w:b/>
                <w:color w:val="auto"/>
                <w:szCs w:val="21"/>
                <w:highlight w:val="none"/>
              </w:rPr>
              <w:t xml:space="preserve">  </w:t>
            </w:r>
            <w:r>
              <w:rPr>
                <w:rFonts w:hint="eastAsia"/>
                <w:b/>
                <w:color w:val="auto"/>
                <w:szCs w:val="21"/>
                <w:highlight w:val="none"/>
                <w:lang w:val="en-US" w:eastAsia="zh-CN"/>
              </w:rPr>
              <w:t>新增工程投入运营后全厂物料</w:t>
            </w:r>
            <w:r>
              <w:rPr>
                <w:b/>
                <w:color w:val="auto"/>
                <w:szCs w:val="18"/>
                <w:highlight w:val="none"/>
              </w:rPr>
              <w:t>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6"/>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17"/>
              <w:gridCol w:w="2324"/>
              <w:gridCol w:w="1634"/>
            </w:tblGrid>
            <w:tr w14:paraId="2D6F5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7" w:type="dxa"/>
                  <w:gridSpan w:val="2"/>
                  <w:tcBorders>
                    <w:tl2br w:val="nil"/>
                    <w:tr2bl w:val="nil"/>
                  </w:tcBorders>
                  <w:vAlign w:val="center"/>
                </w:tcPr>
                <w:p w14:paraId="6BA2E217">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958" w:type="dxa"/>
                  <w:gridSpan w:val="2"/>
                  <w:tcBorders>
                    <w:tl2br w:val="nil"/>
                    <w:tr2bl w:val="nil"/>
                  </w:tcBorders>
                  <w:vAlign w:val="center"/>
                </w:tcPr>
                <w:p w14:paraId="13A95495">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07D29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2A8C1627">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 w:val="21"/>
                      <w:szCs w:val="21"/>
                      <w:highlight w:val="none"/>
                      <w:lang w:eastAsia="zh-CN"/>
                    </w:rPr>
                    <w:t>白方石</w:t>
                  </w:r>
                </w:p>
              </w:tc>
              <w:tc>
                <w:tcPr>
                  <w:tcW w:w="2017" w:type="dxa"/>
                  <w:tcBorders>
                    <w:tl2br w:val="nil"/>
                    <w:tr2bl w:val="nil"/>
                  </w:tcBorders>
                </w:tcPr>
                <w:p w14:paraId="2A75CB41">
                  <w:pPr>
                    <w:spacing w:beforeLines="30" w:afterLines="30"/>
                    <w:jc w:val="center"/>
                    <w:rPr>
                      <w:rFonts w:hint="default" w:eastAsia="宋体"/>
                      <w:color w:val="auto"/>
                      <w:szCs w:val="21"/>
                      <w:highlight w:val="none"/>
                      <w:lang w:val="en-US" w:eastAsia="zh-CN"/>
                    </w:rPr>
                  </w:pPr>
                  <w:r>
                    <w:rPr>
                      <w:rFonts w:hint="eastAsia" w:eastAsia="宋体"/>
                      <w:color w:val="auto"/>
                      <w:szCs w:val="21"/>
                      <w:highlight w:val="none"/>
                      <w:lang w:val="en-US" w:eastAsia="zh-CN"/>
                    </w:rPr>
                    <w:t>350013.55</w:t>
                  </w:r>
                </w:p>
              </w:tc>
              <w:tc>
                <w:tcPr>
                  <w:tcW w:w="2324" w:type="dxa"/>
                  <w:tcBorders>
                    <w:tl2br w:val="nil"/>
                    <w:tr2bl w:val="nil"/>
                  </w:tcBorders>
                  <w:vAlign w:val="center"/>
                </w:tcPr>
                <w:p w14:paraId="4323ED45">
                  <w:pPr>
                    <w:snapToGrid w:val="0"/>
                    <w:jc w:val="center"/>
                    <w:rPr>
                      <w:rFonts w:hint="eastAsia" w:eastAsia="宋体"/>
                      <w:bCs/>
                      <w:color w:val="auto"/>
                      <w:szCs w:val="21"/>
                      <w:highlight w:val="none"/>
                      <w:lang w:eastAsia="zh-CN"/>
                    </w:rPr>
                  </w:pPr>
                  <w:r>
                    <w:rPr>
                      <w:rFonts w:hint="eastAsia"/>
                      <w:bCs/>
                      <w:color w:val="auto"/>
                      <w:szCs w:val="21"/>
                      <w:highlight w:val="none"/>
                      <w:lang w:eastAsia="zh-CN"/>
                    </w:rPr>
                    <w:t>彩砂（剩余）</w:t>
                  </w:r>
                </w:p>
              </w:tc>
              <w:tc>
                <w:tcPr>
                  <w:tcW w:w="1634" w:type="dxa"/>
                  <w:tcBorders>
                    <w:tl2br w:val="nil"/>
                    <w:tr2bl w:val="nil"/>
                  </w:tcBorders>
                  <w:vAlign w:val="center"/>
                </w:tcPr>
                <w:p w14:paraId="6F8A6766">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171000</w:t>
                  </w:r>
                </w:p>
              </w:tc>
            </w:tr>
            <w:tr w14:paraId="3FAC2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368CAC6C">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lang w:eastAsia="zh-CN"/>
                    </w:rPr>
                    <w:t>石膏粉</w:t>
                  </w:r>
                </w:p>
              </w:tc>
              <w:tc>
                <w:tcPr>
                  <w:tcW w:w="2017" w:type="dxa"/>
                  <w:tcBorders>
                    <w:tl2br w:val="nil"/>
                    <w:tr2bl w:val="nil"/>
                  </w:tcBorders>
                  <w:vAlign w:val="center"/>
                </w:tcPr>
                <w:p w14:paraId="33A7BD4B">
                  <w:pPr>
                    <w:tabs>
                      <w:tab w:val="left" w:pos="2418"/>
                      <w:tab w:val="left" w:pos="4203"/>
                      <w:tab w:val="left" w:pos="5708"/>
                      <w:tab w:val="left" w:pos="7213"/>
                      <w:tab w:val="left" w:pos="8718"/>
                    </w:tabs>
                    <w:snapToGrid w:val="0"/>
                    <w:spacing w:beforeLines="30" w:afterLines="30"/>
                    <w:jc w:val="center"/>
                    <w:rPr>
                      <w:rFonts w:hint="default" w:eastAsia="宋体"/>
                      <w:color w:val="auto"/>
                      <w:szCs w:val="21"/>
                      <w:highlight w:val="none"/>
                      <w:lang w:val="en-US" w:eastAsia="zh-CN"/>
                    </w:rPr>
                  </w:pPr>
                  <w:r>
                    <w:rPr>
                      <w:rFonts w:hint="eastAsia"/>
                      <w:bCs/>
                      <w:color w:val="auto"/>
                      <w:szCs w:val="21"/>
                      <w:highlight w:val="none"/>
                      <w:lang w:val="en-US" w:eastAsia="zh-CN"/>
                    </w:rPr>
                    <w:t>90000</w:t>
                  </w:r>
                </w:p>
              </w:tc>
              <w:tc>
                <w:tcPr>
                  <w:tcW w:w="2324" w:type="dxa"/>
                  <w:tcBorders>
                    <w:tl2br w:val="nil"/>
                    <w:tr2bl w:val="nil"/>
                  </w:tcBorders>
                  <w:vAlign w:val="center"/>
                </w:tcPr>
                <w:p w14:paraId="6F60DA11">
                  <w:pPr>
                    <w:spacing w:beforeLines="20" w:afterLines="20"/>
                    <w:jc w:val="center"/>
                    <w:rPr>
                      <w:rFonts w:hint="eastAsia" w:eastAsia="宋体"/>
                      <w:color w:val="auto"/>
                      <w:szCs w:val="21"/>
                      <w:highlight w:val="none"/>
                      <w:lang w:eastAsia="zh-CN"/>
                    </w:rPr>
                  </w:pPr>
                  <w:r>
                    <w:rPr>
                      <w:rFonts w:hint="eastAsia"/>
                      <w:bCs/>
                      <w:color w:val="auto"/>
                      <w:szCs w:val="21"/>
                      <w:highlight w:val="none"/>
                      <w:lang w:eastAsia="zh-CN"/>
                    </w:rPr>
                    <w:t>钙粉（剩余）</w:t>
                  </w:r>
                </w:p>
              </w:tc>
              <w:tc>
                <w:tcPr>
                  <w:tcW w:w="1634" w:type="dxa"/>
                  <w:tcBorders>
                    <w:tl2br w:val="nil"/>
                    <w:tr2bl w:val="nil"/>
                  </w:tcBorders>
                  <w:vAlign w:val="center"/>
                </w:tcPr>
                <w:p w14:paraId="1215CA88">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15000</w:t>
                  </w:r>
                </w:p>
              </w:tc>
            </w:tr>
            <w:tr w14:paraId="07F4A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7A219A2">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rFonts w:hint="eastAsia"/>
                      <w:color w:val="auto"/>
                      <w:szCs w:val="21"/>
                      <w:highlight w:val="none"/>
                      <w:lang w:eastAsia="zh-CN"/>
                    </w:rPr>
                    <w:t>纤维素</w:t>
                  </w:r>
                </w:p>
              </w:tc>
              <w:tc>
                <w:tcPr>
                  <w:tcW w:w="2017" w:type="dxa"/>
                  <w:tcBorders>
                    <w:tl2br w:val="nil"/>
                    <w:tr2bl w:val="nil"/>
                  </w:tcBorders>
                  <w:vAlign w:val="center"/>
                </w:tcPr>
                <w:p w14:paraId="0BFCDF63">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5025.2</w:t>
                  </w:r>
                </w:p>
              </w:tc>
              <w:tc>
                <w:tcPr>
                  <w:tcW w:w="2324" w:type="dxa"/>
                  <w:tcBorders>
                    <w:tl2br w:val="nil"/>
                    <w:tr2bl w:val="nil"/>
                  </w:tcBorders>
                  <w:vAlign w:val="center"/>
                </w:tcPr>
                <w:p w14:paraId="305CF8F3">
                  <w:pPr>
                    <w:snapToGrid w:val="0"/>
                    <w:jc w:val="center"/>
                    <w:rPr>
                      <w:rFonts w:hint="eastAsia" w:eastAsia="宋体"/>
                      <w:bCs/>
                      <w:color w:val="auto"/>
                      <w:szCs w:val="21"/>
                      <w:highlight w:val="none"/>
                      <w:lang w:eastAsia="zh-CN"/>
                    </w:rPr>
                  </w:pPr>
                  <w:r>
                    <w:rPr>
                      <w:rFonts w:hint="eastAsia"/>
                      <w:bCs/>
                      <w:color w:val="auto"/>
                      <w:szCs w:val="21"/>
                      <w:highlight w:val="none"/>
                      <w:lang w:eastAsia="zh-CN"/>
                    </w:rPr>
                    <w:t>腻子粉</w:t>
                  </w:r>
                </w:p>
              </w:tc>
              <w:tc>
                <w:tcPr>
                  <w:tcW w:w="1634" w:type="dxa"/>
                  <w:tcBorders>
                    <w:tl2br w:val="nil"/>
                    <w:tr2bl w:val="nil"/>
                  </w:tcBorders>
                  <w:vAlign w:val="center"/>
                </w:tcPr>
                <w:p w14:paraId="10F6C772">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120000</w:t>
                  </w:r>
                </w:p>
              </w:tc>
            </w:tr>
            <w:tr w14:paraId="518F5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2E452A3">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r>
                    <w:rPr>
                      <w:rFonts w:hint="eastAsia"/>
                      <w:color w:val="auto"/>
                      <w:szCs w:val="21"/>
                      <w:highlight w:val="none"/>
                      <w:lang w:eastAsia="zh-CN"/>
                    </w:rPr>
                    <w:t>乳胶粉</w:t>
                  </w:r>
                </w:p>
              </w:tc>
              <w:tc>
                <w:tcPr>
                  <w:tcW w:w="2017" w:type="dxa"/>
                  <w:tcBorders>
                    <w:tl2br w:val="nil"/>
                    <w:tr2bl w:val="nil"/>
                  </w:tcBorders>
                  <w:vAlign w:val="center"/>
                </w:tcPr>
                <w:p w14:paraId="447BD905">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1010.4</w:t>
                  </w:r>
                </w:p>
              </w:tc>
              <w:tc>
                <w:tcPr>
                  <w:tcW w:w="2324" w:type="dxa"/>
                  <w:tcBorders>
                    <w:tl2br w:val="nil"/>
                    <w:tr2bl w:val="nil"/>
                  </w:tcBorders>
                  <w:vAlign w:val="center"/>
                </w:tcPr>
                <w:p w14:paraId="4CBE69B9">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石膏粉</w:t>
                  </w:r>
                </w:p>
              </w:tc>
              <w:tc>
                <w:tcPr>
                  <w:tcW w:w="1634" w:type="dxa"/>
                  <w:tcBorders>
                    <w:tl2br w:val="nil"/>
                    <w:tr2bl w:val="nil"/>
                  </w:tcBorders>
                  <w:vAlign w:val="center"/>
                </w:tcPr>
                <w:p w14:paraId="1F8BA90F">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80000</w:t>
                  </w:r>
                </w:p>
              </w:tc>
            </w:tr>
            <w:tr w14:paraId="58225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69170495">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p>
              </w:tc>
              <w:tc>
                <w:tcPr>
                  <w:tcW w:w="2017" w:type="dxa"/>
                  <w:tcBorders>
                    <w:tl2br w:val="nil"/>
                    <w:tr2bl w:val="nil"/>
                  </w:tcBorders>
                  <w:vAlign w:val="center"/>
                </w:tcPr>
                <w:p w14:paraId="24F9FFBD">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p>
              </w:tc>
              <w:tc>
                <w:tcPr>
                  <w:tcW w:w="2324" w:type="dxa"/>
                  <w:tcBorders>
                    <w:tl2br w:val="nil"/>
                    <w:tr2bl w:val="nil"/>
                  </w:tcBorders>
                  <w:vAlign w:val="center"/>
                </w:tcPr>
                <w:p w14:paraId="7A0E8AE9">
                  <w:pPr>
                    <w:spacing w:beforeLines="20" w:afterLines="20"/>
                    <w:jc w:val="center"/>
                    <w:rPr>
                      <w:rFonts w:hint="eastAsia" w:eastAsia="宋体"/>
                      <w:bCs/>
                      <w:color w:val="auto"/>
                      <w:szCs w:val="21"/>
                      <w:highlight w:val="none"/>
                      <w:lang w:eastAsia="zh-CN"/>
                    </w:rPr>
                  </w:pPr>
                  <w:r>
                    <w:rPr>
                      <w:rFonts w:hint="eastAsia"/>
                      <w:bCs/>
                      <w:color w:val="auto"/>
                      <w:szCs w:val="21"/>
                      <w:highlight w:val="none"/>
                      <w:lang w:eastAsia="zh-CN"/>
                    </w:rPr>
                    <w:t>砂浆</w:t>
                  </w:r>
                </w:p>
              </w:tc>
              <w:tc>
                <w:tcPr>
                  <w:tcW w:w="1634" w:type="dxa"/>
                  <w:tcBorders>
                    <w:tl2br w:val="nil"/>
                    <w:tr2bl w:val="nil"/>
                  </w:tcBorders>
                  <w:vAlign w:val="center"/>
                </w:tcPr>
                <w:p w14:paraId="423B844E">
                  <w:pPr>
                    <w:spacing w:beforeLines="20" w:afterLines="20"/>
                    <w:jc w:val="center"/>
                    <w:rPr>
                      <w:rFonts w:hint="default" w:eastAsia="宋体"/>
                      <w:bCs/>
                      <w:color w:val="auto"/>
                      <w:szCs w:val="21"/>
                      <w:highlight w:val="none"/>
                      <w:lang w:val="en-US" w:eastAsia="zh-CN"/>
                    </w:rPr>
                  </w:pPr>
                  <w:r>
                    <w:rPr>
                      <w:rFonts w:hint="eastAsia"/>
                      <w:bCs/>
                      <w:color w:val="auto"/>
                      <w:szCs w:val="21"/>
                      <w:highlight w:val="none"/>
                      <w:lang w:val="en-US" w:eastAsia="zh-CN"/>
                    </w:rPr>
                    <w:t>60000</w:t>
                  </w:r>
                </w:p>
              </w:tc>
            </w:tr>
            <w:tr w14:paraId="4E9DE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40EA1933">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p>
              </w:tc>
              <w:tc>
                <w:tcPr>
                  <w:tcW w:w="2017" w:type="dxa"/>
                  <w:tcBorders>
                    <w:tl2br w:val="nil"/>
                    <w:tr2bl w:val="nil"/>
                  </w:tcBorders>
                  <w:vAlign w:val="center"/>
                </w:tcPr>
                <w:p w14:paraId="3566C0E0">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p>
              </w:tc>
              <w:tc>
                <w:tcPr>
                  <w:tcW w:w="2324" w:type="dxa"/>
                  <w:tcBorders>
                    <w:tl2br w:val="nil"/>
                    <w:tr2bl w:val="nil"/>
                  </w:tcBorders>
                  <w:vAlign w:val="center"/>
                </w:tcPr>
                <w:p w14:paraId="61D00CD8">
                  <w:pPr>
                    <w:spacing w:beforeLines="20" w:afterLines="20"/>
                    <w:jc w:val="center"/>
                    <w:rPr>
                      <w:rFonts w:hint="eastAsia"/>
                      <w:bCs/>
                      <w:color w:val="auto"/>
                      <w:szCs w:val="21"/>
                      <w:highlight w:val="none"/>
                      <w:lang w:eastAsia="zh-CN"/>
                    </w:rPr>
                  </w:pPr>
                  <w:r>
                    <w:rPr>
                      <w:rFonts w:hint="eastAsia"/>
                      <w:bCs/>
                      <w:color w:val="auto"/>
                      <w:szCs w:val="21"/>
                      <w:highlight w:val="none"/>
                      <w:lang w:eastAsia="zh-CN"/>
                    </w:rPr>
                    <w:t>收集尘</w:t>
                  </w:r>
                </w:p>
              </w:tc>
              <w:tc>
                <w:tcPr>
                  <w:tcW w:w="1634" w:type="dxa"/>
                  <w:tcBorders>
                    <w:tl2br w:val="nil"/>
                    <w:tr2bl w:val="nil"/>
                  </w:tcBorders>
                  <w:vAlign w:val="center"/>
                </w:tcPr>
                <w:p w14:paraId="772ACF3A">
                  <w:pPr>
                    <w:spacing w:beforeLines="20" w:afterLines="20"/>
                    <w:jc w:val="center"/>
                    <w:rPr>
                      <w:rFonts w:hint="default"/>
                      <w:bCs/>
                      <w:color w:val="auto"/>
                      <w:szCs w:val="21"/>
                      <w:highlight w:val="none"/>
                      <w:lang w:val="en-US" w:eastAsia="zh-CN"/>
                    </w:rPr>
                  </w:pPr>
                  <w:r>
                    <w:rPr>
                      <w:rFonts w:hint="eastAsia"/>
                      <w:bCs/>
                      <w:color w:val="auto"/>
                      <w:szCs w:val="21"/>
                      <w:highlight w:val="none"/>
                      <w:lang w:val="en-US" w:eastAsia="zh-CN"/>
                    </w:rPr>
                    <w:t>43.48</w:t>
                  </w:r>
                </w:p>
              </w:tc>
            </w:tr>
            <w:tr w14:paraId="796BF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57DE79AF">
                  <w:pPr>
                    <w:tabs>
                      <w:tab w:val="left" w:pos="2418"/>
                      <w:tab w:val="left" w:pos="4203"/>
                      <w:tab w:val="left" w:pos="5708"/>
                      <w:tab w:val="left" w:pos="7213"/>
                      <w:tab w:val="left" w:pos="8718"/>
                    </w:tabs>
                    <w:snapToGrid w:val="0"/>
                    <w:spacing w:beforeLines="30" w:afterLines="30"/>
                    <w:jc w:val="center"/>
                    <w:rPr>
                      <w:rFonts w:hint="eastAsia"/>
                      <w:color w:val="auto"/>
                      <w:szCs w:val="21"/>
                      <w:highlight w:val="none"/>
                      <w:lang w:eastAsia="zh-CN"/>
                    </w:rPr>
                  </w:pPr>
                </w:p>
              </w:tc>
              <w:tc>
                <w:tcPr>
                  <w:tcW w:w="2017" w:type="dxa"/>
                  <w:tcBorders>
                    <w:tl2br w:val="nil"/>
                    <w:tr2bl w:val="nil"/>
                  </w:tcBorders>
                  <w:vAlign w:val="center"/>
                </w:tcPr>
                <w:p w14:paraId="0829E472">
                  <w:pPr>
                    <w:tabs>
                      <w:tab w:val="left" w:pos="2418"/>
                      <w:tab w:val="left" w:pos="4203"/>
                      <w:tab w:val="left" w:pos="5708"/>
                      <w:tab w:val="left" w:pos="7213"/>
                      <w:tab w:val="left" w:pos="8718"/>
                    </w:tabs>
                    <w:snapToGrid w:val="0"/>
                    <w:spacing w:beforeLines="30" w:afterLines="30"/>
                    <w:jc w:val="center"/>
                    <w:rPr>
                      <w:rFonts w:hint="default" w:eastAsia="宋体"/>
                      <w:bCs/>
                      <w:color w:val="auto"/>
                      <w:szCs w:val="21"/>
                      <w:highlight w:val="none"/>
                      <w:lang w:val="en-US" w:eastAsia="zh-CN"/>
                    </w:rPr>
                  </w:pPr>
                </w:p>
              </w:tc>
              <w:tc>
                <w:tcPr>
                  <w:tcW w:w="2324" w:type="dxa"/>
                  <w:tcBorders>
                    <w:tl2br w:val="nil"/>
                    <w:tr2bl w:val="nil"/>
                  </w:tcBorders>
                  <w:vAlign w:val="center"/>
                </w:tcPr>
                <w:p w14:paraId="10EFE906">
                  <w:pPr>
                    <w:spacing w:beforeLines="20" w:afterLines="20"/>
                    <w:jc w:val="center"/>
                    <w:rPr>
                      <w:rFonts w:hint="eastAsia"/>
                      <w:bCs/>
                      <w:color w:val="auto"/>
                      <w:szCs w:val="21"/>
                      <w:highlight w:val="none"/>
                      <w:lang w:eastAsia="zh-CN"/>
                    </w:rPr>
                  </w:pPr>
                  <w:r>
                    <w:rPr>
                      <w:rFonts w:hint="eastAsia"/>
                      <w:bCs/>
                      <w:color w:val="auto"/>
                      <w:szCs w:val="21"/>
                      <w:highlight w:val="none"/>
                      <w:lang w:eastAsia="zh-CN"/>
                    </w:rPr>
                    <w:t>粉尘</w:t>
                  </w:r>
                </w:p>
              </w:tc>
              <w:tc>
                <w:tcPr>
                  <w:tcW w:w="1634" w:type="dxa"/>
                  <w:tcBorders>
                    <w:tl2br w:val="nil"/>
                    <w:tr2bl w:val="nil"/>
                  </w:tcBorders>
                  <w:vAlign w:val="center"/>
                </w:tcPr>
                <w:p w14:paraId="27D6DAD6">
                  <w:pPr>
                    <w:spacing w:beforeLines="20" w:afterLines="20"/>
                    <w:jc w:val="center"/>
                    <w:rPr>
                      <w:rFonts w:hint="default"/>
                      <w:bCs/>
                      <w:color w:val="auto"/>
                      <w:szCs w:val="21"/>
                      <w:highlight w:val="none"/>
                      <w:lang w:val="en-US" w:eastAsia="zh-CN"/>
                    </w:rPr>
                  </w:pPr>
                  <w:r>
                    <w:rPr>
                      <w:rFonts w:hint="eastAsia"/>
                      <w:bCs/>
                      <w:color w:val="auto"/>
                      <w:szCs w:val="21"/>
                      <w:highlight w:val="none"/>
                      <w:lang w:val="en-US" w:eastAsia="zh-CN"/>
                    </w:rPr>
                    <w:t>5.67</w:t>
                  </w:r>
                </w:p>
              </w:tc>
            </w:tr>
            <w:tr w14:paraId="1F405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25E95D86">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2017" w:type="dxa"/>
                  <w:tcBorders>
                    <w:tl2br w:val="nil"/>
                    <w:tr2bl w:val="nil"/>
                  </w:tcBorders>
                  <w:vAlign w:val="center"/>
                </w:tcPr>
                <w:p w14:paraId="4D7D105F">
                  <w:pPr>
                    <w:spacing w:beforeLines="30" w:afterLines="30"/>
                    <w:jc w:val="center"/>
                    <w:rPr>
                      <w:color w:val="auto"/>
                      <w:szCs w:val="21"/>
                      <w:highlight w:val="none"/>
                    </w:rPr>
                  </w:pPr>
                  <w:r>
                    <w:rPr>
                      <w:rFonts w:hint="eastAsia"/>
                      <w:color w:val="auto"/>
                      <w:szCs w:val="21"/>
                      <w:highlight w:val="none"/>
                      <w:lang w:val="en-US" w:eastAsia="zh-CN"/>
                    </w:rPr>
                    <w:t>446049.15</w:t>
                  </w:r>
                </w:p>
              </w:tc>
              <w:tc>
                <w:tcPr>
                  <w:tcW w:w="2324" w:type="dxa"/>
                  <w:tcBorders>
                    <w:tl2br w:val="nil"/>
                    <w:tr2bl w:val="nil"/>
                  </w:tcBorders>
                  <w:vAlign w:val="center"/>
                </w:tcPr>
                <w:p w14:paraId="75BBE234">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414E068A">
                  <w:pPr>
                    <w:tabs>
                      <w:tab w:val="left" w:pos="2418"/>
                      <w:tab w:val="left" w:pos="4203"/>
                      <w:tab w:val="left" w:pos="5708"/>
                      <w:tab w:val="left" w:pos="7213"/>
                      <w:tab w:val="left" w:pos="8718"/>
                    </w:tabs>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446049.15</w:t>
                  </w:r>
                </w:p>
              </w:tc>
            </w:tr>
          </w:tbl>
          <w:p w14:paraId="6730DA03">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10、厂区平面布置</w:t>
            </w:r>
          </w:p>
          <w:p w14:paraId="3760DC74">
            <w:pPr>
              <w:pStyle w:val="45"/>
              <w:spacing w:line="360" w:lineRule="auto"/>
              <w:ind w:firstLine="480" w:firstLineChars="200"/>
              <w:jc w:val="both"/>
              <w:rPr>
                <w:rFonts w:hint="eastAsia"/>
                <w:bCs/>
                <w:color w:val="auto"/>
                <w:highlight w:val="none"/>
                <w:lang w:eastAsia="zh-CN"/>
              </w:rPr>
            </w:pPr>
            <w:r>
              <w:rPr>
                <w:rFonts w:hint="eastAsia" w:ascii="Times New Roman" w:cs="Times New Roman"/>
                <w:bCs/>
                <w:color w:val="auto"/>
                <w:highlight w:val="none"/>
                <w:lang w:eastAsia="zh-CN"/>
              </w:rPr>
              <w:t>根据现场调查，目前厂区出入口位于西北角，连接有村道以及</w:t>
            </w:r>
            <w:r>
              <w:rPr>
                <w:rFonts w:hint="eastAsia" w:ascii="Times New Roman" w:cs="Times New Roman"/>
                <w:bCs/>
                <w:color w:val="auto"/>
                <w:highlight w:val="none"/>
                <w:lang w:val="en-US" w:eastAsia="zh-CN"/>
              </w:rPr>
              <w:t>G108，便于</w:t>
            </w:r>
            <w:r>
              <w:rPr>
                <w:rFonts w:hint="eastAsia"/>
                <w:bCs/>
                <w:color w:val="auto"/>
                <w:highlight w:val="none"/>
              </w:rPr>
              <w:t>原料及产品运输</w:t>
            </w:r>
            <w:r>
              <w:rPr>
                <w:rFonts w:hint="eastAsia"/>
                <w:bCs/>
                <w:color w:val="auto"/>
                <w:highlight w:val="none"/>
                <w:lang w:eastAsia="zh-CN"/>
              </w:rPr>
              <w:t>。生活办公区位于厂区北侧，呈“一”字沿东西方向展开，包括会议室、食堂及住宿区等；东南部为生产车间（含产品堆放区），包括前端破碎、制砂、雷蒙及包装等区域；厂区内东侧和西侧均为原料区，其中东侧原料区现堆放有外购的白方石，西侧计划堆存新增工程原料。危废间位于厂区东南角。</w:t>
            </w:r>
          </w:p>
          <w:p w14:paraId="61481C76">
            <w:pPr>
              <w:pStyle w:val="45"/>
              <w:spacing w:line="360" w:lineRule="auto"/>
              <w:ind w:firstLine="480" w:firstLineChars="200"/>
              <w:jc w:val="both"/>
              <w:rPr>
                <w:color w:val="auto"/>
                <w:highlight w:val="none"/>
              </w:rPr>
            </w:pPr>
            <w:r>
              <w:rPr>
                <w:rFonts w:hint="eastAsia"/>
                <w:bCs/>
                <w:color w:val="auto"/>
                <w:highlight w:val="none"/>
                <w:lang w:eastAsia="zh-CN"/>
              </w:rPr>
              <w:t>厂区内各区域之间由主干道相连，便于人员通行和物料转运，</w:t>
            </w:r>
            <w:r>
              <w:rPr>
                <w:rFonts w:hint="eastAsia"/>
                <w:bCs/>
                <w:color w:val="auto"/>
                <w:highlight w:val="none"/>
              </w:rPr>
              <w:t>整体而言布置合理</w:t>
            </w:r>
            <w:r>
              <w:rPr>
                <w:rFonts w:hint="eastAsia"/>
                <w:bCs/>
                <w:color w:val="auto"/>
                <w:highlight w:val="none"/>
                <w:lang w:eastAsia="zh-CN"/>
              </w:rPr>
              <w:t>。本次变动不改变厂区现有整体布局，仅利用生产车间内闲置区域布置生产线和存放产品，</w:t>
            </w:r>
            <w:r>
              <w:rPr>
                <w:rFonts w:hint="eastAsia"/>
                <w:bCs/>
                <w:color w:val="auto"/>
                <w:highlight w:val="none"/>
              </w:rPr>
              <w:t>具体</w:t>
            </w:r>
            <w:r>
              <w:rPr>
                <w:rFonts w:hint="eastAsia"/>
                <w:bCs/>
                <w:color w:val="auto"/>
                <w:highlight w:val="none"/>
                <w:lang w:eastAsia="zh-CN"/>
              </w:rPr>
              <w:t>布置</w:t>
            </w:r>
            <w:r>
              <w:rPr>
                <w:rFonts w:hint="eastAsia"/>
                <w:bCs/>
                <w:color w:val="auto"/>
                <w:highlight w:val="none"/>
              </w:rPr>
              <w:t>见附图</w:t>
            </w:r>
            <w:r>
              <w:rPr>
                <w:rFonts w:hint="eastAsia" w:ascii="Times New Roman" w:cs="Times New Roman"/>
                <w:bCs/>
                <w:color w:val="auto"/>
                <w:kern w:val="2"/>
                <w:highlight w:val="none"/>
                <w:lang w:val="en-US" w:eastAsia="zh-CN"/>
              </w:rPr>
              <w:t>6</w:t>
            </w:r>
            <w:r>
              <w:rPr>
                <w:rFonts w:hint="eastAsia"/>
                <w:bCs/>
                <w:color w:val="auto"/>
                <w:highlight w:val="none"/>
              </w:rPr>
              <w:t>。</w:t>
            </w:r>
          </w:p>
        </w:tc>
      </w:tr>
      <w:tr w14:paraId="4056B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0018366E">
            <w:pPr>
              <w:pStyle w:val="30"/>
              <w:adjustRightInd w:val="0"/>
              <w:snapToGrid w:val="0"/>
              <w:spacing w:before="0" w:beforeAutospacing="0" w:after="0" w:afterAutospacing="0"/>
              <w:jc w:val="center"/>
              <w:rPr>
                <w:rFonts w:cs="宋体"/>
                <w:color w:val="auto"/>
                <w:szCs w:val="24"/>
                <w:highlight w:val="none"/>
              </w:rPr>
            </w:pPr>
          </w:p>
          <w:p w14:paraId="6CDEF6D2">
            <w:pPr>
              <w:pStyle w:val="30"/>
              <w:adjustRightInd w:val="0"/>
              <w:snapToGrid w:val="0"/>
              <w:spacing w:before="0" w:beforeAutospacing="0" w:after="0" w:afterAutospacing="0"/>
              <w:jc w:val="center"/>
              <w:rPr>
                <w:rFonts w:cs="宋体"/>
                <w:color w:val="auto"/>
                <w:szCs w:val="24"/>
                <w:highlight w:val="none"/>
              </w:rPr>
            </w:pPr>
          </w:p>
          <w:p w14:paraId="55D0FD72">
            <w:pPr>
              <w:pStyle w:val="30"/>
              <w:adjustRightInd w:val="0"/>
              <w:snapToGrid w:val="0"/>
              <w:spacing w:before="0" w:beforeAutospacing="0" w:after="0" w:afterAutospacing="0"/>
              <w:jc w:val="center"/>
              <w:rPr>
                <w:rFonts w:cs="宋体"/>
                <w:color w:val="auto"/>
                <w:szCs w:val="24"/>
                <w:highlight w:val="none"/>
              </w:rPr>
            </w:pPr>
          </w:p>
          <w:p w14:paraId="096702F3">
            <w:pPr>
              <w:pStyle w:val="30"/>
              <w:adjustRightInd w:val="0"/>
              <w:snapToGrid w:val="0"/>
              <w:spacing w:before="0" w:beforeAutospacing="0" w:after="0" w:afterAutospacing="0"/>
              <w:jc w:val="center"/>
              <w:rPr>
                <w:rFonts w:cs="宋体"/>
                <w:color w:val="auto"/>
                <w:szCs w:val="24"/>
                <w:highlight w:val="none"/>
              </w:rPr>
            </w:pPr>
          </w:p>
          <w:p w14:paraId="7BB20A63">
            <w:pPr>
              <w:pStyle w:val="30"/>
              <w:adjustRightInd w:val="0"/>
              <w:snapToGrid w:val="0"/>
              <w:spacing w:before="0" w:beforeAutospacing="0" w:after="0" w:afterAutospacing="0"/>
              <w:jc w:val="center"/>
              <w:rPr>
                <w:rFonts w:cs="宋体"/>
                <w:color w:val="auto"/>
                <w:szCs w:val="24"/>
                <w:highlight w:val="none"/>
              </w:rPr>
            </w:pPr>
          </w:p>
          <w:p w14:paraId="17F3E751">
            <w:pPr>
              <w:pStyle w:val="30"/>
              <w:adjustRightInd w:val="0"/>
              <w:snapToGrid w:val="0"/>
              <w:spacing w:before="0" w:beforeAutospacing="0" w:after="0" w:afterAutospacing="0"/>
              <w:jc w:val="center"/>
              <w:rPr>
                <w:rFonts w:cs="宋体"/>
                <w:color w:val="auto"/>
                <w:szCs w:val="24"/>
                <w:highlight w:val="none"/>
              </w:rPr>
            </w:pPr>
          </w:p>
          <w:p w14:paraId="3565AF94">
            <w:pPr>
              <w:pStyle w:val="30"/>
              <w:adjustRightInd w:val="0"/>
              <w:snapToGrid w:val="0"/>
              <w:spacing w:before="0" w:beforeAutospacing="0" w:after="0" w:afterAutospacing="0"/>
              <w:jc w:val="both"/>
              <w:rPr>
                <w:rFonts w:cs="宋体"/>
                <w:color w:val="auto"/>
                <w:szCs w:val="24"/>
                <w:highlight w:val="none"/>
              </w:rPr>
            </w:pPr>
          </w:p>
          <w:p w14:paraId="2C8970C2">
            <w:pPr>
              <w:pStyle w:val="30"/>
              <w:adjustRightInd w:val="0"/>
              <w:snapToGrid w:val="0"/>
              <w:spacing w:before="0" w:beforeAutospacing="0" w:after="0" w:afterAutospacing="0"/>
              <w:jc w:val="center"/>
              <w:rPr>
                <w:rFonts w:cs="宋体"/>
                <w:color w:val="auto"/>
                <w:szCs w:val="24"/>
                <w:highlight w:val="none"/>
              </w:rPr>
            </w:pPr>
          </w:p>
          <w:p w14:paraId="66623613">
            <w:pPr>
              <w:pStyle w:val="30"/>
              <w:adjustRightInd w:val="0"/>
              <w:snapToGrid w:val="0"/>
              <w:spacing w:before="0" w:beforeAutospacing="0" w:after="0" w:afterAutospacing="0"/>
              <w:jc w:val="center"/>
              <w:rPr>
                <w:rFonts w:cs="宋体"/>
                <w:color w:val="auto"/>
                <w:szCs w:val="24"/>
                <w:highlight w:val="none"/>
              </w:rPr>
            </w:pPr>
          </w:p>
          <w:p w14:paraId="18BEA621">
            <w:pPr>
              <w:pStyle w:val="30"/>
              <w:adjustRightInd w:val="0"/>
              <w:snapToGrid w:val="0"/>
              <w:spacing w:before="0" w:beforeAutospacing="0" w:after="0" w:afterAutospacing="0"/>
              <w:jc w:val="both"/>
              <w:rPr>
                <w:rFonts w:cs="宋体"/>
                <w:color w:val="auto"/>
                <w:szCs w:val="24"/>
                <w:highlight w:val="none"/>
              </w:rPr>
            </w:pPr>
          </w:p>
          <w:p w14:paraId="76F0EFC9">
            <w:pPr>
              <w:pStyle w:val="30"/>
              <w:adjustRightInd w:val="0"/>
              <w:snapToGrid w:val="0"/>
              <w:spacing w:before="0" w:beforeAutospacing="0" w:after="0" w:afterAutospacing="0"/>
              <w:jc w:val="both"/>
              <w:rPr>
                <w:rFonts w:cs="宋体"/>
                <w:color w:val="auto"/>
                <w:szCs w:val="24"/>
                <w:highlight w:val="none"/>
              </w:rPr>
            </w:pPr>
          </w:p>
          <w:p w14:paraId="4AE24AFC">
            <w:pPr>
              <w:pStyle w:val="30"/>
              <w:adjustRightInd w:val="0"/>
              <w:snapToGrid w:val="0"/>
              <w:spacing w:before="0" w:beforeAutospacing="0" w:after="0" w:afterAutospacing="0"/>
              <w:jc w:val="center"/>
              <w:rPr>
                <w:rFonts w:cs="宋体"/>
                <w:color w:val="auto"/>
                <w:szCs w:val="24"/>
                <w:highlight w:val="none"/>
              </w:rPr>
            </w:pPr>
          </w:p>
          <w:p w14:paraId="29A1B94F">
            <w:pPr>
              <w:pStyle w:val="30"/>
              <w:adjustRightInd w:val="0"/>
              <w:snapToGrid w:val="0"/>
              <w:spacing w:before="0" w:beforeAutospacing="0" w:after="0" w:afterAutospacing="0"/>
              <w:jc w:val="center"/>
              <w:rPr>
                <w:rFonts w:cs="宋体"/>
                <w:color w:val="auto"/>
                <w:szCs w:val="24"/>
                <w:highlight w:val="none"/>
              </w:rPr>
            </w:pPr>
          </w:p>
          <w:p w14:paraId="08E45985">
            <w:pPr>
              <w:pStyle w:val="30"/>
              <w:adjustRightInd w:val="0"/>
              <w:snapToGrid w:val="0"/>
              <w:spacing w:before="0" w:beforeAutospacing="0" w:after="0" w:afterAutospacing="0"/>
              <w:jc w:val="center"/>
              <w:rPr>
                <w:rFonts w:cs="宋体"/>
                <w:color w:val="auto"/>
                <w:szCs w:val="24"/>
                <w:highlight w:val="none"/>
              </w:rPr>
            </w:pPr>
          </w:p>
          <w:p w14:paraId="0A60696C">
            <w:pPr>
              <w:pStyle w:val="30"/>
              <w:adjustRightInd w:val="0"/>
              <w:snapToGrid w:val="0"/>
              <w:spacing w:before="0" w:beforeAutospacing="0" w:after="0" w:afterAutospacing="0"/>
              <w:jc w:val="center"/>
              <w:rPr>
                <w:rFonts w:cs="宋体"/>
                <w:color w:val="auto"/>
                <w:szCs w:val="24"/>
                <w:highlight w:val="none"/>
              </w:rPr>
            </w:pPr>
          </w:p>
          <w:p w14:paraId="032AAD59">
            <w:pPr>
              <w:pStyle w:val="30"/>
              <w:adjustRightInd w:val="0"/>
              <w:snapToGrid w:val="0"/>
              <w:spacing w:before="0" w:beforeAutospacing="0" w:after="0" w:afterAutospacing="0"/>
              <w:jc w:val="center"/>
              <w:rPr>
                <w:rFonts w:cs="宋体"/>
                <w:color w:val="auto"/>
                <w:szCs w:val="24"/>
                <w:highlight w:val="none"/>
              </w:rPr>
            </w:pPr>
          </w:p>
          <w:p w14:paraId="7615C21A">
            <w:pPr>
              <w:pStyle w:val="30"/>
              <w:adjustRightInd w:val="0"/>
              <w:snapToGrid w:val="0"/>
              <w:spacing w:before="0" w:beforeAutospacing="0" w:after="0" w:afterAutospacing="0"/>
              <w:jc w:val="both"/>
              <w:rPr>
                <w:rFonts w:hint="eastAsia" w:cs="宋体"/>
                <w:color w:val="auto"/>
                <w:szCs w:val="24"/>
                <w:highlight w:val="none"/>
              </w:rPr>
            </w:pPr>
          </w:p>
          <w:p w14:paraId="243F5BBA">
            <w:pPr>
              <w:pStyle w:val="30"/>
              <w:adjustRightInd w:val="0"/>
              <w:snapToGrid w:val="0"/>
              <w:spacing w:before="0" w:beforeAutospacing="0" w:after="0" w:afterAutospacing="0"/>
              <w:jc w:val="center"/>
              <w:rPr>
                <w:rFonts w:hint="eastAsia" w:cs="宋体"/>
                <w:color w:val="auto"/>
                <w:szCs w:val="24"/>
                <w:highlight w:val="none"/>
              </w:rPr>
            </w:pPr>
          </w:p>
          <w:p w14:paraId="3866E6F0">
            <w:pPr>
              <w:pStyle w:val="30"/>
              <w:adjustRightInd w:val="0"/>
              <w:snapToGrid w:val="0"/>
              <w:spacing w:before="0" w:beforeAutospacing="0" w:after="0" w:afterAutospacing="0"/>
              <w:jc w:val="center"/>
              <w:rPr>
                <w:rFonts w:hint="eastAsia" w:cs="宋体"/>
                <w:color w:val="auto"/>
                <w:szCs w:val="24"/>
                <w:highlight w:val="none"/>
              </w:rPr>
            </w:pPr>
          </w:p>
          <w:p w14:paraId="47FF3654">
            <w:pPr>
              <w:pStyle w:val="30"/>
              <w:adjustRightInd w:val="0"/>
              <w:snapToGrid w:val="0"/>
              <w:spacing w:before="0" w:beforeAutospacing="0" w:after="0" w:afterAutospacing="0"/>
              <w:jc w:val="center"/>
              <w:rPr>
                <w:rFonts w:hint="eastAsia" w:cs="宋体"/>
                <w:color w:val="auto"/>
                <w:szCs w:val="24"/>
                <w:highlight w:val="none"/>
              </w:rPr>
            </w:pPr>
          </w:p>
          <w:p w14:paraId="5AEB71F6">
            <w:pPr>
              <w:pStyle w:val="30"/>
              <w:adjustRightInd w:val="0"/>
              <w:snapToGrid w:val="0"/>
              <w:spacing w:before="0" w:beforeAutospacing="0" w:after="0" w:afterAutospacing="0"/>
              <w:jc w:val="center"/>
              <w:rPr>
                <w:rFonts w:hint="eastAsia" w:cs="宋体"/>
                <w:color w:val="auto"/>
                <w:szCs w:val="24"/>
                <w:highlight w:val="none"/>
              </w:rPr>
            </w:pPr>
          </w:p>
          <w:p w14:paraId="14A5A720">
            <w:pPr>
              <w:pStyle w:val="30"/>
              <w:adjustRightInd w:val="0"/>
              <w:snapToGrid w:val="0"/>
              <w:spacing w:before="0" w:beforeAutospacing="0" w:after="0" w:afterAutospacing="0"/>
              <w:jc w:val="center"/>
              <w:rPr>
                <w:rFonts w:hint="eastAsia" w:cs="宋体"/>
                <w:color w:val="auto"/>
                <w:szCs w:val="24"/>
                <w:highlight w:val="none"/>
              </w:rPr>
            </w:pPr>
          </w:p>
          <w:p w14:paraId="0219FE00">
            <w:pPr>
              <w:pStyle w:val="30"/>
              <w:adjustRightInd w:val="0"/>
              <w:snapToGrid w:val="0"/>
              <w:spacing w:before="0" w:beforeAutospacing="0" w:after="0" w:afterAutospacing="0"/>
              <w:jc w:val="center"/>
              <w:rPr>
                <w:rFonts w:hint="eastAsia" w:cs="宋体"/>
                <w:color w:val="auto"/>
                <w:szCs w:val="24"/>
                <w:highlight w:val="none"/>
              </w:rPr>
            </w:pPr>
          </w:p>
          <w:p w14:paraId="7C2A0614">
            <w:pPr>
              <w:pStyle w:val="30"/>
              <w:adjustRightInd w:val="0"/>
              <w:snapToGrid w:val="0"/>
              <w:spacing w:before="0" w:beforeAutospacing="0" w:after="0" w:afterAutospacing="0"/>
              <w:jc w:val="center"/>
              <w:rPr>
                <w:rFonts w:hint="eastAsia" w:cs="宋体"/>
                <w:color w:val="auto"/>
                <w:szCs w:val="24"/>
                <w:highlight w:val="none"/>
              </w:rPr>
            </w:pPr>
          </w:p>
          <w:p w14:paraId="3AE30240">
            <w:pPr>
              <w:pStyle w:val="30"/>
              <w:adjustRightInd w:val="0"/>
              <w:snapToGrid w:val="0"/>
              <w:spacing w:before="0" w:beforeAutospacing="0" w:after="0" w:afterAutospacing="0"/>
              <w:jc w:val="center"/>
              <w:rPr>
                <w:rFonts w:hint="eastAsia" w:cs="宋体"/>
                <w:color w:val="auto"/>
                <w:szCs w:val="24"/>
                <w:highlight w:val="none"/>
              </w:rPr>
            </w:pPr>
          </w:p>
          <w:p w14:paraId="23AD99EC">
            <w:pPr>
              <w:pStyle w:val="30"/>
              <w:adjustRightInd w:val="0"/>
              <w:snapToGrid w:val="0"/>
              <w:spacing w:before="0" w:beforeAutospacing="0" w:after="0" w:afterAutospacing="0"/>
              <w:jc w:val="center"/>
              <w:rPr>
                <w:rFonts w:hint="eastAsia" w:cs="宋体"/>
                <w:color w:val="auto"/>
                <w:szCs w:val="24"/>
                <w:highlight w:val="none"/>
              </w:rPr>
            </w:pPr>
          </w:p>
          <w:p w14:paraId="00B7C31F">
            <w:pPr>
              <w:pStyle w:val="30"/>
              <w:adjustRightInd w:val="0"/>
              <w:snapToGrid w:val="0"/>
              <w:spacing w:before="0" w:beforeAutospacing="0" w:after="0" w:afterAutospacing="0"/>
              <w:jc w:val="center"/>
              <w:rPr>
                <w:rFonts w:hint="eastAsia" w:cs="宋体"/>
                <w:color w:val="auto"/>
                <w:szCs w:val="24"/>
                <w:highlight w:val="none"/>
              </w:rPr>
            </w:pPr>
          </w:p>
          <w:p w14:paraId="237C7DB4">
            <w:pPr>
              <w:pStyle w:val="30"/>
              <w:adjustRightInd w:val="0"/>
              <w:snapToGrid w:val="0"/>
              <w:spacing w:before="0" w:beforeAutospacing="0" w:after="0" w:afterAutospacing="0"/>
              <w:jc w:val="center"/>
              <w:rPr>
                <w:rFonts w:hint="eastAsia" w:cs="宋体"/>
                <w:color w:val="auto"/>
                <w:szCs w:val="24"/>
                <w:highlight w:val="none"/>
              </w:rPr>
            </w:pPr>
          </w:p>
          <w:p w14:paraId="668B9EE5">
            <w:pPr>
              <w:pStyle w:val="30"/>
              <w:adjustRightInd w:val="0"/>
              <w:snapToGrid w:val="0"/>
              <w:spacing w:before="0" w:beforeAutospacing="0" w:after="0" w:afterAutospacing="0"/>
              <w:jc w:val="center"/>
              <w:rPr>
                <w:rFonts w:hint="eastAsia" w:cs="宋体"/>
                <w:color w:val="auto"/>
                <w:szCs w:val="24"/>
                <w:highlight w:val="none"/>
              </w:rPr>
            </w:pPr>
          </w:p>
          <w:p w14:paraId="39AE95AC">
            <w:pPr>
              <w:pStyle w:val="30"/>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工艺流程和产排污环节</w:t>
            </w:r>
          </w:p>
          <w:p w14:paraId="6F5A3474">
            <w:pPr>
              <w:pStyle w:val="30"/>
              <w:adjustRightInd w:val="0"/>
              <w:snapToGrid w:val="0"/>
              <w:spacing w:before="0" w:beforeAutospacing="0" w:after="0" w:afterAutospacing="0"/>
              <w:jc w:val="center"/>
              <w:rPr>
                <w:rFonts w:cs="宋体"/>
                <w:color w:val="auto"/>
                <w:szCs w:val="24"/>
                <w:highlight w:val="none"/>
              </w:rPr>
            </w:pPr>
          </w:p>
          <w:p w14:paraId="7E9AA677">
            <w:pPr>
              <w:pStyle w:val="30"/>
              <w:adjustRightInd w:val="0"/>
              <w:snapToGrid w:val="0"/>
              <w:spacing w:before="0" w:beforeAutospacing="0" w:after="0" w:afterAutospacing="0"/>
              <w:jc w:val="both"/>
              <w:rPr>
                <w:rFonts w:cs="宋体"/>
                <w:color w:val="auto"/>
                <w:szCs w:val="24"/>
                <w:highlight w:val="none"/>
              </w:rPr>
            </w:pPr>
          </w:p>
        </w:tc>
        <w:tc>
          <w:tcPr>
            <w:tcW w:w="8604" w:type="dxa"/>
          </w:tcPr>
          <w:p w14:paraId="19D33CC8">
            <w:pPr>
              <w:adjustRightInd w:val="0"/>
              <w:snapToGrid w:val="0"/>
              <w:spacing w:line="360" w:lineRule="auto"/>
              <w:rPr>
                <w:b/>
                <w:color w:val="auto"/>
                <w:sz w:val="24"/>
                <w:highlight w:val="none"/>
              </w:rPr>
            </w:pPr>
            <w:r>
              <w:rPr>
                <w:rFonts w:hint="eastAsia"/>
                <w:b/>
                <w:color w:val="auto"/>
                <w:sz w:val="24"/>
                <w:highlight w:val="none"/>
              </w:rPr>
              <w:t>（一）施工期工艺流程及产污环节</w:t>
            </w:r>
          </w:p>
          <w:p w14:paraId="54C86273">
            <w:pPr>
              <w:adjustRightInd w:val="0"/>
              <w:snapToGrid w:val="0"/>
              <w:spacing w:line="360" w:lineRule="auto"/>
              <w:ind w:firstLine="480" w:firstLineChars="200"/>
              <w:rPr>
                <w:rFonts w:hint="default" w:eastAsia="宋体"/>
                <w:b w:val="0"/>
                <w:bCs/>
                <w:color w:val="auto"/>
                <w:sz w:val="24"/>
                <w:highlight w:val="none"/>
                <w:lang w:val="en-US" w:eastAsia="zh-CN"/>
              </w:rPr>
            </w:pPr>
            <w:r>
              <w:rPr>
                <w:rFonts w:hint="eastAsia"/>
                <w:b w:val="0"/>
                <w:bCs/>
                <w:color w:val="auto"/>
                <w:sz w:val="24"/>
                <w:highlight w:val="none"/>
                <w:lang w:eastAsia="zh-CN"/>
              </w:rPr>
              <w:t>经现场调查，现有工程已建成并正常运行，因此目前仅涉及新增工程施工期内容。结合本次工程内容和厂区现有设施可知，本次变动施工期仅需进行原料区的三面封闭</w:t>
            </w:r>
            <w:r>
              <w:rPr>
                <w:rFonts w:hint="eastAsia"/>
                <w:b w:val="0"/>
                <w:bCs/>
                <w:color w:val="auto"/>
                <w:sz w:val="24"/>
                <w:highlight w:val="none"/>
                <w:lang w:val="en-US" w:eastAsia="zh-CN"/>
              </w:rPr>
              <w:t>+顶棚搭建。由于工程内容简单、工期短暂，在做好噪声控制措施、废建材和生活垃圾处置后，对环境影响较小，故本次不再进一步赘述施工期工艺流程及产污环节。</w:t>
            </w:r>
          </w:p>
          <w:p w14:paraId="481B56B1">
            <w:pPr>
              <w:adjustRightInd w:val="0"/>
              <w:snapToGrid w:val="0"/>
              <w:spacing w:line="360" w:lineRule="auto"/>
              <w:rPr>
                <w:rFonts w:ascii="宋体" w:hAnsi="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二</w:t>
            </w:r>
            <w:r>
              <w:rPr>
                <w:rFonts w:hint="eastAsia" w:ascii="宋体" w:hAnsi="宋体"/>
                <w:b/>
                <w:color w:val="auto"/>
                <w:sz w:val="24"/>
                <w:highlight w:val="none"/>
              </w:rPr>
              <w:t>）</w:t>
            </w:r>
            <w:r>
              <w:rPr>
                <w:rFonts w:hint="eastAsia" w:ascii="宋体" w:hAnsi="宋体"/>
                <w:b/>
                <w:color w:val="auto"/>
                <w:sz w:val="24"/>
                <w:highlight w:val="none"/>
                <w:lang w:eastAsia="zh-CN"/>
              </w:rPr>
              <w:t>运营</w:t>
            </w:r>
            <w:r>
              <w:rPr>
                <w:rFonts w:ascii="宋体" w:hAnsi="宋体"/>
                <w:b/>
                <w:color w:val="auto"/>
                <w:sz w:val="24"/>
                <w:highlight w:val="none"/>
              </w:rPr>
              <w:t>期工艺流程及产污环节</w:t>
            </w:r>
          </w:p>
          <w:p w14:paraId="64A21418">
            <w:pPr>
              <w:adjustRightInd w:val="0"/>
              <w:snapToGrid w:val="0"/>
              <w:spacing w:line="360" w:lineRule="auto"/>
              <w:ind w:firstLine="482" w:firstLineChars="200"/>
              <w:rPr>
                <w:b/>
                <w:bCs/>
                <w:color w:val="auto"/>
                <w:sz w:val="24"/>
                <w:highlight w:val="none"/>
              </w:rPr>
            </w:pPr>
            <w:r>
              <w:rPr>
                <w:rFonts w:hint="eastAsia"/>
                <w:b/>
                <w:bCs/>
                <w:color w:val="auto"/>
                <w:sz w:val="24"/>
                <w:highlight w:val="none"/>
              </w:rPr>
              <w:t>1、工艺流程</w:t>
            </w:r>
          </w:p>
          <w:p w14:paraId="60AA330A">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）现有工程</w:t>
            </w:r>
            <w:r>
              <w:rPr>
                <w:rFonts w:hint="eastAsia"/>
                <w:color w:val="auto"/>
                <w:sz w:val="24"/>
                <w:highlight w:val="none"/>
              </w:rPr>
              <w:t>运营期工艺流程及产污环节图如下：</w:t>
            </w:r>
          </w:p>
          <w:p w14:paraId="5C9FB24F">
            <w:pPr>
              <w:adjustRightInd w:val="0"/>
              <w:snapToGrid w:val="0"/>
              <w:spacing w:line="360" w:lineRule="auto"/>
              <w:ind w:firstLine="480" w:firstLineChars="200"/>
              <w:rPr>
                <w:rFonts w:hint="eastAsia"/>
                <w:color w:val="auto"/>
                <w:sz w:val="24"/>
                <w:highlight w:val="none"/>
                <w:lang w:eastAsia="zh-CN"/>
              </w:rPr>
            </w:pPr>
          </w:p>
          <w:p w14:paraId="452F5D20">
            <w:pPr>
              <w:adjustRightInd w:val="0"/>
              <w:snapToGrid w:val="0"/>
              <w:spacing w:line="360" w:lineRule="auto"/>
              <w:jc w:val="center"/>
              <w:rPr>
                <w:rFonts w:hint="eastAsia"/>
                <w:color w:val="auto"/>
                <w:sz w:val="24"/>
                <w:highlight w:val="none"/>
                <w:lang w:eastAsia="zh-CN"/>
              </w:rPr>
            </w:pPr>
            <w:r>
              <w:rPr>
                <w:rFonts w:ascii="Times New Roman" w:cs="Times New Roman"/>
                <w:b/>
                <w:bCs/>
                <w:color w:val="auto"/>
                <w:sz w:val="21"/>
                <w:szCs w:val="21"/>
                <w:highlight w:val="none"/>
              </w:rPr>
              <w:object>
                <v:shape id="_x0000_i1028" o:spt="75" type="#_x0000_t75" style="height:112.2pt;width:419.3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r>
              <w:rPr>
                <w:rFonts w:ascii="Times New Roman" w:cs="Times New Roman"/>
                <w:b/>
                <w:bCs/>
                <w:color w:val="auto"/>
                <w:sz w:val="21"/>
                <w:szCs w:val="21"/>
                <w:highlight w:val="none"/>
              </w:rPr>
              <w:t>图</w:t>
            </w:r>
            <w:r>
              <w:rPr>
                <w:rFonts w:hint="eastAsia" w:ascii="Times New Roman" w:cs="Times New Roman"/>
                <w:b/>
                <w:bCs/>
                <w:color w:val="auto"/>
                <w:sz w:val="21"/>
                <w:szCs w:val="21"/>
                <w:highlight w:val="none"/>
              </w:rPr>
              <w:t>2-</w:t>
            </w:r>
            <w:r>
              <w:rPr>
                <w:rFonts w:hint="eastAsia" w:ascii="Times New Roman" w:cs="Times New Roman"/>
                <w:b/>
                <w:bCs/>
                <w:color w:val="auto"/>
                <w:sz w:val="21"/>
                <w:szCs w:val="21"/>
                <w:highlight w:val="none"/>
                <w:lang w:val="en-US" w:eastAsia="zh-CN"/>
              </w:rPr>
              <w:t>4</w:t>
            </w:r>
            <w:r>
              <w:rPr>
                <w:rFonts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lang w:eastAsia="zh-CN"/>
              </w:rPr>
              <w:t>现有工程</w:t>
            </w:r>
            <w:r>
              <w:rPr>
                <w:rFonts w:hint="eastAsia" w:ascii="Times New Roman" w:cs="Times New Roman"/>
                <w:b/>
                <w:bCs/>
                <w:color w:val="auto"/>
                <w:sz w:val="21"/>
                <w:szCs w:val="21"/>
                <w:highlight w:val="none"/>
              </w:rPr>
              <w:t>运营期</w:t>
            </w:r>
            <w:r>
              <w:rPr>
                <w:rFonts w:ascii="Times New Roman" w:cs="Times New Roman"/>
                <w:b/>
                <w:bCs/>
                <w:color w:val="auto"/>
                <w:sz w:val="21"/>
                <w:szCs w:val="21"/>
                <w:highlight w:val="none"/>
              </w:rPr>
              <w:t>工艺流程及产污环节图</w:t>
            </w:r>
          </w:p>
          <w:p w14:paraId="7686EED6">
            <w:pPr>
              <w:snapToGrid w:val="0"/>
              <w:spacing w:line="360" w:lineRule="auto"/>
              <w:ind w:firstLine="482" w:firstLineChars="200"/>
              <w:rPr>
                <w:rFonts w:hint="eastAsia" w:ascii="宋体" w:hAnsi="宋体" w:eastAsia="宋体" w:cs="宋体"/>
                <w:color w:val="auto"/>
                <w:sz w:val="24"/>
                <w:szCs w:val="24"/>
                <w:highlight w:val="none"/>
                <w:lang w:eastAsia="zh-CN"/>
              </w:rPr>
            </w:pPr>
            <w:r>
              <w:rPr>
                <w:rFonts w:hint="eastAsia"/>
                <w:b/>
                <w:bCs/>
                <w:color w:val="auto"/>
                <w:sz w:val="24"/>
                <w:highlight w:val="none"/>
              </w:rPr>
              <w:t>工艺流程简述：</w:t>
            </w:r>
          </w:p>
          <w:p w14:paraId="6DFB6E22">
            <w:pPr>
              <w:widowControl/>
              <w:adjustRightInd w:val="0"/>
              <w:snapToGrid w:val="0"/>
              <w:spacing w:line="360" w:lineRule="auto"/>
              <w:ind w:firstLine="480"/>
              <w:jc w:val="left"/>
              <w:rPr>
                <w:rFonts w:hint="eastAsia" w:ascii="宋体" w:hAnsi="宋体" w:eastAsia="宋体" w:cs="宋体"/>
                <w:color w:val="auto"/>
                <w:sz w:val="24"/>
                <w:szCs w:val="24"/>
                <w:highlight w:val="none"/>
                <w:lang w:val="en-US" w:eastAsia="zh-CN"/>
              </w:rPr>
            </w:pPr>
            <w:r>
              <w:rPr>
                <w:rFonts w:hint="eastAsia" w:ascii="Times New Roman" w:hAnsi="宋体" w:cs="Arial"/>
                <w:color w:val="auto"/>
                <w:sz w:val="24"/>
                <w:highlight w:val="none"/>
                <w:lang w:bidi="ar"/>
              </w:rPr>
              <w:t>原料</w:t>
            </w:r>
            <w:r>
              <w:rPr>
                <w:rFonts w:hint="eastAsia" w:ascii="Times New Roman" w:hAnsi="宋体" w:cs="Arial"/>
                <w:color w:val="auto"/>
                <w:sz w:val="24"/>
                <w:highlight w:val="none"/>
                <w:lang w:eastAsia="zh-CN" w:bidi="ar"/>
              </w:rPr>
              <w:t>（白方石）通过给料机运至鄂破机进行破碎，破碎后的物料通过</w:t>
            </w:r>
            <w:r>
              <w:rPr>
                <w:rFonts w:hint="eastAsia" w:ascii="宋体" w:hAnsi="宋体" w:eastAsia="宋体" w:cs="宋体"/>
                <w:color w:val="auto"/>
                <w:sz w:val="24"/>
                <w:szCs w:val="24"/>
                <w:highlight w:val="none"/>
                <w:lang w:val="en-US" w:eastAsia="zh-CN"/>
              </w:rPr>
              <w:t>输送皮带进入制砂机制砂，制砂完成后进入直线筛进行筛分。筛上物（彩砂）进入成品区暂存；筛下物进入雷蒙磨进行研磨，研磨后的钙粉通过包装机包装后进入成品区暂存。</w:t>
            </w:r>
          </w:p>
          <w:p w14:paraId="75F1143A">
            <w:pPr>
              <w:adjustRightInd w:val="0"/>
              <w:snapToGrid w:val="0"/>
              <w:spacing w:line="360" w:lineRule="auto"/>
              <w:ind w:firstLine="480" w:firstLineChars="200"/>
              <w:rPr>
                <w:rFonts w:hint="eastAsia"/>
                <w:color w:val="auto"/>
                <w:sz w:val="24"/>
                <w:highlight w:val="none"/>
                <w:lang w:eastAsia="zh-CN"/>
              </w:rPr>
            </w:pPr>
            <w:r>
              <w:rPr>
                <w:rFonts w:hint="eastAsia" w:ascii="Times New Roman" w:hAnsi="宋体" w:cs="Arial"/>
                <w:color w:val="auto"/>
                <w:sz w:val="24"/>
                <w:highlight w:val="none"/>
                <w:lang w:eastAsia="zh-CN" w:bidi="ar"/>
              </w:rPr>
              <w:t>各加工过程均有噪声和粉尘产生，</w:t>
            </w:r>
            <w:r>
              <w:rPr>
                <w:rFonts w:hint="eastAsia" w:ascii="Times New Roman" w:hAnsi="宋体" w:cs="Arial"/>
                <w:color w:val="auto"/>
                <w:sz w:val="24"/>
                <w:highlight w:val="none"/>
                <w:lang w:val="en-US" w:eastAsia="zh-CN" w:bidi="ar"/>
              </w:rPr>
              <w:t>各产尘点均布置有集气设施，统一收集经车间中央布袋除尘器处理后通过1根15m排气筒（编号DA001，目前为14m，后续需加高至15m）排放。</w:t>
            </w:r>
          </w:p>
          <w:p w14:paraId="6BFE9FBF">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本</w:t>
            </w:r>
            <w:r>
              <w:rPr>
                <w:rFonts w:hint="eastAsia"/>
                <w:color w:val="auto"/>
                <w:sz w:val="24"/>
                <w:highlight w:val="none"/>
                <w:lang w:eastAsia="zh-CN"/>
              </w:rPr>
              <w:t>次新增工程</w:t>
            </w:r>
            <w:r>
              <w:rPr>
                <w:rFonts w:hint="eastAsia"/>
                <w:color w:val="auto"/>
                <w:sz w:val="24"/>
                <w:highlight w:val="none"/>
              </w:rPr>
              <w:t>运营期工艺流程及产污环节图如下：</w:t>
            </w:r>
          </w:p>
          <w:p w14:paraId="38903DB0">
            <w:pPr>
              <w:pStyle w:val="2"/>
              <w:rPr>
                <w:color w:val="auto"/>
                <w:highlight w:val="none"/>
              </w:rPr>
            </w:pPr>
            <w:r>
              <w:rPr>
                <w:color w:val="auto"/>
                <w:highlight w:val="none"/>
              </w:rPr>
              <w:object>
                <v:shape id="_x0000_i1029" o:spt="75" type="#_x0000_t75" style="height:245.65pt;width:399.2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14:paraId="087D1ED9">
            <w:pPr>
              <w:pStyle w:val="45"/>
              <w:jc w:val="center"/>
              <w:rPr>
                <w:rFonts w:eastAsia="等线"/>
                <w:b/>
                <w:color w:val="auto"/>
                <w:highlight w:val="none"/>
              </w:rPr>
            </w:pPr>
            <w:r>
              <w:rPr>
                <w:rFonts w:ascii="Times New Roman" w:cs="Times New Roman"/>
                <w:b/>
                <w:bCs/>
                <w:color w:val="auto"/>
                <w:sz w:val="21"/>
                <w:szCs w:val="21"/>
                <w:highlight w:val="none"/>
              </w:rPr>
              <w:t>图</w:t>
            </w:r>
            <w:r>
              <w:rPr>
                <w:rFonts w:hint="eastAsia" w:ascii="Times New Roman" w:cs="Times New Roman"/>
                <w:b/>
                <w:bCs/>
                <w:color w:val="auto"/>
                <w:sz w:val="21"/>
                <w:szCs w:val="21"/>
                <w:highlight w:val="none"/>
              </w:rPr>
              <w:t>2-</w:t>
            </w:r>
            <w:r>
              <w:rPr>
                <w:rFonts w:hint="eastAsia" w:ascii="Times New Roman" w:cs="Times New Roman"/>
                <w:b/>
                <w:bCs/>
                <w:color w:val="auto"/>
                <w:sz w:val="21"/>
                <w:szCs w:val="21"/>
                <w:highlight w:val="none"/>
                <w:lang w:val="en-US" w:eastAsia="zh-CN"/>
              </w:rPr>
              <w:t>5</w:t>
            </w:r>
            <w:r>
              <w:rPr>
                <w:rFonts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lang w:eastAsia="zh-CN"/>
              </w:rPr>
              <w:t>新增生产线</w:t>
            </w:r>
            <w:r>
              <w:rPr>
                <w:rFonts w:hint="eastAsia" w:ascii="Times New Roman" w:cs="Times New Roman"/>
                <w:b/>
                <w:bCs/>
                <w:color w:val="auto"/>
                <w:sz w:val="21"/>
                <w:szCs w:val="21"/>
                <w:highlight w:val="none"/>
              </w:rPr>
              <w:t>运营期</w:t>
            </w:r>
            <w:r>
              <w:rPr>
                <w:rFonts w:ascii="Times New Roman" w:cs="Times New Roman"/>
                <w:b/>
                <w:bCs/>
                <w:color w:val="auto"/>
                <w:sz w:val="21"/>
                <w:szCs w:val="21"/>
                <w:highlight w:val="none"/>
              </w:rPr>
              <w:t>工艺流程及产污环节图</w:t>
            </w:r>
          </w:p>
          <w:p w14:paraId="30151502">
            <w:pPr>
              <w:snapToGrid w:val="0"/>
              <w:spacing w:line="360" w:lineRule="auto"/>
              <w:ind w:firstLine="482" w:firstLineChars="200"/>
              <w:rPr>
                <w:b/>
                <w:bCs/>
                <w:color w:val="auto"/>
                <w:sz w:val="24"/>
                <w:highlight w:val="none"/>
              </w:rPr>
            </w:pPr>
            <w:r>
              <w:rPr>
                <w:rFonts w:hint="eastAsia"/>
                <w:b/>
                <w:bCs/>
                <w:color w:val="auto"/>
                <w:sz w:val="24"/>
                <w:highlight w:val="none"/>
              </w:rPr>
              <w:t>工艺流程简述：</w:t>
            </w:r>
          </w:p>
          <w:p w14:paraId="1CE3F8A5">
            <w:pPr>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本次新增腻子粉、石膏粉和砂浆生产线工艺流程基本相似，仅原料种类和配比不同，故本次统一进行描述：</w:t>
            </w:r>
          </w:p>
          <w:p w14:paraId="22925FFA">
            <w:pPr>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结合产品种类不同，按照比例将原料通过提升机送至搅拌机内进行混合搅拌，混合完成后通过自动包装机打包，成品通过叉车转运至成品区暂存。其中腻子粉、石膏粉生产过程的粉尘经集气设施收集后，通过布袋除尘器处理后</w:t>
            </w:r>
            <w:r>
              <w:rPr>
                <w:rFonts w:hint="default" w:ascii="Times New Roman" w:hAnsi="Times New Roman" w:cs="Times New Roman"/>
                <w:color w:val="auto"/>
                <w:sz w:val="24"/>
                <w:highlight w:val="none"/>
                <w:lang w:val="en-US" w:eastAsia="zh-CN"/>
              </w:rPr>
              <w:t>经1</w:t>
            </w:r>
            <w:r>
              <w:rPr>
                <w:rFonts w:hint="eastAsia" w:ascii="宋体" w:hAnsi="宋体" w:cs="宋体"/>
                <w:color w:val="auto"/>
                <w:sz w:val="24"/>
                <w:highlight w:val="none"/>
                <w:lang w:val="en-US" w:eastAsia="zh-CN"/>
              </w:rPr>
              <w:t>根</w:t>
            </w:r>
            <w:r>
              <w:rPr>
                <w:rFonts w:hint="default" w:ascii="Times New Roman" w:hAnsi="Times New Roman" w:cs="Times New Roman"/>
                <w:color w:val="auto"/>
                <w:sz w:val="24"/>
                <w:highlight w:val="none"/>
                <w:lang w:val="en-US" w:eastAsia="zh-CN"/>
              </w:rPr>
              <w:t>15m排气筒（DA002）排放</w:t>
            </w:r>
            <w:r>
              <w:rPr>
                <w:rFonts w:hint="eastAsia" w:ascii="宋体" w:hAnsi="宋体" w:cs="宋体"/>
                <w:color w:val="auto"/>
                <w:sz w:val="24"/>
                <w:highlight w:val="none"/>
                <w:lang w:val="en-US" w:eastAsia="zh-CN"/>
              </w:rPr>
              <w:t>；砂浆生产线粉尘经集气设施收集后，通过布袋除尘器处理后经</w:t>
            </w:r>
            <w:r>
              <w:rPr>
                <w:rFonts w:hint="default" w:ascii="Times New Roman" w:hAnsi="Times New Roman" w:cs="Times New Roman"/>
                <w:color w:val="auto"/>
                <w:sz w:val="24"/>
                <w:highlight w:val="none"/>
                <w:lang w:val="en-US" w:eastAsia="zh-CN"/>
              </w:rPr>
              <w:t>1根15m排气筒（DA003）排放</w:t>
            </w:r>
            <w:r>
              <w:rPr>
                <w:rFonts w:hint="eastAsia" w:ascii="Times New Roman" w:hAnsi="Times New Roman" w:cs="Times New Roman"/>
                <w:color w:val="auto"/>
                <w:sz w:val="24"/>
                <w:highlight w:val="none"/>
                <w:lang w:val="en-US" w:eastAsia="zh-CN"/>
              </w:rPr>
              <w:t>。</w:t>
            </w:r>
          </w:p>
          <w:p w14:paraId="058FC2F0">
            <w:pPr>
              <w:spacing w:line="360" w:lineRule="auto"/>
              <w:ind w:firstLine="482" w:firstLineChars="200"/>
              <w:rPr>
                <w:b/>
                <w:color w:val="auto"/>
                <w:sz w:val="24"/>
                <w:highlight w:val="none"/>
              </w:rPr>
            </w:pPr>
            <w:r>
              <w:rPr>
                <w:rFonts w:hint="eastAsia"/>
                <w:b/>
                <w:bCs/>
                <w:color w:val="auto"/>
                <w:sz w:val="24"/>
                <w:highlight w:val="none"/>
              </w:rPr>
              <w:t>2、</w:t>
            </w:r>
            <w:r>
              <w:rPr>
                <w:rFonts w:hint="eastAsia"/>
                <w:b/>
                <w:color w:val="auto"/>
                <w:sz w:val="24"/>
                <w:highlight w:val="none"/>
              </w:rPr>
              <w:t>主要产排污环节</w:t>
            </w:r>
          </w:p>
          <w:p w14:paraId="5A96B2A1">
            <w:pPr>
              <w:adjustRightInd w:val="0"/>
              <w:snapToGrid w:val="0"/>
              <w:spacing w:line="360" w:lineRule="auto"/>
              <w:ind w:firstLine="482"/>
              <w:rPr>
                <w:color w:val="auto"/>
                <w:sz w:val="24"/>
                <w:highlight w:val="none"/>
              </w:rPr>
            </w:pPr>
            <w:r>
              <w:rPr>
                <w:rFonts w:hint="eastAsia"/>
                <w:color w:val="auto"/>
                <w:sz w:val="24"/>
                <w:highlight w:val="none"/>
              </w:rPr>
              <w:t>1）</w:t>
            </w:r>
            <w:r>
              <w:rPr>
                <w:color w:val="auto"/>
                <w:sz w:val="24"/>
                <w:highlight w:val="none"/>
              </w:rPr>
              <w:t>废气</w:t>
            </w:r>
            <w:r>
              <w:rPr>
                <w:rFonts w:hint="eastAsia"/>
                <w:color w:val="auto"/>
                <w:sz w:val="24"/>
                <w:highlight w:val="none"/>
                <w:lang w:eastAsia="zh-CN"/>
              </w:rPr>
              <w:t>：</w:t>
            </w:r>
            <w:r>
              <w:rPr>
                <w:rFonts w:hint="eastAsia"/>
                <w:color w:val="auto"/>
                <w:sz w:val="24"/>
                <w:highlight w:val="none"/>
              </w:rPr>
              <w:t>本项目大气污染物包括堆存及装卸扬尘、加工粉尘、运输扬尘及车辆的燃油废气。</w:t>
            </w:r>
          </w:p>
          <w:p w14:paraId="0111612F">
            <w:pPr>
              <w:adjustRightInd w:val="0"/>
              <w:snapToGrid w:val="0"/>
              <w:spacing w:line="360" w:lineRule="auto"/>
              <w:ind w:firstLine="482"/>
              <w:rPr>
                <w:color w:val="auto"/>
                <w:sz w:val="24"/>
                <w:highlight w:val="none"/>
              </w:rPr>
            </w:pPr>
            <w:r>
              <w:rPr>
                <w:color w:val="auto"/>
                <w:sz w:val="24"/>
                <w:highlight w:val="none"/>
              </w:rPr>
              <w:t>2</w:t>
            </w:r>
            <w:r>
              <w:rPr>
                <w:rFonts w:hint="eastAsia"/>
                <w:color w:val="auto"/>
                <w:sz w:val="24"/>
                <w:highlight w:val="none"/>
              </w:rPr>
              <w:t>）</w:t>
            </w:r>
            <w:r>
              <w:rPr>
                <w:color w:val="auto"/>
                <w:sz w:val="24"/>
                <w:highlight w:val="none"/>
              </w:rPr>
              <w:t>废水</w:t>
            </w:r>
            <w:r>
              <w:rPr>
                <w:rFonts w:hint="eastAsia"/>
                <w:color w:val="auto"/>
                <w:sz w:val="24"/>
                <w:highlight w:val="none"/>
                <w:lang w:eastAsia="zh-CN"/>
              </w:rPr>
              <w:t>：</w:t>
            </w:r>
            <w:r>
              <w:rPr>
                <w:color w:val="auto"/>
                <w:sz w:val="24"/>
                <w:highlight w:val="none"/>
              </w:rPr>
              <w:t>废水包括</w:t>
            </w:r>
            <w:r>
              <w:rPr>
                <w:rFonts w:hint="eastAsia"/>
                <w:color w:val="auto"/>
                <w:sz w:val="24"/>
                <w:highlight w:val="none"/>
              </w:rPr>
              <w:t>车辆冲洗废水、</w:t>
            </w:r>
            <w:r>
              <w:rPr>
                <w:color w:val="auto"/>
                <w:sz w:val="24"/>
                <w:highlight w:val="none"/>
              </w:rPr>
              <w:t>道路地面抑尘洒水</w:t>
            </w:r>
            <w:r>
              <w:rPr>
                <w:rFonts w:hint="eastAsia"/>
                <w:color w:val="auto"/>
                <w:sz w:val="24"/>
                <w:highlight w:val="none"/>
                <w:lang w:eastAsia="zh-CN"/>
              </w:rPr>
              <w:t>和</w:t>
            </w:r>
            <w:r>
              <w:rPr>
                <w:rFonts w:hint="eastAsia"/>
                <w:color w:val="auto"/>
                <w:sz w:val="24"/>
                <w:highlight w:val="none"/>
              </w:rPr>
              <w:t>生活污水</w:t>
            </w:r>
            <w:r>
              <w:rPr>
                <w:color w:val="auto"/>
                <w:sz w:val="24"/>
                <w:highlight w:val="none"/>
              </w:rPr>
              <w:t>。</w:t>
            </w:r>
          </w:p>
          <w:p w14:paraId="64117E57">
            <w:pPr>
              <w:adjustRightInd w:val="0"/>
              <w:snapToGrid w:val="0"/>
              <w:spacing w:line="360" w:lineRule="auto"/>
              <w:ind w:firstLine="482"/>
              <w:rPr>
                <w:bCs/>
                <w:color w:val="auto"/>
                <w:sz w:val="24"/>
                <w:highlight w:val="none"/>
              </w:rPr>
            </w:pPr>
            <w:r>
              <w:rPr>
                <w:color w:val="auto"/>
                <w:sz w:val="24"/>
                <w:highlight w:val="none"/>
              </w:rPr>
              <w:t>3</w:t>
            </w:r>
            <w:r>
              <w:rPr>
                <w:rFonts w:hint="eastAsia"/>
                <w:color w:val="auto"/>
                <w:sz w:val="24"/>
                <w:highlight w:val="none"/>
              </w:rPr>
              <w:t>）</w:t>
            </w:r>
            <w:r>
              <w:rPr>
                <w:color w:val="auto"/>
                <w:sz w:val="24"/>
                <w:highlight w:val="none"/>
              </w:rPr>
              <w:t>噪声</w:t>
            </w:r>
            <w:r>
              <w:rPr>
                <w:rFonts w:hint="eastAsia"/>
                <w:color w:val="auto"/>
                <w:sz w:val="24"/>
                <w:highlight w:val="none"/>
              </w:rPr>
              <w:t>：</w:t>
            </w:r>
            <w:r>
              <w:rPr>
                <w:rFonts w:hint="eastAsia"/>
                <w:bCs/>
                <w:color w:val="auto"/>
                <w:sz w:val="24"/>
                <w:highlight w:val="none"/>
              </w:rPr>
              <w:t>本项目</w:t>
            </w:r>
            <w:r>
              <w:rPr>
                <w:bCs/>
                <w:color w:val="auto"/>
                <w:sz w:val="24"/>
                <w:highlight w:val="none"/>
              </w:rPr>
              <w:t>噪声源主要</w:t>
            </w:r>
            <w:r>
              <w:rPr>
                <w:rFonts w:hint="eastAsia"/>
                <w:bCs/>
                <w:color w:val="auto"/>
                <w:sz w:val="24"/>
                <w:highlight w:val="none"/>
              </w:rPr>
              <w:t>来自</w:t>
            </w:r>
            <w:r>
              <w:rPr>
                <w:rFonts w:hint="eastAsia"/>
                <w:bCs/>
                <w:color w:val="auto"/>
                <w:sz w:val="24"/>
                <w:highlight w:val="none"/>
                <w:lang w:eastAsia="zh-CN"/>
              </w:rPr>
              <w:t>生产</w:t>
            </w:r>
            <w:r>
              <w:rPr>
                <w:rFonts w:hint="eastAsia"/>
                <w:bCs/>
                <w:color w:val="auto"/>
                <w:sz w:val="24"/>
                <w:highlight w:val="none"/>
              </w:rPr>
              <w:t>设备及运输车辆</w:t>
            </w:r>
            <w:r>
              <w:rPr>
                <w:bCs/>
                <w:color w:val="auto"/>
                <w:sz w:val="24"/>
                <w:highlight w:val="none"/>
              </w:rPr>
              <w:t>等</w:t>
            </w:r>
            <w:r>
              <w:rPr>
                <w:rFonts w:hint="eastAsia"/>
                <w:bCs/>
                <w:color w:val="auto"/>
                <w:sz w:val="24"/>
                <w:highlight w:val="none"/>
              </w:rPr>
              <w:t>机械设备。</w:t>
            </w:r>
          </w:p>
          <w:p w14:paraId="2697C7DD">
            <w:pPr>
              <w:adjustRightInd w:val="0"/>
              <w:snapToGrid w:val="0"/>
              <w:spacing w:line="360" w:lineRule="auto"/>
              <w:ind w:firstLine="480" w:firstLineChars="200"/>
              <w:rPr>
                <w:rFonts w:hint="eastAsia" w:hAnsi="宋体"/>
                <w:color w:val="auto"/>
                <w:sz w:val="24"/>
                <w:highlight w:val="none"/>
                <w:lang w:eastAsia="zh-CN"/>
              </w:rPr>
            </w:pPr>
            <w:r>
              <w:rPr>
                <w:color w:val="auto"/>
                <w:sz w:val="24"/>
                <w:highlight w:val="none"/>
              </w:rPr>
              <w:t>4</w:t>
            </w:r>
            <w:r>
              <w:rPr>
                <w:rFonts w:hint="eastAsia"/>
                <w:color w:val="auto"/>
                <w:sz w:val="24"/>
                <w:highlight w:val="none"/>
              </w:rPr>
              <w:t>）</w:t>
            </w:r>
            <w:r>
              <w:rPr>
                <w:color w:val="auto"/>
                <w:sz w:val="24"/>
                <w:highlight w:val="none"/>
              </w:rPr>
              <w:t>固体废物</w:t>
            </w:r>
            <w:r>
              <w:rPr>
                <w:rFonts w:hint="eastAsia"/>
                <w:color w:val="auto"/>
                <w:sz w:val="24"/>
                <w:highlight w:val="none"/>
              </w:rPr>
              <w:t>：</w:t>
            </w:r>
            <w:r>
              <w:rPr>
                <w:rFonts w:hint="eastAsia" w:hAnsi="宋体"/>
                <w:color w:val="auto"/>
                <w:sz w:val="24"/>
                <w:highlight w:val="none"/>
                <w:lang w:eastAsia="zh-CN"/>
              </w:rPr>
              <w:t>除生活垃圾外，</w:t>
            </w:r>
            <w:r>
              <w:rPr>
                <w:rFonts w:hint="eastAsia" w:hAnsi="宋体"/>
                <w:color w:val="auto"/>
                <w:sz w:val="24"/>
                <w:highlight w:val="none"/>
              </w:rPr>
              <w:t>项目运营期固废主要为收集尘</w:t>
            </w:r>
            <w:r>
              <w:rPr>
                <w:rFonts w:hint="eastAsia" w:hAnsi="宋体"/>
                <w:color w:val="auto"/>
                <w:sz w:val="24"/>
                <w:highlight w:val="none"/>
                <w:lang w:eastAsia="zh-CN"/>
              </w:rPr>
              <w:t>、</w:t>
            </w:r>
            <w:r>
              <w:rPr>
                <w:rFonts w:hint="eastAsia" w:hAnsi="宋体"/>
                <w:color w:val="auto"/>
                <w:sz w:val="24"/>
                <w:highlight w:val="none"/>
              </w:rPr>
              <w:t>餐厨废弃物</w:t>
            </w:r>
            <w:r>
              <w:rPr>
                <w:rFonts w:hint="eastAsia" w:hAnsi="宋体"/>
                <w:color w:val="auto"/>
                <w:sz w:val="24"/>
                <w:highlight w:val="none"/>
                <w:lang w:eastAsia="zh-CN"/>
              </w:rPr>
              <w:t>、</w:t>
            </w:r>
            <w:r>
              <w:rPr>
                <w:rFonts w:hint="eastAsia" w:hAnsi="宋体"/>
                <w:color w:val="auto"/>
                <w:sz w:val="24"/>
                <w:highlight w:val="none"/>
              </w:rPr>
              <w:t>废油脂</w:t>
            </w:r>
            <w:r>
              <w:rPr>
                <w:rFonts w:hint="eastAsia" w:hAnsi="宋体"/>
                <w:color w:val="auto"/>
                <w:sz w:val="24"/>
                <w:highlight w:val="none"/>
                <w:lang w:eastAsia="zh-CN"/>
              </w:rPr>
              <w:t>、废编织袋、</w:t>
            </w:r>
            <w:r>
              <w:rPr>
                <w:rFonts w:hint="eastAsia" w:hAnsi="宋体"/>
                <w:color w:val="auto"/>
                <w:sz w:val="24"/>
                <w:highlight w:val="none"/>
              </w:rPr>
              <w:t>废</w:t>
            </w:r>
            <w:r>
              <w:rPr>
                <w:rFonts w:hint="eastAsia" w:hAnsi="宋体"/>
                <w:color w:val="auto"/>
                <w:sz w:val="24"/>
                <w:highlight w:val="none"/>
                <w:lang w:eastAsia="zh-CN"/>
              </w:rPr>
              <w:t>润滑油、废油桶、含油手套和棉纱等。</w:t>
            </w:r>
          </w:p>
        </w:tc>
      </w:tr>
      <w:tr w14:paraId="11C4A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4E06D739">
            <w:pPr>
              <w:pStyle w:val="30"/>
              <w:adjustRightInd w:val="0"/>
              <w:snapToGrid w:val="0"/>
              <w:spacing w:before="0" w:beforeAutospacing="0" w:after="0" w:afterAutospacing="0"/>
              <w:jc w:val="both"/>
              <w:rPr>
                <w:rFonts w:cs="宋体"/>
                <w:color w:val="auto"/>
                <w:szCs w:val="24"/>
                <w:highlight w:val="none"/>
              </w:rPr>
            </w:pPr>
            <w:r>
              <w:rPr>
                <w:rFonts w:hint="eastAsia" w:cs="宋体"/>
                <w:bCs/>
                <w:color w:val="auto"/>
                <w:kern w:val="2"/>
                <w:szCs w:val="24"/>
                <w:highlight w:val="none"/>
              </w:rPr>
              <w:t>与项目有关的原有环境污染问题</w:t>
            </w:r>
          </w:p>
        </w:tc>
        <w:tc>
          <w:tcPr>
            <w:tcW w:w="8604" w:type="dxa"/>
          </w:tcPr>
          <w:p w14:paraId="16BCD1E9">
            <w:pPr>
              <w:pStyle w:val="45"/>
              <w:spacing w:line="360" w:lineRule="auto"/>
              <w:ind w:firstLine="480" w:firstLineChars="200"/>
              <w:jc w:val="both"/>
              <w:rPr>
                <w:color w:val="auto"/>
                <w:highlight w:val="none"/>
              </w:rPr>
            </w:pPr>
            <w:r>
              <w:rPr>
                <w:rFonts w:ascii="Times New Roman" w:cs="Times New Roman"/>
                <w:color w:val="auto"/>
                <w:highlight w:val="none"/>
              </w:rPr>
              <w:t>1、</w:t>
            </w:r>
            <w:r>
              <w:rPr>
                <w:rFonts w:hint="eastAsia"/>
                <w:color w:val="auto"/>
                <w:highlight w:val="none"/>
              </w:rPr>
              <w:t>现有工程环保手续情况</w:t>
            </w:r>
          </w:p>
          <w:p w14:paraId="72B4393A">
            <w:pPr>
              <w:adjustRightInd w:val="0"/>
              <w:snapToGrid w:val="0"/>
              <w:spacing w:line="360" w:lineRule="auto"/>
              <w:ind w:firstLine="480" w:firstLineChars="200"/>
              <w:rPr>
                <w:rFonts w:hint="eastAsia" w:eastAsia="宋体"/>
                <w:color w:val="auto"/>
                <w:kern w:val="0"/>
                <w:sz w:val="24"/>
                <w:highlight w:val="none"/>
                <w:lang w:val="en-US" w:eastAsia="zh-CN"/>
              </w:rPr>
            </w:pPr>
            <w:r>
              <w:rPr>
                <w:rFonts w:hint="eastAsia"/>
                <w:color w:val="auto"/>
                <w:kern w:val="0"/>
                <w:sz w:val="24"/>
                <w:highlight w:val="none"/>
                <w:lang w:val="en-US" w:eastAsia="zh-CN"/>
              </w:rPr>
              <w:t>汉中金塔矿业开发有限公司多年来主要进行彩砂和钙粉的生产加工。厂区现有的“汉中金塔矿业开发有限公司30万吨天然彩砂加工项目”</w:t>
            </w:r>
            <w:r>
              <w:rPr>
                <w:rFonts w:hint="eastAsia"/>
                <w:color w:val="auto"/>
                <w:kern w:val="0"/>
                <w:sz w:val="24"/>
                <w:highlight w:val="none"/>
                <w:lang w:eastAsia="zh-CN"/>
              </w:rPr>
              <w:t>已</w:t>
            </w:r>
            <w:r>
              <w:rPr>
                <w:rFonts w:hint="eastAsia"/>
                <w:color w:val="auto"/>
                <w:kern w:val="0"/>
                <w:sz w:val="24"/>
                <w:highlight w:val="none"/>
              </w:rPr>
              <w:t>于20</w:t>
            </w:r>
            <w:r>
              <w:rPr>
                <w:rFonts w:hint="eastAsia"/>
                <w:color w:val="auto"/>
                <w:kern w:val="0"/>
                <w:sz w:val="24"/>
                <w:highlight w:val="none"/>
                <w:lang w:val="en-US" w:eastAsia="zh-CN"/>
              </w:rPr>
              <w:t>21</w:t>
            </w:r>
            <w:r>
              <w:rPr>
                <w:rFonts w:hint="eastAsia"/>
                <w:color w:val="auto"/>
                <w:kern w:val="0"/>
                <w:sz w:val="24"/>
                <w:highlight w:val="none"/>
              </w:rPr>
              <w:t>年</w:t>
            </w:r>
            <w:r>
              <w:rPr>
                <w:rFonts w:hint="eastAsia"/>
                <w:color w:val="auto"/>
                <w:kern w:val="0"/>
                <w:sz w:val="24"/>
                <w:highlight w:val="none"/>
                <w:lang w:val="en-US" w:eastAsia="zh-CN"/>
              </w:rPr>
              <w:t>5</w:t>
            </w:r>
            <w:r>
              <w:rPr>
                <w:rFonts w:hint="eastAsia"/>
                <w:color w:val="auto"/>
                <w:kern w:val="0"/>
                <w:sz w:val="24"/>
                <w:highlight w:val="none"/>
              </w:rPr>
              <w:t>月</w:t>
            </w:r>
            <w:r>
              <w:rPr>
                <w:rFonts w:hint="eastAsia"/>
                <w:color w:val="auto"/>
                <w:kern w:val="0"/>
                <w:sz w:val="24"/>
                <w:highlight w:val="none"/>
                <w:lang w:val="en-US" w:eastAsia="zh-CN"/>
              </w:rPr>
              <w:t>21</w:t>
            </w:r>
            <w:r>
              <w:rPr>
                <w:rFonts w:hint="eastAsia"/>
                <w:color w:val="auto"/>
                <w:kern w:val="0"/>
                <w:sz w:val="24"/>
                <w:highlight w:val="none"/>
              </w:rPr>
              <w:t>日取得汉中市</w:t>
            </w:r>
            <w:r>
              <w:rPr>
                <w:rFonts w:hint="eastAsia"/>
                <w:color w:val="auto"/>
                <w:kern w:val="0"/>
                <w:sz w:val="24"/>
                <w:highlight w:val="none"/>
                <w:lang w:eastAsia="zh-CN"/>
              </w:rPr>
              <w:t>生态环境局洋县分局</w:t>
            </w:r>
            <w:r>
              <w:rPr>
                <w:rFonts w:hint="eastAsia"/>
                <w:color w:val="auto"/>
                <w:kern w:val="0"/>
                <w:sz w:val="24"/>
                <w:highlight w:val="none"/>
              </w:rPr>
              <w:t>出具的环境影响报告</w:t>
            </w:r>
            <w:r>
              <w:rPr>
                <w:rFonts w:hint="eastAsia"/>
                <w:color w:val="auto"/>
                <w:kern w:val="0"/>
                <w:sz w:val="24"/>
                <w:highlight w:val="none"/>
                <w:lang w:eastAsia="zh-CN"/>
              </w:rPr>
              <w:t>表</w:t>
            </w:r>
            <w:r>
              <w:rPr>
                <w:rFonts w:hint="eastAsia"/>
                <w:color w:val="auto"/>
                <w:kern w:val="0"/>
                <w:sz w:val="24"/>
                <w:highlight w:val="none"/>
              </w:rPr>
              <w:t>批复（</w:t>
            </w:r>
            <w:r>
              <w:rPr>
                <w:rFonts w:hint="eastAsia"/>
                <w:color w:val="auto"/>
                <w:kern w:val="0"/>
                <w:sz w:val="24"/>
                <w:highlight w:val="none"/>
                <w:lang w:eastAsia="zh-CN"/>
              </w:rPr>
              <w:t>洋</w:t>
            </w:r>
            <w:r>
              <w:rPr>
                <w:rFonts w:hint="eastAsia"/>
                <w:color w:val="auto"/>
                <w:kern w:val="0"/>
                <w:sz w:val="24"/>
                <w:highlight w:val="none"/>
              </w:rPr>
              <w:t>环</w:t>
            </w:r>
            <w:r>
              <w:rPr>
                <w:rFonts w:hint="eastAsia"/>
                <w:color w:val="auto"/>
                <w:kern w:val="0"/>
                <w:sz w:val="24"/>
                <w:highlight w:val="none"/>
                <w:lang w:eastAsia="zh-CN"/>
              </w:rPr>
              <w:t>评</w:t>
            </w:r>
            <w:r>
              <w:rPr>
                <w:rFonts w:hint="eastAsia"/>
                <w:color w:val="auto"/>
                <w:kern w:val="0"/>
                <w:sz w:val="24"/>
                <w:highlight w:val="none"/>
              </w:rPr>
              <w:t>批字[20</w:t>
            </w:r>
            <w:r>
              <w:rPr>
                <w:rFonts w:hint="eastAsia"/>
                <w:color w:val="auto"/>
                <w:kern w:val="0"/>
                <w:sz w:val="24"/>
                <w:highlight w:val="none"/>
                <w:lang w:val="en-US" w:eastAsia="zh-CN"/>
              </w:rPr>
              <w:t>21</w:t>
            </w:r>
            <w:r>
              <w:rPr>
                <w:rFonts w:hint="eastAsia"/>
                <w:color w:val="auto"/>
                <w:kern w:val="0"/>
                <w:sz w:val="24"/>
                <w:highlight w:val="none"/>
              </w:rPr>
              <w:t>]</w:t>
            </w:r>
            <w:r>
              <w:rPr>
                <w:rFonts w:hint="eastAsia"/>
                <w:color w:val="auto"/>
                <w:kern w:val="0"/>
                <w:sz w:val="24"/>
                <w:highlight w:val="none"/>
                <w:lang w:val="en-US" w:eastAsia="zh-CN"/>
              </w:rPr>
              <w:t>6</w:t>
            </w:r>
            <w:r>
              <w:rPr>
                <w:rFonts w:hint="eastAsia"/>
                <w:color w:val="auto"/>
                <w:kern w:val="0"/>
                <w:sz w:val="24"/>
                <w:highlight w:val="none"/>
              </w:rPr>
              <w:t>号）</w:t>
            </w:r>
            <w:r>
              <w:rPr>
                <w:rFonts w:hint="eastAsia"/>
                <w:color w:val="auto"/>
                <w:kern w:val="0"/>
                <w:sz w:val="24"/>
                <w:highlight w:val="none"/>
                <w:lang w:eastAsia="zh-CN"/>
              </w:rPr>
              <w:t>，但截至目前一直未进行</w:t>
            </w:r>
            <w:r>
              <w:rPr>
                <w:rFonts w:hint="eastAsia"/>
                <w:color w:val="auto"/>
                <w:kern w:val="0"/>
                <w:sz w:val="24"/>
                <w:highlight w:val="none"/>
              </w:rPr>
              <w:t>竣工环保验收</w:t>
            </w:r>
            <w:r>
              <w:rPr>
                <w:rFonts w:hint="eastAsia"/>
                <w:color w:val="auto"/>
                <w:kern w:val="0"/>
                <w:sz w:val="24"/>
                <w:highlight w:val="none"/>
                <w:lang w:eastAsia="zh-CN"/>
              </w:rPr>
              <w:t>和排污许可证申领。</w:t>
            </w:r>
          </w:p>
          <w:p w14:paraId="6FC51691">
            <w:pPr>
              <w:pStyle w:val="45"/>
              <w:spacing w:line="360" w:lineRule="auto"/>
              <w:ind w:firstLine="480" w:firstLineChars="200"/>
              <w:jc w:val="both"/>
              <w:rPr>
                <w:rFonts w:ascii="Times New Roman" w:cs="Times New Roman"/>
                <w:bCs/>
                <w:color w:val="auto"/>
                <w:szCs w:val="21"/>
                <w:highlight w:val="none"/>
              </w:rPr>
            </w:pPr>
            <w:r>
              <w:rPr>
                <w:rFonts w:hint="eastAsia" w:ascii="Times New Roman" w:cs="Times New Roman"/>
                <w:bCs/>
                <w:color w:val="auto"/>
                <w:szCs w:val="21"/>
                <w:highlight w:val="none"/>
              </w:rPr>
              <w:t>2、现有工程排污情况</w:t>
            </w:r>
          </w:p>
          <w:p w14:paraId="267CC423">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根据</w:t>
            </w:r>
            <w:r>
              <w:rPr>
                <w:rFonts w:hint="eastAsia"/>
                <w:color w:val="auto"/>
                <w:sz w:val="24"/>
                <w:highlight w:val="none"/>
                <w:lang w:eastAsia="zh-CN"/>
              </w:rPr>
              <w:t>现有工程监测数据、</w:t>
            </w:r>
            <w:r>
              <w:rPr>
                <w:rFonts w:hint="eastAsia"/>
                <w:color w:val="auto"/>
                <w:sz w:val="24"/>
                <w:highlight w:val="none"/>
              </w:rPr>
              <w:t>日常经营管理台账</w:t>
            </w:r>
            <w:r>
              <w:rPr>
                <w:rFonts w:hint="eastAsia"/>
                <w:color w:val="auto"/>
                <w:sz w:val="24"/>
                <w:highlight w:val="none"/>
                <w:lang w:eastAsia="zh-CN"/>
              </w:rPr>
              <w:t>及原环评等相关内容，</w:t>
            </w:r>
            <w:r>
              <w:rPr>
                <w:rFonts w:hint="eastAsia"/>
                <w:color w:val="auto"/>
                <w:sz w:val="24"/>
                <w:highlight w:val="none"/>
              </w:rPr>
              <w:t>目前厂区废水、废气及固废产排情况如下：</w:t>
            </w:r>
          </w:p>
          <w:p w14:paraId="38AB96D8">
            <w:pPr>
              <w:adjustRightInd w:val="0"/>
              <w:snapToGrid w:val="0"/>
              <w:spacing w:line="360" w:lineRule="auto"/>
              <w:ind w:firstLine="480" w:firstLineChars="200"/>
              <w:rPr>
                <w:color w:val="auto"/>
                <w:kern w:val="0"/>
                <w:sz w:val="24"/>
                <w:highlight w:val="none"/>
              </w:rPr>
            </w:pPr>
            <w:r>
              <w:rPr>
                <w:color w:val="auto"/>
                <w:kern w:val="0"/>
                <w:sz w:val="24"/>
                <w:highlight w:val="none"/>
              </w:rPr>
              <w:t>（1）废气</w:t>
            </w:r>
          </w:p>
          <w:p w14:paraId="3CD66881">
            <w:pPr>
              <w:adjustRightInd w:val="0"/>
              <w:snapToGrid w:val="0"/>
              <w:spacing w:line="360" w:lineRule="auto"/>
              <w:ind w:firstLine="480" w:firstLineChars="200"/>
              <w:rPr>
                <w:bCs/>
                <w:color w:val="auto"/>
                <w:sz w:val="24"/>
                <w:highlight w:val="none"/>
              </w:rPr>
            </w:pPr>
            <w:r>
              <w:rPr>
                <w:rFonts w:hint="eastAsia"/>
                <w:bCs/>
                <w:color w:val="auto"/>
                <w:sz w:val="24"/>
                <w:highlight w:val="none"/>
              </w:rPr>
              <w:t>现有工程</w:t>
            </w:r>
            <w:r>
              <w:rPr>
                <w:rFonts w:hint="eastAsia"/>
                <w:bCs/>
                <w:color w:val="auto"/>
                <w:sz w:val="24"/>
                <w:highlight w:val="none"/>
                <w:lang w:eastAsia="zh-CN"/>
              </w:rPr>
              <w:t>废气</w:t>
            </w:r>
            <w:r>
              <w:rPr>
                <w:rFonts w:hint="eastAsia"/>
                <w:bCs/>
                <w:color w:val="auto"/>
                <w:sz w:val="24"/>
                <w:highlight w:val="none"/>
              </w:rPr>
              <w:t>主要大气污染物为</w:t>
            </w:r>
            <w:r>
              <w:rPr>
                <w:rFonts w:hint="eastAsia"/>
                <w:bCs/>
                <w:color w:val="auto"/>
                <w:sz w:val="24"/>
                <w:highlight w:val="none"/>
                <w:lang w:eastAsia="zh-CN"/>
              </w:rPr>
              <w:t>加工粉尘（包括破碎、制砂、筛分及雷蒙过程）、装卸及堆存粉尘、运输扬尘和食堂油烟</w:t>
            </w:r>
            <w:r>
              <w:rPr>
                <w:rFonts w:hint="eastAsia"/>
                <w:bCs/>
                <w:color w:val="auto"/>
                <w:sz w:val="24"/>
                <w:highlight w:val="none"/>
              </w:rPr>
              <w:t>。</w:t>
            </w:r>
          </w:p>
          <w:p w14:paraId="305E9BB5">
            <w:pPr>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rPr>
              <w:t>①</w:t>
            </w:r>
            <w:r>
              <w:rPr>
                <w:rFonts w:hint="eastAsia" w:ascii="宋体" w:hAnsi="宋体" w:cs="宋体"/>
                <w:bCs/>
                <w:color w:val="auto"/>
                <w:sz w:val="24"/>
                <w:highlight w:val="none"/>
                <w:lang w:eastAsia="zh-CN"/>
              </w:rPr>
              <w:t>加工粉尘</w:t>
            </w:r>
          </w:p>
          <w:p w14:paraId="4A1931D6">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eastAsia="zh-CN"/>
              </w:rPr>
              <w:t>现有工程运行期间加工粉尘排放量约为</w:t>
            </w:r>
            <w:r>
              <w:rPr>
                <w:rFonts w:hint="eastAsia"/>
                <w:bCs/>
                <w:color w:val="auto"/>
                <w:sz w:val="24"/>
                <w:highlight w:val="none"/>
                <w:lang w:val="en-US" w:eastAsia="zh-CN"/>
              </w:rPr>
              <w:t>1.45t/a，统一收集后经车间中央布袋除尘器处理后通过1根15m排气筒（编号DA001，目前为14m，后续需加高至15m）排放。</w:t>
            </w:r>
          </w:p>
          <w:p w14:paraId="2C00C7AD">
            <w:pPr>
              <w:pStyle w:val="10"/>
              <w:spacing w:line="360" w:lineRule="auto"/>
              <w:ind w:left="0" w:leftChars="0" w:firstLine="480" w:firstLineChars="200"/>
              <w:rPr>
                <w:rFonts w:hint="default"/>
                <w:color w:val="auto"/>
                <w:highlight w:val="none"/>
                <w:lang w:val="en-US" w:eastAsia="zh-CN"/>
              </w:rPr>
            </w:pPr>
            <w:r>
              <w:rPr>
                <w:rFonts w:hint="eastAsia" w:ascii="宋体" w:hAnsi="宋体" w:eastAsia="宋体" w:cs="宋体"/>
                <w:color w:val="auto"/>
                <w:highlight w:val="none"/>
                <w:lang w:val="en-US" w:eastAsia="zh-CN"/>
              </w:rPr>
              <w:t>②</w:t>
            </w:r>
            <w:r>
              <w:rPr>
                <w:rFonts w:hint="eastAsia"/>
                <w:color w:val="auto"/>
                <w:highlight w:val="none"/>
                <w:lang w:val="en-US" w:eastAsia="zh-CN"/>
              </w:rPr>
              <w:t>装卸及粉尘</w:t>
            </w:r>
          </w:p>
          <w:p w14:paraId="3BF889EC">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eastAsia="zh-CN"/>
              </w:rPr>
              <w:t>现有工程运行期间装卸及</w:t>
            </w:r>
            <w:r>
              <w:rPr>
                <w:rFonts w:hint="eastAsia"/>
                <w:color w:val="auto"/>
                <w:sz w:val="24"/>
                <w:szCs w:val="24"/>
                <w:highlight w:val="none"/>
                <w:lang w:val="en-US" w:eastAsia="zh-CN"/>
              </w:rPr>
              <w:t>堆存粉尘</w:t>
            </w:r>
            <w:r>
              <w:rPr>
                <w:rFonts w:hint="eastAsia"/>
                <w:bCs/>
                <w:color w:val="auto"/>
                <w:sz w:val="24"/>
                <w:highlight w:val="none"/>
                <w:lang w:eastAsia="zh-CN"/>
              </w:rPr>
              <w:t>排放量约为</w:t>
            </w:r>
            <w:r>
              <w:rPr>
                <w:rFonts w:hint="eastAsia"/>
                <w:bCs/>
                <w:color w:val="auto"/>
                <w:sz w:val="24"/>
                <w:highlight w:val="none"/>
                <w:lang w:val="en-US" w:eastAsia="zh-CN"/>
              </w:rPr>
              <w:t>0.02t/a，抑尘措施为：堆场三面围挡+顶棚处置或封闭处理、原料装卸时合理控制高度等。</w:t>
            </w:r>
          </w:p>
          <w:p w14:paraId="2903F0EA">
            <w:pPr>
              <w:adjustRightInd w:val="0"/>
              <w:snapToGrid w:val="0"/>
              <w:spacing w:line="360" w:lineRule="auto"/>
              <w:ind w:firstLine="480" w:firstLineChars="200"/>
              <w:rPr>
                <w:rFonts w:hint="eastAsia"/>
                <w:bCs/>
                <w:color w:val="auto"/>
                <w:sz w:val="24"/>
                <w:highlight w:val="none"/>
                <w:lang w:eastAsia="zh-CN"/>
              </w:rPr>
            </w:pPr>
            <w:r>
              <w:rPr>
                <w:rFonts w:hint="eastAsia" w:ascii="宋体" w:hAnsi="宋体" w:eastAsia="宋体" w:cs="宋体"/>
                <w:bCs/>
                <w:color w:val="auto"/>
                <w:sz w:val="24"/>
                <w:highlight w:val="none"/>
                <w:lang w:eastAsia="zh-CN"/>
              </w:rPr>
              <w:t>③</w:t>
            </w:r>
            <w:r>
              <w:rPr>
                <w:rFonts w:hint="eastAsia"/>
                <w:bCs/>
                <w:color w:val="auto"/>
                <w:sz w:val="24"/>
                <w:highlight w:val="none"/>
                <w:lang w:eastAsia="zh-CN"/>
              </w:rPr>
              <w:t>运输扬尘</w:t>
            </w:r>
          </w:p>
          <w:p w14:paraId="0C4C7549">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eastAsia="zh-CN"/>
              </w:rPr>
              <w:t>现有工程运行期间车辆运输过程扬尘排放量为</w:t>
            </w:r>
            <w:r>
              <w:rPr>
                <w:rFonts w:hint="eastAsia"/>
                <w:bCs/>
                <w:color w:val="auto"/>
                <w:sz w:val="24"/>
                <w:highlight w:val="none"/>
                <w:lang w:val="en-US" w:eastAsia="zh-CN"/>
              </w:rPr>
              <w:t>0.2t/a，抑尘措施为：车辆冲洗及厂区地面洒水。</w:t>
            </w:r>
          </w:p>
          <w:p w14:paraId="19818F8C">
            <w:pPr>
              <w:pStyle w:val="2"/>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宋体" w:hAnsi="宋体" w:eastAsia="宋体" w:cs="宋体"/>
                <w:bCs/>
                <w:color w:val="auto"/>
                <w:sz w:val="24"/>
                <w:highlight w:val="none"/>
                <w:lang w:val="en-US" w:eastAsia="zh-CN"/>
              </w:rPr>
              <w:t>④</w:t>
            </w:r>
            <w:r>
              <w:rPr>
                <w:rFonts w:hint="eastAsia"/>
                <w:bCs/>
                <w:color w:val="auto"/>
                <w:sz w:val="24"/>
                <w:highlight w:val="none"/>
                <w:lang w:val="en-US" w:eastAsia="zh-CN"/>
              </w:rPr>
              <w:t>食堂</w:t>
            </w:r>
            <w:r>
              <w:rPr>
                <w:rFonts w:hint="eastAsia" w:ascii="Times New Roman" w:hAnsi="Times New Roman" w:eastAsia="宋体" w:cs="Times New Roman"/>
                <w:bCs/>
                <w:color w:val="auto"/>
                <w:kern w:val="2"/>
                <w:sz w:val="24"/>
                <w:szCs w:val="24"/>
                <w:highlight w:val="none"/>
                <w:lang w:val="en-US" w:eastAsia="zh-CN" w:bidi="ar-SA"/>
              </w:rPr>
              <w:t>油烟</w:t>
            </w:r>
          </w:p>
          <w:p w14:paraId="65B4714A">
            <w:pPr>
              <w:adjustRightInd w:val="0"/>
              <w:snapToGrid w:val="0"/>
              <w:spacing w:line="360" w:lineRule="auto"/>
              <w:ind w:firstLine="480" w:firstLineChars="200"/>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eastAsia="zh-CN"/>
              </w:rPr>
              <w:t>现有工程运行期间产生量为</w:t>
            </w:r>
            <w:r>
              <w:rPr>
                <w:rFonts w:hint="eastAsia"/>
                <w:bCs/>
                <w:color w:val="auto"/>
                <w:sz w:val="24"/>
                <w:highlight w:val="none"/>
                <w:lang w:val="en-US" w:eastAsia="zh-CN"/>
              </w:rPr>
              <w:t>2.16kg/a，产生浓度为0.96mg/m</w:t>
            </w:r>
            <w:r>
              <w:rPr>
                <w:rFonts w:hint="eastAsia"/>
                <w:bCs/>
                <w:color w:val="auto"/>
                <w:sz w:val="24"/>
                <w:highlight w:val="none"/>
                <w:vertAlign w:val="superscript"/>
                <w:lang w:val="en-US" w:eastAsia="zh-CN"/>
              </w:rPr>
              <w:t>3</w:t>
            </w:r>
            <w:r>
              <w:rPr>
                <w:rFonts w:hint="eastAsia"/>
                <w:bCs/>
                <w:color w:val="auto"/>
                <w:sz w:val="24"/>
                <w:highlight w:val="none"/>
                <w:vertAlign w:val="baseline"/>
                <w:lang w:val="en-US" w:eastAsia="zh-CN"/>
              </w:rPr>
              <w:t>，满足</w:t>
            </w:r>
            <w:r>
              <w:rPr>
                <w:rFonts w:hint="default" w:ascii="Times New Roman" w:hAnsi="Times New Roman" w:cs="Times New Roman"/>
                <w:color w:val="auto"/>
                <w:sz w:val="24"/>
                <w:highlight w:val="none"/>
              </w:rPr>
              <w:t>《饮</w:t>
            </w:r>
            <w:r>
              <w:rPr>
                <w:rFonts w:hint="default" w:ascii="Times New Roman" w:hAnsi="Times New Roman" w:cs="Times New Roman"/>
                <w:color w:val="auto"/>
                <w:spacing w:val="-4"/>
                <w:sz w:val="24"/>
                <w:highlight w:val="none"/>
              </w:rPr>
              <w:t>食业油烟排放标准（试</w:t>
            </w:r>
            <w:r>
              <w:rPr>
                <w:rFonts w:hint="default" w:ascii="Times New Roman" w:hAnsi="Times New Roman" w:eastAsia="宋体" w:cs="Times New Roman"/>
                <w:color w:val="auto"/>
                <w:kern w:val="2"/>
                <w:sz w:val="24"/>
                <w:szCs w:val="24"/>
                <w:highlight w:val="none"/>
                <w:lang w:val="en-US" w:eastAsia="zh-CN" w:bidi="ar-SA"/>
              </w:rPr>
              <w:t>行）》（GB18483-2001）中标准限值</w:t>
            </w:r>
            <w:r>
              <w:rPr>
                <w:rFonts w:hint="eastAsia" w:eastAsia="宋体" w:cs="Times New Roman"/>
                <w:color w:val="auto"/>
                <w:kern w:val="2"/>
                <w:sz w:val="24"/>
                <w:szCs w:val="24"/>
                <w:highlight w:val="none"/>
                <w:lang w:val="en-US" w:eastAsia="zh-CN" w:bidi="ar-SA"/>
              </w:rPr>
              <w:t>要求</w:t>
            </w:r>
            <w:r>
              <w:rPr>
                <w:rFonts w:hint="default" w:ascii="Times New Roman" w:hAnsi="Times New Roman" w:eastAsia="宋体" w:cs="Times New Roman"/>
                <w:color w:val="auto"/>
                <w:kern w:val="2"/>
                <w:sz w:val="24"/>
                <w:szCs w:val="24"/>
                <w:highlight w:val="none"/>
                <w:lang w:val="en-US" w:eastAsia="zh-CN" w:bidi="ar-SA"/>
              </w:rPr>
              <w:t>（2.0mg/m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eastAsia="宋体" w:cs="Times New Roman"/>
                <w:color w:val="auto"/>
                <w:kern w:val="2"/>
                <w:sz w:val="24"/>
                <w:szCs w:val="24"/>
                <w:highlight w:val="none"/>
                <w:lang w:val="en-US" w:eastAsia="zh-CN" w:bidi="ar-SA"/>
              </w:rPr>
              <w:t>，经抽烟机处理后从屋顶排放。</w:t>
            </w:r>
          </w:p>
          <w:p w14:paraId="6A80CA63">
            <w:pPr>
              <w:adjustRightInd w:val="0"/>
              <w:snapToGrid w:val="0"/>
              <w:spacing w:line="360" w:lineRule="auto"/>
              <w:ind w:firstLine="480" w:firstLineChars="200"/>
              <w:rPr>
                <w:rFonts w:hint="default"/>
                <w:bCs/>
                <w:color w:val="auto"/>
                <w:sz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本次还对现</w:t>
            </w:r>
            <w:r>
              <w:rPr>
                <w:rFonts w:hint="eastAsia"/>
                <w:bCs/>
                <w:color w:val="auto"/>
                <w:sz w:val="24"/>
                <w:highlight w:val="none"/>
                <w:lang w:eastAsia="zh-CN"/>
              </w:rPr>
              <w:t>有工程运行期间，厂区有组织和无组织粉尘进行了监测（监测时企业处于正常生产状态），</w:t>
            </w:r>
            <w:r>
              <w:rPr>
                <w:rFonts w:hint="eastAsia"/>
                <w:bCs/>
                <w:color w:val="auto"/>
                <w:sz w:val="24"/>
                <w:highlight w:val="none"/>
                <w:lang w:val="en-US" w:eastAsia="zh-CN"/>
              </w:rPr>
              <w:t>具体见下表：</w:t>
            </w:r>
          </w:p>
          <w:p w14:paraId="02953DD2">
            <w:pPr>
              <w:tabs>
                <w:tab w:val="left" w:leader="middleDot" w:pos="8399"/>
              </w:tabs>
              <w:jc w:val="center"/>
              <w:rPr>
                <w:color w:val="auto"/>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lang w:val="en-US" w:eastAsia="zh-CN"/>
              </w:rPr>
              <w:t>9</w:t>
            </w:r>
            <w:r>
              <w:rPr>
                <w:b/>
                <w:color w:val="auto"/>
                <w:szCs w:val="21"/>
                <w:highlight w:val="none"/>
              </w:rPr>
              <w:t xml:space="preserve">  </w:t>
            </w:r>
            <w:r>
              <w:rPr>
                <w:rFonts w:hint="eastAsia"/>
                <w:b/>
                <w:color w:val="auto"/>
                <w:szCs w:val="21"/>
                <w:highlight w:val="none"/>
              </w:rPr>
              <w:t>现有工程有组织废气监测结果</w:t>
            </w:r>
          </w:p>
          <w:tbl>
            <w:tblPr>
              <w:tblStyle w:val="36"/>
              <w:tblW w:w="83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72"/>
              <w:gridCol w:w="1687"/>
              <w:gridCol w:w="874"/>
              <w:gridCol w:w="969"/>
              <w:gridCol w:w="970"/>
              <w:gridCol w:w="992"/>
              <w:gridCol w:w="888"/>
              <w:gridCol w:w="841"/>
            </w:tblGrid>
            <w:tr w14:paraId="0D75E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172" w:type="dxa"/>
                  <w:vAlign w:val="center"/>
                </w:tcPr>
                <w:p w14:paraId="6745B5FD">
                  <w:pPr>
                    <w:pStyle w:val="45"/>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监测时间</w:t>
                  </w:r>
                </w:p>
              </w:tc>
              <w:tc>
                <w:tcPr>
                  <w:tcW w:w="1687" w:type="dxa"/>
                  <w:vAlign w:val="center"/>
                </w:tcPr>
                <w:p w14:paraId="0D11F380">
                  <w:pPr>
                    <w:pStyle w:val="45"/>
                    <w:autoSpaceDE/>
                    <w:autoSpaceDN/>
                    <w:jc w:val="center"/>
                    <w:rPr>
                      <w:rFonts w:ascii="Times New Roman" w:cs="Times New Roman"/>
                      <w:color w:val="auto"/>
                      <w:sz w:val="21"/>
                      <w:szCs w:val="21"/>
                      <w:highlight w:val="none"/>
                    </w:rPr>
                  </w:pP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15240</wp:posOffset>
                            </wp:positionV>
                            <wp:extent cx="1068705" cy="327025"/>
                            <wp:effectExtent l="1270" t="4445" r="15875" b="11430"/>
                            <wp:wrapNone/>
                            <wp:docPr id="13" name="直接连接符 13"/>
                            <wp:cNvGraphicFramePr/>
                            <a:graphic xmlns:a="http://schemas.openxmlformats.org/drawingml/2006/main">
                              <a:graphicData uri="http://schemas.microsoft.com/office/word/2010/wordprocessingShape">
                                <wps:wsp>
                                  <wps:cNvCnPr/>
                                  <wps:spPr>
                                    <a:xfrm>
                                      <a:off x="2123440" y="4520565"/>
                                      <a:ext cx="1068705" cy="3270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35pt;margin-top:1.2pt;height:25.75pt;width:84.15pt;z-index:251659264;mso-width-relative:page;mso-height-relative:page;" filled="f" stroked="t" coordsize="21600,21600" o:gfxdata="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x6PjnVAAAABgEAAA8AAAAAAAAAAQAgAAAAIgAA&#10;AGRycy9kb3ducmV2LnhtbFBLAQIUABQAAAAIAIdO4kCYIGLdCwIAAPQDAAAOAAAAAAAAAAEAIAAA&#10;ACQBAABkcnMvZTJvRG9jLnhtbFBLBQYAAAAABgAGAFkBAAChBQAAAAA=&#10;">
                            <v:fill on="f" focussize="0,0"/>
                            <v:stroke color="#000000" joinstyle="round"/>
                            <v:imagedata o:title=""/>
                            <o:lock v:ext="edit" aspectratio="f"/>
                          </v:line>
                        </w:pict>
                      </mc:Fallback>
                    </mc:AlternateContent>
                  </w:r>
                  <w:r>
                    <w:rPr>
                      <w:rFonts w:hint="eastAsia" w:ascii="Times New Roman" w:cs="Times New Roman"/>
                      <w:color w:val="auto"/>
                      <w:sz w:val="21"/>
                      <w:szCs w:val="21"/>
                      <w:highlight w:val="none"/>
                    </w:rPr>
                    <w:t xml:space="preserve">      监测频次</w:t>
                  </w:r>
                </w:p>
                <w:p w14:paraId="0FF0F706">
                  <w:pPr>
                    <w:pStyle w:val="45"/>
                    <w:autoSpaceDE/>
                    <w:autoSpaceDN/>
                    <w:jc w:val="both"/>
                    <w:rPr>
                      <w:rFonts w:ascii="Times New Roman" w:cs="Times New Roman"/>
                      <w:color w:val="auto"/>
                      <w:sz w:val="21"/>
                      <w:szCs w:val="21"/>
                      <w:highlight w:val="none"/>
                    </w:rPr>
                  </w:pPr>
                  <w:r>
                    <w:rPr>
                      <w:rFonts w:hint="eastAsia" w:ascii="Times New Roman" w:cs="Times New Roman"/>
                      <w:color w:val="auto"/>
                      <w:sz w:val="21"/>
                      <w:szCs w:val="21"/>
                      <w:highlight w:val="none"/>
                    </w:rPr>
                    <w:t>监测项目</w:t>
                  </w:r>
                </w:p>
              </w:tc>
              <w:tc>
                <w:tcPr>
                  <w:tcW w:w="874" w:type="dxa"/>
                  <w:vAlign w:val="center"/>
                </w:tcPr>
                <w:p w14:paraId="7A182C1B">
                  <w:pPr>
                    <w:widowControl/>
                    <w:jc w:val="center"/>
                    <w:rPr>
                      <w:color w:val="auto"/>
                      <w:szCs w:val="21"/>
                      <w:highlight w:val="none"/>
                    </w:rPr>
                  </w:pPr>
                  <w:r>
                    <w:rPr>
                      <w:rFonts w:hint="eastAsia"/>
                      <w:color w:val="auto"/>
                      <w:szCs w:val="21"/>
                      <w:highlight w:val="none"/>
                    </w:rPr>
                    <w:t>第1次</w:t>
                  </w:r>
                </w:p>
              </w:tc>
              <w:tc>
                <w:tcPr>
                  <w:tcW w:w="969" w:type="dxa"/>
                  <w:vAlign w:val="center"/>
                </w:tcPr>
                <w:p w14:paraId="2A83242A">
                  <w:pPr>
                    <w:widowControl/>
                    <w:jc w:val="center"/>
                    <w:rPr>
                      <w:color w:val="auto"/>
                      <w:szCs w:val="21"/>
                      <w:highlight w:val="none"/>
                    </w:rPr>
                  </w:pPr>
                  <w:r>
                    <w:rPr>
                      <w:rFonts w:hint="eastAsia"/>
                      <w:color w:val="auto"/>
                      <w:szCs w:val="21"/>
                      <w:highlight w:val="none"/>
                    </w:rPr>
                    <w:t>第2次</w:t>
                  </w:r>
                </w:p>
              </w:tc>
              <w:tc>
                <w:tcPr>
                  <w:tcW w:w="970" w:type="dxa"/>
                  <w:vAlign w:val="center"/>
                </w:tcPr>
                <w:p w14:paraId="5FA17A92">
                  <w:pPr>
                    <w:widowControl/>
                    <w:jc w:val="center"/>
                    <w:rPr>
                      <w:color w:val="auto"/>
                      <w:szCs w:val="21"/>
                      <w:highlight w:val="none"/>
                    </w:rPr>
                  </w:pPr>
                  <w:r>
                    <w:rPr>
                      <w:rFonts w:hint="eastAsia"/>
                      <w:color w:val="auto"/>
                      <w:szCs w:val="21"/>
                      <w:highlight w:val="none"/>
                    </w:rPr>
                    <w:t>第3次</w:t>
                  </w:r>
                </w:p>
              </w:tc>
              <w:tc>
                <w:tcPr>
                  <w:tcW w:w="992" w:type="dxa"/>
                  <w:vAlign w:val="center"/>
                </w:tcPr>
                <w:p w14:paraId="6313DAB3">
                  <w:pPr>
                    <w:widowControl/>
                    <w:jc w:val="center"/>
                    <w:rPr>
                      <w:color w:val="auto"/>
                      <w:kern w:val="0"/>
                      <w:szCs w:val="21"/>
                      <w:highlight w:val="none"/>
                    </w:rPr>
                  </w:pPr>
                  <w:r>
                    <w:rPr>
                      <w:rFonts w:hint="eastAsia"/>
                      <w:color w:val="auto"/>
                      <w:szCs w:val="21"/>
                      <w:highlight w:val="none"/>
                    </w:rPr>
                    <w:t>平均值</w:t>
                  </w:r>
                </w:p>
              </w:tc>
              <w:tc>
                <w:tcPr>
                  <w:tcW w:w="888" w:type="dxa"/>
                  <w:vAlign w:val="center"/>
                </w:tcPr>
                <w:p w14:paraId="226AA4FD">
                  <w:pPr>
                    <w:widowControl/>
                    <w:jc w:val="center"/>
                    <w:rPr>
                      <w:color w:val="auto"/>
                      <w:szCs w:val="21"/>
                      <w:highlight w:val="none"/>
                    </w:rPr>
                  </w:pPr>
                  <w:r>
                    <w:rPr>
                      <w:rFonts w:hint="eastAsia"/>
                      <w:color w:val="auto"/>
                      <w:szCs w:val="21"/>
                      <w:highlight w:val="none"/>
                    </w:rPr>
                    <w:t>标准值</w:t>
                  </w:r>
                </w:p>
              </w:tc>
              <w:tc>
                <w:tcPr>
                  <w:tcW w:w="841" w:type="dxa"/>
                  <w:vAlign w:val="center"/>
                </w:tcPr>
                <w:p w14:paraId="0275F690">
                  <w:pPr>
                    <w:widowControl/>
                    <w:jc w:val="center"/>
                    <w:rPr>
                      <w:color w:val="auto"/>
                      <w:szCs w:val="21"/>
                      <w:highlight w:val="none"/>
                    </w:rPr>
                  </w:pPr>
                  <w:r>
                    <w:rPr>
                      <w:rFonts w:hint="eastAsia"/>
                      <w:color w:val="auto"/>
                      <w:szCs w:val="21"/>
                      <w:highlight w:val="none"/>
                    </w:rPr>
                    <w:t>是否</w:t>
                  </w:r>
                </w:p>
                <w:p w14:paraId="48AE5179">
                  <w:pPr>
                    <w:widowControl/>
                    <w:jc w:val="center"/>
                    <w:rPr>
                      <w:color w:val="auto"/>
                      <w:szCs w:val="21"/>
                      <w:highlight w:val="none"/>
                    </w:rPr>
                  </w:pPr>
                  <w:r>
                    <w:rPr>
                      <w:rFonts w:hint="eastAsia"/>
                      <w:color w:val="auto"/>
                      <w:szCs w:val="21"/>
                      <w:highlight w:val="none"/>
                    </w:rPr>
                    <w:t>达标</w:t>
                  </w:r>
                </w:p>
              </w:tc>
            </w:tr>
            <w:tr w14:paraId="2253F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2" w:type="dxa"/>
                  <w:vMerge w:val="restart"/>
                  <w:vAlign w:val="center"/>
                </w:tcPr>
                <w:p w14:paraId="290F33D9">
                  <w:pPr>
                    <w:pStyle w:val="45"/>
                    <w:autoSpaceDE/>
                    <w:autoSpaceDN/>
                    <w:jc w:val="center"/>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2025.1.7~1.8</w:t>
                  </w:r>
                </w:p>
              </w:tc>
              <w:tc>
                <w:tcPr>
                  <w:tcW w:w="1687" w:type="dxa"/>
                  <w:vAlign w:val="center"/>
                </w:tcPr>
                <w:p w14:paraId="2B6F9096">
                  <w:pPr>
                    <w:pStyle w:val="45"/>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874" w:type="dxa"/>
                  <w:vAlign w:val="center"/>
                </w:tcPr>
                <w:p w14:paraId="7BFC338E">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44~49</w:t>
                  </w:r>
                </w:p>
                <w:p w14:paraId="0E6BB347">
                  <w:pPr>
                    <w:widowControl/>
                    <w:jc w:val="center"/>
                    <w:rPr>
                      <w:rFonts w:hint="default" w:eastAsia="宋体"/>
                      <w:b w:val="0"/>
                      <w:bCs w:val="0"/>
                      <w:color w:val="auto"/>
                      <w:szCs w:val="21"/>
                      <w:highlight w:val="none"/>
                      <w:lang w:val="en-US" w:eastAsia="zh-CN"/>
                    </w:rPr>
                  </w:pPr>
                  <w:r>
                    <w:rPr>
                      <w:rFonts w:hint="eastAsia"/>
                      <w:b w:val="0"/>
                      <w:bCs w:val="0"/>
                      <w:color w:val="auto"/>
                      <w:szCs w:val="21"/>
                      <w:highlight w:val="none"/>
                    </w:rPr>
                    <w:t>mg/m</w:t>
                  </w:r>
                  <w:r>
                    <w:rPr>
                      <w:rFonts w:hint="eastAsia"/>
                      <w:b w:val="0"/>
                      <w:bCs w:val="0"/>
                      <w:color w:val="auto"/>
                      <w:szCs w:val="21"/>
                      <w:highlight w:val="none"/>
                      <w:vertAlign w:val="superscript"/>
                    </w:rPr>
                    <w:t>3</w:t>
                  </w:r>
                </w:p>
              </w:tc>
              <w:tc>
                <w:tcPr>
                  <w:tcW w:w="969" w:type="dxa"/>
                  <w:vAlign w:val="center"/>
                </w:tcPr>
                <w:p w14:paraId="73BE33FC">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36~38</w:t>
                  </w:r>
                </w:p>
                <w:p w14:paraId="7DA87262">
                  <w:pPr>
                    <w:widowControl/>
                    <w:jc w:val="center"/>
                    <w:rPr>
                      <w:rFonts w:hint="default" w:eastAsia="宋体"/>
                      <w:b w:val="0"/>
                      <w:bCs w:val="0"/>
                      <w:color w:val="auto"/>
                      <w:szCs w:val="21"/>
                      <w:highlight w:val="none"/>
                      <w:lang w:val="en-US" w:eastAsia="zh-CN"/>
                    </w:rPr>
                  </w:pPr>
                  <w:r>
                    <w:rPr>
                      <w:rFonts w:hint="eastAsia"/>
                      <w:b w:val="0"/>
                      <w:bCs w:val="0"/>
                      <w:color w:val="auto"/>
                      <w:szCs w:val="21"/>
                      <w:highlight w:val="none"/>
                    </w:rPr>
                    <w:t>mg/m</w:t>
                  </w:r>
                  <w:r>
                    <w:rPr>
                      <w:rFonts w:hint="eastAsia"/>
                      <w:b w:val="0"/>
                      <w:bCs w:val="0"/>
                      <w:color w:val="auto"/>
                      <w:szCs w:val="21"/>
                      <w:highlight w:val="none"/>
                      <w:vertAlign w:val="superscript"/>
                    </w:rPr>
                    <w:t>3</w:t>
                  </w:r>
                </w:p>
              </w:tc>
              <w:tc>
                <w:tcPr>
                  <w:tcW w:w="970" w:type="dxa"/>
                  <w:vAlign w:val="center"/>
                </w:tcPr>
                <w:p w14:paraId="47908C00">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38~45</w:t>
                  </w:r>
                </w:p>
                <w:p w14:paraId="183B4167">
                  <w:pPr>
                    <w:widowControl/>
                    <w:jc w:val="center"/>
                    <w:rPr>
                      <w:rFonts w:hint="default" w:eastAsia="宋体"/>
                      <w:b w:val="0"/>
                      <w:bCs w:val="0"/>
                      <w:color w:val="auto"/>
                      <w:szCs w:val="21"/>
                      <w:highlight w:val="none"/>
                      <w:lang w:val="en-US" w:eastAsia="zh-CN"/>
                    </w:rPr>
                  </w:pPr>
                  <w:r>
                    <w:rPr>
                      <w:rFonts w:hint="eastAsia"/>
                      <w:b w:val="0"/>
                      <w:bCs w:val="0"/>
                      <w:color w:val="auto"/>
                      <w:szCs w:val="21"/>
                      <w:highlight w:val="none"/>
                    </w:rPr>
                    <w:t>mg/m</w:t>
                  </w:r>
                  <w:r>
                    <w:rPr>
                      <w:rFonts w:hint="eastAsia"/>
                      <w:b w:val="0"/>
                      <w:bCs w:val="0"/>
                      <w:color w:val="auto"/>
                      <w:szCs w:val="21"/>
                      <w:highlight w:val="none"/>
                      <w:vertAlign w:val="superscript"/>
                    </w:rPr>
                    <w:t>3</w:t>
                  </w:r>
                </w:p>
              </w:tc>
              <w:tc>
                <w:tcPr>
                  <w:tcW w:w="992" w:type="dxa"/>
                  <w:vAlign w:val="center"/>
                </w:tcPr>
                <w:p w14:paraId="244D4CC3">
                  <w:pPr>
                    <w:widowControl/>
                    <w:jc w:val="center"/>
                    <w:rPr>
                      <w:rFonts w:hint="eastAsia"/>
                      <w:b w:val="0"/>
                      <w:bCs w:val="0"/>
                      <w:color w:val="auto"/>
                      <w:kern w:val="0"/>
                      <w:szCs w:val="21"/>
                      <w:highlight w:val="none"/>
                      <w:lang w:val="en-US" w:eastAsia="zh-CN"/>
                    </w:rPr>
                  </w:pPr>
                  <w:r>
                    <w:rPr>
                      <w:rFonts w:hint="eastAsia"/>
                      <w:b w:val="0"/>
                      <w:bCs w:val="0"/>
                      <w:color w:val="auto"/>
                      <w:kern w:val="0"/>
                      <w:szCs w:val="21"/>
                      <w:highlight w:val="none"/>
                      <w:lang w:val="en-US" w:eastAsia="zh-CN"/>
                    </w:rPr>
                    <w:t>39~44</w:t>
                  </w:r>
                </w:p>
                <w:p w14:paraId="00944F14">
                  <w:pPr>
                    <w:widowControl/>
                    <w:jc w:val="center"/>
                    <w:rPr>
                      <w:rFonts w:hint="default" w:eastAsia="宋体"/>
                      <w:b w:val="0"/>
                      <w:bCs w:val="0"/>
                      <w:color w:val="auto"/>
                      <w:kern w:val="0"/>
                      <w:szCs w:val="21"/>
                      <w:highlight w:val="none"/>
                      <w:lang w:val="en-US" w:eastAsia="zh-CN"/>
                    </w:rPr>
                  </w:pPr>
                  <w:r>
                    <w:rPr>
                      <w:rFonts w:hint="eastAsia"/>
                      <w:b w:val="0"/>
                      <w:bCs w:val="0"/>
                      <w:color w:val="auto"/>
                      <w:szCs w:val="21"/>
                      <w:highlight w:val="none"/>
                    </w:rPr>
                    <w:t>mg/m</w:t>
                  </w:r>
                  <w:r>
                    <w:rPr>
                      <w:rFonts w:hint="eastAsia"/>
                      <w:b w:val="0"/>
                      <w:bCs w:val="0"/>
                      <w:color w:val="auto"/>
                      <w:szCs w:val="21"/>
                      <w:highlight w:val="none"/>
                      <w:vertAlign w:val="superscript"/>
                    </w:rPr>
                    <w:t>3</w:t>
                  </w:r>
                </w:p>
              </w:tc>
              <w:tc>
                <w:tcPr>
                  <w:tcW w:w="888" w:type="dxa"/>
                  <w:vAlign w:val="center"/>
                </w:tcPr>
                <w:p w14:paraId="55C76755">
                  <w:pPr>
                    <w:widowControl/>
                    <w:jc w:val="center"/>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120</w:t>
                  </w:r>
                  <w:r>
                    <w:rPr>
                      <w:rFonts w:hint="eastAsia"/>
                      <w:b w:val="0"/>
                      <w:bCs w:val="0"/>
                      <w:color w:val="auto"/>
                      <w:szCs w:val="21"/>
                      <w:highlight w:val="none"/>
                    </w:rPr>
                    <w:t>mg/m</w:t>
                  </w:r>
                  <w:r>
                    <w:rPr>
                      <w:rFonts w:hint="eastAsia"/>
                      <w:b w:val="0"/>
                      <w:bCs w:val="0"/>
                      <w:color w:val="auto"/>
                      <w:szCs w:val="21"/>
                      <w:highlight w:val="none"/>
                      <w:vertAlign w:val="superscript"/>
                    </w:rPr>
                    <w:t>3</w:t>
                  </w:r>
                </w:p>
              </w:tc>
              <w:tc>
                <w:tcPr>
                  <w:tcW w:w="841" w:type="dxa"/>
                  <w:vAlign w:val="center"/>
                </w:tcPr>
                <w:p w14:paraId="47F05D6C">
                  <w:pPr>
                    <w:widowControl/>
                    <w:jc w:val="center"/>
                    <w:rPr>
                      <w:color w:val="auto"/>
                      <w:kern w:val="0"/>
                      <w:szCs w:val="21"/>
                      <w:highlight w:val="none"/>
                    </w:rPr>
                  </w:pPr>
                  <w:r>
                    <w:rPr>
                      <w:rFonts w:hint="eastAsia"/>
                      <w:color w:val="auto"/>
                      <w:kern w:val="0"/>
                      <w:szCs w:val="21"/>
                      <w:highlight w:val="none"/>
                    </w:rPr>
                    <w:t>是</w:t>
                  </w:r>
                </w:p>
              </w:tc>
            </w:tr>
            <w:tr w14:paraId="1D64B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2" w:type="dxa"/>
                  <w:vMerge w:val="continue"/>
                  <w:vAlign w:val="center"/>
                </w:tcPr>
                <w:p w14:paraId="6BADECAC">
                  <w:pPr>
                    <w:pStyle w:val="45"/>
                    <w:autoSpaceDE/>
                    <w:autoSpaceDN/>
                    <w:jc w:val="center"/>
                    <w:rPr>
                      <w:rFonts w:hint="eastAsia" w:ascii="Times New Roman" w:cs="Times New Roman"/>
                      <w:color w:val="auto"/>
                      <w:sz w:val="21"/>
                      <w:szCs w:val="21"/>
                      <w:highlight w:val="none"/>
                      <w:lang w:val="en-US" w:eastAsia="zh-CN"/>
                    </w:rPr>
                  </w:pPr>
                </w:p>
              </w:tc>
              <w:tc>
                <w:tcPr>
                  <w:tcW w:w="1687" w:type="dxa"/>
                  <w:vAlign w:val="center"/>
                </w:tcPr>
                <w:p w14:paraId="11CEB34A">
                  <w:pPr>
                    <w:pStyle w:val="45"/>
                    <w:autoSpaceDE/>
                    <w:autoSpaceDN/>
                    <w:jc w:val="center"/>
                    <w:rPr>
                      <w:rFonts w:hint="eastAsia"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874" w:type="dxa"/>
                  <w:vAlign w:val="center"/>
                </w:tcPr>
                <w:p w14:paraId="24401084">
                  <w:pPr>
                    <w:widowControl/>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0.04~0.05kg/h</w:t>
                  </w:r>
                </w:p>
              </w:tc>
              <w:tc>
                <w:tcPr>
                  <w:tcW w:w="969" w:type="dxa"/>
                  <w:vAlign w:val="center"/>
                </w:tcPr>
                <w:p w14:paraId="666051A8">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0.04</w:t>
                  </w:r>
                </w:p>
                <w:p w14:paraId="01B51763">
                  <w:pPr>
                    <w:widowControl/>
                    <w:jc w:val="center"/>
                    <w:rPr>
                      <w:rFonts w:hint="eastAsia"/>
                      <w:b w:val="0"/>
                      <w:bCs w:val="0"/>
                      <w:color w:val="auto"/>
                      <w:szCs w:val="21"/>
                      <w:highlight w:val="none"/>
                    </w:rPr>
                  </w:pPr>
                  <w:r>
                    <w:rPr>
                      <w:rFonts w:hint="eastAsia"/>
                      <w:b w:val="0"/>
                      <w:bCs w:val="0"/>
                      <w:color w:val="auto"/>
                      <w:szCs w:val="21"/>
                      <w:highlight w:val="none"/>
                      <w:lang w:val="en-US" w:eastAsia="zh-CN"/>
                    </w:rPr>
                    <w:t>kg/h</w:t>
                  </w:r>
                </w:p>
              </w:tc>
              <w:tc>
                <w:tcPr>
                  <w:tcW w:w="970" w:type="dxa"/>
                  <w:vAlign w:val="center"/>
                </w:tcPr>
                <w:p w14:paraId="4BB58D2C">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0.04~0.05</w:t>
                  </w:r>
                </w:p>
                <w:p w14:paraId="3CB21B60">
                  <w:pPr>
                    <w:widowControl/>
                    <w:jc w:val="center"/>
                    <w:rPr>
                      <w:rFonts w:hint="eastAsia"/>
                      <w:b w:val="0"/>
                      <w:bCs w:val="0"/>
                      <w:color w:val="auto"/>
                      <w:szCs w:val="21"/>
                      <w:highlight w:val="none"/>
                    </w:rPr>
                  </w:pPr>
                  <w:r>
                    <w:rPr>
                      <w:rFonts w:hint="eastAsia"/>
                      <w:b w:val="0"/>
                      <w:bCs w:val="0"/>
                      <w:color w:val="auto"/>
                      <w:szCs w:val="21"/>
                      <w:highlight w:val="none"/>
                      <w:lang w:val="en-US" w:eastAsia="zh-CN"/>
                    </w:rPr>
                    <w:t>kg/h</w:t>
                  </w:r>
                </w:p>
              </w:tc>
              <w:tc>
                <w:tcPr>
                  <w:tcW w:w="992" w:type="dxa"/>
                  <w:vAlign w:val="center"/>
                </w:tcPr>
                <w:p w14:paraId="5758933D">
                  <w:pPr>
                    <w:widowControl/>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0.04~0.05</w:t>
                  </w:r>
                </w:p>
                <w:p w14:paraId="0C730908">
                  <w:pPr>
                    <w:widowControl/>
                    <w:jc w:val="center"/>
                    <w:rPr>
                      <w:rFonts w:hint="eastAsia"/>
                      <w:b w:val="0"/>
                      <w:bCs w:val="0"/>
                      <w:color w:val="auto"/>
                      <w:szCs w:val="21"/>
                      <w:highlight w:val="none"/>
                    </w:rPr>
                  </w:pPr>
                  <w:r>
                    <w:rPr>
                      <w:rFonts w:hint="eastAsia"/>
                      <w:b w:val="0"/>
                      <w:bCs w:val="0"/>
                      <w:color w:val="auto"/>
                      <w:szCs w:val="21"/>
                      <w:highlight w:val="none"/>
                      <w:lang w:val="en-US" w:eastAsia="zh-CN"/>
                    </w:rPr>
                    <w:t>kg/h</w:t>
                  </w:r>
                </w:p>
              </w:tc>
              <w:tc>
                <w:tcPr>
                  <w:tcW w:w="888" w:type="dxa"/>
                  <w:vAlign w:val="center"/>
                </w:tcPr>
                <w:p w14:paraId="362089A3">
                  <w:pPr>
                    <w:widowControl/>
                    <w:jc w:val="center"/>
                    <w:rPr>
                      <w:rFonts w:hint="default"/>
                      <w:b w:val="0"/>
                      <w:bCs w:val="0"/>
                      <w:color w:val="auto"/>
                      <w:kern w:val="0"/>
                      <w:szCs w:val="21"/>
                      <w:highlight w:val="none"/>
                      <w:lang w:val="en-US" w:eastAsia="zh-CN"/>
                    </w:rPr>
                  </w:pPr>
                  <w:r>
                    <w:rPr>
                      <w:rFonts w:hint="eastAsia"/>
                      <w:b w:val="0"/>
                      <w:bCs w:val="0"/>
                      <w:color w:val="auto"/>
                      <w:kern w:val="0"/>
                      <w:szCs w:val="21"/>
                      <w:highlight w:val="none"/>
                      <w:lang w:val="en-US" w:eastAsia="zh-CN"/>
                    </w:rPr>
                    <w:t>1.75kg/h</w:t>
                  </w:r>
                </w:p>
              </w:tc>
              <w:tc>
                <w:tcPr>
                  <w:tcW w:w="841" w:type="dxa"/>
                  <w:vAlign w:val="center"/>
                </w:tcPr>
                <w:p w14:paraId="711DD061">
                  <w:pPr>
                    <w:widowControl/>
                    <w:jc w:val="center"/>
                    <w:rPr>
                      <w:rFonts w:hint="eastAsia"/>
                      <w:color w:val="auto"/>
                      <w:kern w:val="0"/>
                      <w:szCs w:val="21"/>
                      <w:highlight w:val="none"/>
                    </w:rPr>
                  </w:pPr>
                  <w:r>
                    <w:rPr>
                      <w:rFonts w:hint="eastAsia"/>
                      <w:color w:val="auto"/>
                      <w:kern w:val="0"/>
                      <w:szCs w:val="21"/>
                      <w:highlight w:val="none"/>
                    </w:rPr>
                    <w:t>是</w:t>
                  </w:r>
                </w:p>
              </w:tc>
            </w:tr>
            <w:tr w14:paraId="4FDB6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93" w:type="dxa"/>
                  <w:gridSpan w:val="8"/>
                  <w:vAlign w:val="center"/>
                </w:tcPr>
                <w:p w14:paraId="099A11CD">
                  <w:pPr>
                    <w:widowControl/>
                    <w:jc w:val="both"/>
                    <w:rPr>
                      <w:rFonts w:hint="default" w:eastAsia="宋体"/>
                      <w:color w:val="auto"/>
                      <w:kern w:val="0"/>
                      <w:szCs w:val="21"/>
                      <w:highlight w:val="none"/>
                      <w:lang w:val="en-US" w:eastAsia="zh-CN"/>
                    </w:rPr>
                  </w:pPr>
                  <w:r>
                    <w:rPr>
                      <w:rFonts w:hint="eastAsia"/>
                      <w:color w:val="auto"/>
                      <w:kern w:val="0"/>
                      <w:szCs w:val="21"/>
                      <w:highlight w:val="none"/>
                      <w:lang w:eastAsia="zh-CN"/>
                    </w:rPr>
                    <w:t>注：由于现有工程排气筒</w:t>
                  </w:r>
                  <w:r>
                    <w:rPr>
                      <w:rFonts w:hint="eastAsia"/>
                      <w:color w:val="auto"/>
                      <w:kern w:val="0"/>
                      <w:szCs w:val="21"/>
                      <w:highlight w:val="none"/>
                      <w:lang w:val="en-US" w:eastAsia="zh-CN"/>
                    </w:rPr>
                    <w:t>（DA001）高度为14m，因此按照《大气污染物综合排放标准》（GB16297-1996）中要求，其排放速率按50%（即1.75</w:t>
                  </w:r>
                  <w:r>
                    <w:rPr>
                      <w:rFonts w:hint="eastAsia"/>
                      <w:b w:val="0"/>
                      <w:bCs w:val="0"/>
                      <w:color w:val="auto"/>
                      <w:kern w:val="0"/>
                      <w:szCs w:val="21"/>
                      <w:highlight w:val="none"/>
                      <w:lang w:val="en-US" w:eastAsia="zh-CN"/>
                    </w:rPr>
                    <w:t>kg/h</w:t>
                  </w:r>
                  <w:r>
                    <w:rPr>
                      <w:rFonts w:hint="eastAsia"/>
                      <w:color w:val="auto"/>
                      <w:kern w:val="0"/>
                      <w:szCs w:val="21"/>
                      <w:highlight w:val="none"/>
                      <w:lang w:val="en-US" w:eastAsia="zh-CN"/>
                    </w:rPr>
                    <w:t>）执行。</w:t>
                  </w:r>
                </w:p>
              </w:tc>
            </w:tr>
          </w:tbl>
          <w:p w14:paraId="276052F5">
            <w:pPr>
              <w:tabs>
                <w:tab w:val="left" w:leader="middleDot" w:pos="8399"/>
              </w:tabs>
              <w:jc w:val="center"/>
              <w:rPr>
                <w:b/>
                <w:color w:val="auto"/>
                <w:szCs w:val="21"/>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lang w:val="en-US" w:eastAsia="zh-CN"/>
              </w:rPr>
              <w:t>10</w:t>
            </w:r>
            <w:r>
              <w:rPr>
                <w:b/>
                <w:color w:val="auto"/>
                <w:szCs w:val="21"/>
                <w:highlight w:val="none"/>
              </w:rPr>
              <w:t xml:space="preserve">  </w:t>
            </w:r>
            <w:r>
              <w:rPr>
                <w:rFonts w:hint="eastAsia"/>
                <w:b/>
                <w:color w:val="auto"/>
                <w:szCs w:val="21"/>
                <w:highlight w:val="none"/>
              </w:rPr>
              <w:t xml:space="preserve">现有工程无组织废气监测结果    </w:t>
            </w:r>
            <w:r>
              <w:rPr>
                <w:rFonts w:hint="eastAsia"/>
                <w:b/>
                <w:bCs/>
                <w:color w:val="auto"/>
                <w:szCs w:val="21"/>
                <w:highlight w:val="none"/>
              </w:rPr>
              <w:t>单位：mg/m</w:t>
            </w:r>
            <w:r>
              <w:rPr>
                <w:rFonts w:hint="eastAsia"/>
                <w:b/>
                <w:bCs/>
                <w:color w:val="auto"/>
                <w:szCs w:val="21"/>
                <w:highlight w:val="none"/>
                <w:vertAlign w:val="superscript"/>
              </w:rPr>
              <w:t>3</w:t>
            </w:r>
          </w:p>
          <w:tbl>
            <w:tblPr>
              <w:tblStyle w:val="36"/>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84"/>
              <w:gridCol w:w="1416"/>
              <w:gridCol w:w="1074"/>
              <w:gridCol w:w="1083"/>
              <w:gridCol w:w="1084"/>
              <w:gridCol w:w="1100"/>
              <w:gridCol w:w="792"/>
              <w:gridCol w:w="715"/>
            </w:tblGrid>
            <w:tr w14:paraId="61682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4" w:type="dxa"/>
                  <w:vAlign w:val="center"/>
                </w:tcPr>
                <w:p w14:paraId="409394E1">
                  <w:pPr>
                    <w:pStyle w:val="45"/>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监测时间</w:t>
                  </w:r>
                </w:p>
              </w:tc>
              <w:tc>
                <w:tcPr>
                  <w:tcW w:w="1416" w:type="dxa"/>
                  <w:vAlign w:val="center"/>
                </w:tcPr>
                <w:p w14:paraId="5FD3956F">
                  <w:pPr>
                    <w:pStyle w:val="45"/>
                    <w:autoSpaceDE/>
                    <w:autoSpaceDN/>
                    <w:jc w:val="center"/>
                    <w:rPr>
                      <w:rFonts w:ascii="Times New Roman" w:cs="Times New Roman"/>
                      <w:color w:val="auto"/>
                      <w:sz w:val="21"/>
                      <w:szCs w:val="21"/>
                      <w:highlight w:val="none"/>
                    </w:rPr>
                  </w:pP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4445</wp:posOffset>
                            </wp:positionV>
                            <wp:extent cx="897890" cy="335280"/>
                            <wp:effectExtent l="1905" t="4445" r="14605" b="22225"/>
                            <wp:wrapNone/>
                            <wp:docPr id="12" name="直接连接符 12"/>
                            <wp:cNvGraphicFramePr/>
                            <a:graphic xmlns:a="http://schemas.openxmlformats.org/drawingml/2006/main">
                              <a:graphicData uri="http://schemas.microsoft.com/office/word/2010/wordprocessingShape">
                                <wps:wsp>
                                  <wps:cNvCnPr/>
                                  <wps:spPr>
                                    <a:xfrm>
                                      <a:off x="2123440" y="4520565"/>
                                      <a:ext cx="897890" cy="33528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0.6pt;margin-top:0.35pt;height:26.4pt;width:70.7pt;z-index:251660288;mso-width-relative:page;mso-height-relative:page;" filled="f" stroked="t" coordsize="21600,21600" o:gfxdata="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g3wjTAAAABQEAAA8AAAAAAAAAAQAgAAAAIgAAAGRy&#10;cy9kb3ducmV2LnhtbFBLAQIUABQAAAAIAIdO4kCmcNPsCgIAAPMDAAAOAAAAAAAAAAEAIAAAACIB&#10;AABkcnMvZTJvRG9jLnhtbFBLBQYAAAAABgAGAFkBAACeBQAAAAA=&#10;">
                            <v:fill on="f" focussize="0,0"/>
                            <v:stroke color="#000000" joinstyle="round"/>
                            <v:imagedata o:title=""/>
                            <o:lock v:ext="edit" aspectratio="f"/>
                          </v:line>
                        </w:pict>
                      </mc:Fallback>
                    </mc:AlternateContent>
                  </w:r>
                  <w:r>
                    <w:rPr>
                      <w:rFonts w:hint="eastAsia" w:ascii="Times New Roman" w:cs="Times New Roman"/>
                      <w:color w:val="auto"/>
                      <w:sz w:val="21"/>
                      <w:szCs w:val="21"/>
                      <w:highlight w:val="none"/>
                    </w:rPr>
                    <w:t xml:space="preserve">     监测点位</w:t>
                  </w:r>
                </w:p>
                <w:p w14:paraId="2520DF71">
                  <w:pPr>
                    <w:pStyle w:val="45"/>
                    <w:autoSpaceDE/>
                    <w:autoSpaceDN/>
                    <w:jc w:val="both"/>
                    <w:rPr>
                      <w:rFonts w:ascii="Times New Roman" w:cs="Times New Roman"/>
                      <w:color w:val="auto"/>
                      <w:sz w:val="21"/>
                      <w:szCs w:val="21"/>
                      <w:highlight w:val="none"/>
                    </w:rPr>
                  </w:pPr>
                  <w:r>
                    <w:rPr>
                      <w:rFonts w:hint="eastAsia" w:ascii="Times New Roman" w:cs="Times New Roman"/>
                      <w:color w:val="auto"/>
                      <w:sz w:val="21"/>
                      <w:szCs w:val="21"/>
                      <w:highlight w:val="none"/>
                    </w:rPr>
                    <w:t>监测项目</w:t>
                  </w:r>
                </w:p>
              </w:tc>
              <w:tc>
                <w:tcPr>
                  <w:tcW w:w="1074" w:type="dxa"/>
                  <w:vAlign w:val="center"/>
                </w:tcPr>
                <w:p w14:paraId="2327945C">
                  <w:pPr>
                    <w:widowControl/>
                    <w:jc w:val="center"/>
                    <w:rPr>
                      <w:color w:val="auto"/>
                      <w:szCs w:val="21"/>
                      <w:highlight w:val="none"/>
                    </w:rPr>
                  </w:pPr>
                  <w:r>
                    <w:rPr>
                      <w:rFonts w:hint="eastAsia"/>
                      <w:color w:val="auto"/>
                      <w:szCs w:val="21"/>
                      <w:highlight w:val="none"/>
                    </w:rPr>
                    <w:t>1#上风向</w:t>
                  </w:r>
                </w:p>
              </w:tc>
              <w:tc>
                <w:tcPr>
                  <w:tcW w:w="1083" w:type="dxa"/>
                  <w:vAlign w:val="center"/>
                </w:tcPr>
                <w:p w14:paraId="4472BC79">
                  <w:pPr>
                    <w:widowControl/>
                    <w:jc w:val="center"/>
                    <w:rPr>
                      <w:color w:val="auto"/>
                      <w:szCs w:val="21"/>
                      <w:highlight w:val="none"/>
                    </w:rPr>
                  </w:pPr>
                  <w:r>
                    <w:rPr>
                      <w:rFonts w:hint="eastAsia"/>
                      <w:color w:val="auto"/>
                      <w:szCs w:val="21"/>
                      <w:highlight w:val="none"/>
                    </w:rPr>
                    <w:t>2#</w:t>
                  </w:r>
                  <w:r>
                    <w:rPr>
                      <w:rFonts w:hint="eastAsia"/>
                      <w:color w:val="auto"/>
                      <w:szCs w:val="21"/>
                      <w:highlight w:val="none"/>
                      <w:lang w:eastAsia="zh-CN"/>
                    </w:rPr>
                    <w:t>下</w:t>
                  </w:r>
                  <w:r>
                    <w:rPr>
                      <w:rFonts w:hint="eastAsia"/>
                      <w:color w:val="auto"/>
                      <w:szCs w:val="21"/>
                      <w:highlight w:val="none"/>
                    </w:rPr>
                    <w:t>风向</w:t>
                  </w:r>
                </w:p>
              </w:tc>
              <w:tc>
                <w:tcPr>
                  <w:tcW w:w="1084" w:type="dxa"/>
                  <w:vAlign w:val="center"/>
                </w:tcPr>
                <w:p w14:paraId="21E63E1A">
                  <w:pPr>
                    <w:widowControl/>
                    <w:jc w:val="center"/>
                    <w:rPr>
                      <w:color w:val="auto"/>
                      <w:szCs w:val="21"/>
                      <w:highlight w:val="none"/>
                    </w:rPr>
                  </w:pPr>
                  <w:r>
                    <w:rPr>
                      <w:rFonts w:hint="eastAsia"/>
                      <w:color w:val="auto"/>
                      <w:szCs w:val="21"/>
                      <w:highlight w:val="none"/>
                    </w:rPr>
                    <w:t>3#</w:t>
                  </w:r>
                  <w:r>
                    <w:rPr>
                      <w:rFonts w:hint="eastAsia"/>
                      <w:color w:val="auto"/>
                      <w:szCs w:val="21"/>
                      <w:highlight w:val="none"/>
                      <w:lang w:eastAsia="zh-CN"/>
                    </w:rPr>
                    <w:t>下</w:t>
                  </w:r>
                  <w:r>
                    <w:rPr>
                      <w:rFonts w:hint="eastAsia"/>
                      <w:color w:val="auto"/>
                      <w:szCs w:val="21"/>
                      <w:highlight w:val="none"/>
                    </w:rPr>
                    <w:t>风向</w:t>
                  </w:r>
                </w:p>
              </w:tc>
              <w:tc>
                <w:tcPr>
                  <w:tcW w:w="1100" w:type="dxa"/>
                  <w:vAlign w:val="center"/>
                </w:tcPr>
                <w:p w14:paraId="7046E5B3">
                  <w:pPr>
                    <w:widowControl/>
                    <w:jc w:val="center"/>
                    <w:rPr>
                      <w:color w:val="auto"/>
                      <w:kern w:val="0"/>
                      <w:szCs w:val="21"/>
                      <w:highlight w:val="none"/>
                    </w:rPr>
                  </w:pPr>
                  <w:r>
                    <w:rPr>
                      <w:rFonts w:hint="eastAsia"/>
                      <w:color w:val="auto"/>
                      <w:szCs w:val="21"/>
                      <w:highlight w:val="none"/>
                    </w:rPr>
                    <w:t>4#</w:t>
                  </w:r>
                  <w:r>
                    <w:rPr>
                      <w:rFonts w:hint="eastAsia"/>
                      <w:color w:val="auto"/>
                      <w:szCs w:val="21"/>
                      <w:highlight w:val="none"/>
                      <w:lang w:eastAsia="zh-CN"/>
                    </w:rPr>
                    <w:t>下</w:t>
                  </w:r>
                  <w:r>
                    <w:rPr>
                      <w:rFonts w:hint="eastAsia"/>
                      <w:color w:val="auto"/>
                      <w:szCs w:val="21"/>
                      <w:highlight w:val="none"/>
                    </w:rPr>
                    <w:t>风向</w:t>
                  </w:r>
                </w:p>
              </w:tc>
              <w:tc>
                <w:tcPr>
                  <w:tcW w:w="792" w:type="dxa"/>
                  <w:vAlign w:val="center"/>
                </w:tcPr>
                <w:p w14:paraId="52AAB5B7">
                  <w:pPr>
                    <w:widowControl/>
                    <w:jc w:val="center"/>
                    <w:rPr>
                      <w:color w:val="auto"/>
                      <w:szCs w:val="21"/>
                      <w:highlight w:val="none"/>
                    </w:rPr>
                  </w:pPr>
                  <w:r>
                    <w:rPr>
                      <w:rFonts w:hint="eastAsia"/>
                      <w:color w:val="auto"/>
                      <w:szCs w:val="21"/>
                      <w:highlight w:val="none"/>
                    </w:rPr>
                    <w:t>标准值</w:t>
                  </w:r>
                </w:p>
              </w:tc>
              <w:tc>
                <w:tcPr>
                  <w:tcW w:w="715" w:type="dxa"/>
                  <w:vAlign w:val="center"/>
                </w:tcPr>
                <w:p w14:paraId="795986CF">
                  <w:pPr>
                    <w:widowControl/>
                    <w:jc w:val="center"/>
                    <w:rPr>
                      <w:color w:val="auto"/>
                      <w:szCs w:val="21"/>
                      <w:highlight w:val="none"/>
                    </w:rPr>
                  </w:pPr>
                  <w:r>
                    <w:rPr>
                      <w:rFonts w:hint="eastAsia"/>
                      <w:color w:val="auto"/>
                      <w:szCs w:val="21"/>
                      <w:highlight w:val="none"/>
                    </w:rPr>
                    <w:t>是否</w:t>
                  </w:r>
                </w:p>
                <w:p w14:paraId="6C296CC6">
                  <w:pPr>
                    <w:widowControl/>
                    <w:jc w:val="center"/>
                    <w:rPr>
                      <w:color w:val="auto"/>
                      <w:szCs w:val="21"/>
                      <w:highlight w:val="none"/>
                    </w:rPr>
                  </w:pPr>
                  <w:r>
                    <w:rPr>
                      <w:rFonts w:hint="eastAsia"/>
                      <w:color w:val="auto"/>
                      <w:szCs w:val="21"/>
                      <w:highlight w:val="none"/>
                    </w:rPr>
                    <w:t>达标</w:t>
                  </w:r>
                </w:p>
              </w:tc>
            </w:tr>
            <w:tr w14:paraId="1EDBB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4" w:type="dxa"/>
                  <w:vAlign w:val="center"/>
                </w:tcPr>
                <w:p w14:paraId="30E2823B">
                  <w:pPr>
                    <w:pStyle w:val="45"/>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lang w:val="en-US" w:eastAsia="zh-CN"/>
                    </w:rPr>
                    <w:t>2025.1.7~1.8</w:t>
                  </w:r>
                </w:p>
              </w:tc>
              <w:tc>
                <w:tcPr>
                  <w:tcW w:w="1416" w:type="dxa"/>
                  <w:vAlign w:val="center"/>
                </w:tcPr>
                <w:p w14:paraId="2864BE0C">
                  <w:pPr>
                    <w:pStyle w:val="45"/>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1074" w:type="dxa"/>
                  <w:vAlign w:val="center"/>
                </w:tcPr>
                <w:p w14:paraId="3DC2CEF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0.206~0.231</w:t>
                  </w:r>
                </w:p>
              </w:tc>
              <w:tc>
                <w:tcPr>
                  <w:tcW w:w="1083" w:type="dxa"/>
                  <w:vAlign w:val="center"/>
                </w:tcPr>
                <w:p w14:paraId="325A4074">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0.420~0.460</w:t>
                  </w:r>
                </w:p>
              </w:tc>
              <w:tc>
                <w:tcPr>
                  <w:tcW w:w="1084" w:type="dxa"/>
                  <w:vAlign w:val="center"/>
                </w:tcPr>
                <w:p w14:paraId="070B95FC">
                  <w:pPr>
                    <w:widowControl/>
                    <w:jc w:val="center"/>
                    <w:rPr>
                      <w:rFonts w:hint="default"/>
                      <w:color w:val="auto"/>
                      <w:szCs w:val="21"/>
                      <w:highlight w:val="none"/>
                      <w:lang w:val="en-US"/>
                    </w:rPr>
                  </w:pPr>
                  <w:r>
                    <w:rPr>
                      <w:rFonts w:hint="eastAsia"/>
                      <w:color w:val="auto"/>
                      <w:szCs w:val="21"/>
                      <w:highlight w:val="none"/>
                      <w:lang w:val="en-US" w:eastAsia="zh-CN"/>
                    </w:rPr>
                    <w:t>0.421~0.466</w:t>
                  </w:r>
                </w:p>
              </w:tc>
              <w:tc>
                <w:tcPr>
                  <w:tcW w:w="1100" w:type="dxa"/>
                  <w:vAlign w:val="center"/>
                </w:tcPr>
                <w:p w14:paraId="49BB4BE5">
                  <w:pPr>
                    <w:widowControl/>
                    <w:jc w:val="center"/>
                    <w:rPr>
                      <w:rFonts w:hint="default"/>
                      <w:color w:val="auto"/>
                      <w:kern w:val="0"/>
                      <w:szCs w:val="21"/>
                      <w:highlight w:val="none"/>
                      <w:lang w:val="en-US"/>
                    </w:rPr>
                  </w:pPr>
                  <w:r>
                    <w:rPr>
                      <w:rFonts w:hint="eastAsia"/>
                      <w:color w:val="auto"/>
                      <w:kern w:val="0"/>
                      <w:szCs w:val="21"/>
                      <w:highlight w:val="none"/>
                      <w:lang w:val="en-US" w:eastAsia="zh-CN"/>
                    </w:rPr>
                    <w:t>0.430~0.464</w:t>
                  </w:r>
                </w:p>
              </w:tc>
              <w:tc>
                <w:tcPr>
                  <w:tcW w:w="792" w:type="dxa"/>
                  <w:vAlign w:val="center"/>
                </w:tcPr>
                <w:p w14:paraId="44A403FB">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rPr>
                    <w:t>1.0</w:t>
                  </w:r>
                </w:p>
              </w:tc>
              <w:tc>
                <w:tcPr>
                  <w:tcW w:w="715" w:type="dxa"/>
                  <w:vAlign w:val="center"/>
                </w:tcPr>
                <w:p w14:paraId="40BB4A92">
                  <w:pPr>
                    <w:widowControl/>
                    <w:jc w:val="center"/>
                    <w:rPr>
                      <w:color w:val="auto"/>
                      <w:kern w:val="0"/>
                      <w:szCs w:val="21"/>
                      <w:highlight w:val="none"/>
                    </w:rPr>
                  </w:pPr>
                  <w:r>
                    <w:rPr>
                      <w:rFonts w:hint="eastAsia"/>
                      <w:color w:val="auto"/>
                      <w:kern w:val="0"/>
                      <w:szCs w:val="21"/>
                      <w:highlight w:val="none"/>
                    </w:rPr>
                    <w:t>是</w:t>
                  </w:r>
                </w:p>
              </w:tc>
            </w:tr>
          </w:tbl>
          <w:p w14:paraId="3B53C4F3">
            <w:pPr>
              <w:pStyle w:val="14"/>
              <w:spacing w:after="0" w:line="360" w:lineRule="auto"/>
              <w:ind w:firstLine="480" w:firstLineChars="200"/>
              <w:rPr>
                <w:rFonts w:hint="eastAsia" w:eastAsia="宋体"/>
                <w:color w:val="auto"/>
                <w:sz w:val="24"/>
                <w:szCs w:val="24"/>
                <w:highlight w:val="none"/>
                <w:lang w:eastAsia="zh-CN"/>
              </w:rPr>
            </w:pPr>
            <w:r>
              <w:rPr>
                <w:rFonts w:hint="eastAsia"/>
                <w:color w:val="auto"/>
                <w:sz w:val="24"/>
                <w:szCs w:val="24"/>
                <w:highlight w:val="none"/>
              </w:rPr>
              <w:t>根据表2-</w:t>
            </w:r>
            <w:r>
              <w:rPr>
                <w:rFonts w:hint="eastAsia"/>
                <w:color w:val="auto"/>
                <w:sz w:val="24"/>
                <w:szCs w:val="24"/>
                <w:highlight w:val="none"/>
                <w:lang w:val="en-US" w:eastAsia="zh-CN"/>
              </w:rPr>
              <w:t>8</w:t>
            </w:r>
            <w:r>
              <w:rPr>
                <w:rFonts w:hint="eastAsia"/>
                <w:color w:val="auto"/>
                <w:sz w:val="24"/>
                <w:szCs w:val="24"/>
                <w:highlight w:val="none"/>
                <w:lang w:eastAsia="zh-CN"/>
              </w:rPr>
              <w:t>和</w:t>
            </w:r>
            <w:r>
              <w:rPr>
                <w:rFonts w:hint="eastAsia"/>
                <w:color w:val="auto"/>
                <w:sz w:val="24"/>
                <w:szCs w:val="24"/>
                <w:highlight w:val="none"/>
              </w:rPr>
              <w:t>2-</w:t>
            </w:r>
            <w:r>
              <w:rPr>
                <w:rFonts w:hint="eastAsia"/>
                <w:color w:val="auto"/>
                <w:sz w:val="24"/>
                <w:szCs w:val="24"/>
                <w:highlight w:val="none"/>
                <w:lang w:val="en-US" w:eastAsia="zh-CN"/>
              </w:rPr>
              <w:t>9</w:t>
            </w:r>
            <w:r>
              <w:rPr>
                <w:rFonts w:hint="eastAsia"/>
                <w:color w:val="auto"/>
                <w:sz w:val="24"/>
                <w:szCs w:val="24"/>
                <w:highlight w:val="none"/>
              </w:rPr>
              <w:t>可知，现有工程</w:t>
            </w:r>
            <w:r>
              <w:rPr>
                <w:rFonts w:hint="eastAsia"/>
                <w:color w:val="auto"/>
                <w:sz w:val="24"/>
                <w:szCs w:val="24"/>
                <w:highlight w:val="none"/>
                <w:lang w:eastAsia="zh-CN"/>
              </w:rPr>
              <w:t>运行期间</w:t>
            </w:r>
            <w:r>
              <w:rPr>
                <w:rFonts w:hint="eastAsia"/>
                <w:color w:val="auto"/>
                <w:sz w:val="24"/>
                <w:szCs w:val="24"/>
                <w:highlight w:val="none"/>
              </w:rPr>
              <w:t>有组织废气排放口颗粒物监测结果满足《大气污染物综合排放标准》（GB16297-1996）</w:t>
            </w:r>
            <w:r>
              <w:rPr>
                <w:rFonts w:hint="eastAsia"/>
                <w:color w:val="auto"/>
                <w:sz w:val="24"/>
                <w:szCs w:val="24"/>
                <w:highlight w:val="none"/>
                <w:lang w:eastAsia="zh-CN"/>
              </w:rPr>
              <w:t>表</w:t>
            </w:r>
            <w:r>
              <w:rPr>
                <w:rFonts w:hint="eastAsia"/>
                <w:color w:val="auto"/>
                <w:sz w:val="24"/>
                <w:szCs w:val="24"/>
                <w:highlight w:val="none"/>
                <w:lang w:val="en-US" w:eastAsia="zh-CN"/>
              </w:rPr>
              <w:t>2中的</w:t>
            </w:r>
            <w:r>
              <w:rPr>
                <w:rFonts w:hint="eastAsia"/>
                <w:color w:val="auto"/>
                <w:sz w:val="24"/>
                <w:szCs w:val="24"/>
                <w:highlight w:val="none"/>
              </w:rPr>
              <w:t>排放限值要求</w:t>
            </w:r>
            <w:r>
              <w:rPr>
                <w:rFonts w:hint="eastAsia"/>
                <w:color w:val="auto"/>
                <w:sz w:val="24"/>
                <w:szCs w:val="24"/>
                <w:highlight w:val="none"/>
                <w:lang w:eastAsia="zh-CN"/>
              </w:rPr>
              <w:t>，无</w:t>
            </w:r>
            <w:r>
              <w:rPr>
                <w:rFonts w:hint="eastAsia"/>
                <w:color w:val="auto"/>
                <w:sz w:val="24"/>
                <w:szCs w:val="24"/>
                <w:highlight w:val="none"/>
              </w:rPr>
              <w:t>组织</w:t>
            </w:r>
            <w:r>
              <w:rPr>
                <w:rFonts w:hint="eastAsia"/>
                <w:color w:val="auto"/>
                <w:sz w:val="24"/>
                <w:szCs w:val="24"/>
                <w:highlight w:val="none"/>
                <w:lang w:eastAsia="zh-CN"/>
              </w:rPr>
              <w:t>粉尘满足</w:t>
            </w:r>
            <w:r>
              <w:rPr>
                <w:rFonts w:hint="eastAsia"/>
                <w:color w:val="auto"/>
                <w:sz w:val="24"/>
                <w:szCs w:val="24"/>
                <w:highlight w:val="none"/>
              </w:rPr>
              <w:t>《大气污染物综合排放标准》（GB16297-1996）</w:t>
            </w:r>
            <w:r>
              <w:rPr>
                <w:rFonts w:hint="eastAsia"/>
                <w:color w:val="auto"/>
                <w:sz w:val="24"/>
                <w:szCs w:val="24"/>
                <w:highlight w:val="none"/>
                <w:lang w:eastAsia="zh-CN"/>
              </w:rPr>
              <w:t>表</w:t>
            </w:r>
            <w:r>
              <w:rPr>
                <w:rFonts w:hint="eastAsia"/>
                <w:color w:val="auto"/>
                <w:sz w:val="24"/>
                <w:szCs w:val="24"/>
                <w:highlight w:val="none"/>
                <w:lang w:val="en-US" w:eastAsia="zh-CN"/>
              </w:rPr>
              <w:t>2中的</w:t>
            </w:r>
            <w:r>
              <w:rPr>
                <w:rFonts w:hint="eastAsia"/>
                <w:color w:val="auto"/>
                <w:sz w:val="24"/>
                <w:szCs w:val="24"/>
                <w:highlight w:val="none"/>
              </w:rPr>
              <w:t>排放限值要求。</w:t>
            </w:r>
            <w:r>
              <w:rPr>
                <w:rFonts w:hint="eastAsia"/>
                <w:color w:val="auto"/>
                <w:sz w:val="24"/>
                <w:szCs w:val="24"/>
                <w:highlight w:val="none"/>
                <w:lang w:eastAsia="zh-CN"/>
              </w:rPr>
              <w:t>因此，现有工程运营期间，废气可做到达标排放。</w:t>
            </w:r>
          </w:p>
          <w:p w14:paraId="427DA3C6">
            <w:pPr>
              <w:pStyle w:val="15"/>
              <w:spacing w:line="360" w:lineRule="auto"/>
              <w:ind w:firstLine="480" w:firstLineChars="200"/>
              <w:rPr>
                <w:rFonts w:ascii="Times New Roman"/>
                <w:color w:val="auto"/>
                <w:highlight w:val="none"/>
              </w:rPr>
            </w:pPr>
            <w:r>
              <w:rPr>
                <w:rFonts w:ascii="Times New Roman"/>
                <w:color w:val="auto"/>
                <w:szCs w:val="24"/>
                <w:highlight w:val="none"/>
              </w:rPr>
              <w:t>（2）废水</w:t>
            </w:r>
          </w:p>
          <w:p w14:paraId="10C2E09B">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eastAsia="zh-CN"/>
              </w:rPr>
              <w:t>①现有工程运营期间，生活污水（含餐饮废水）产生量为</w:t>
            </w:r>
            <w:r>
              <w:rPr>
                <w:rFonts w:hint="eastAsia"/>
                <w:bCs/>
                <w:color w:val="auto"/>
                <w:sz w:val="24"/>
                <w:highlight w:val="none"/>
                <w:lang w:val="en-US" w:eastAsia="zh-CN"/>
              </w:rPr>
              <w:t>120m</w:t>
            </w:r>
            <w:r>
              <w:rPr>
                <w:rFonts w:hint="eastAsia"/>
                <w:bCs/>
                <w:color w:val="auto"/>
                <w:sz w:val="24"/>
                <w:highlight w:val="none"/>
                <w:vertAlign w:val="superscript"/>
                <w:lang w:val="en-US" w:eastAsia="zh-CN"/>
              </w:rPr>
              <w:t>3</w:t>
            </w:r>
            <w:r>
              <w:rPr>
                <w:rFonts w:hint="eastAsia"/>
                <w:bCs/>
                <w:color w:val="auto"/>
                <w:sz w:val="24"/>
                <w:highlight w:val="none"/>
                <w:lang w:val="en-US" w:eastAsia="zh-CN"/>
              </w:rPr>
              <w:t>/a。</w:t>
            </w:r>
            <w:r>
              <w:rPr>
                <w:rFonts w:hint="eastAsia"/>
                <w:bCs/>
                <w:color w:val="auto"/>
                <w:sz w:val="24"/>
                <w:highlight w:val="none"/>
              </w:rPr>
              <w:t>餐饮废水经油水分离器处理后，同生活污水一起排入厂区化粪池，处理后用于周边</w:t>
            </w:r>
            <w:r>
              <w:rPr>
                <w:rFonts w:hint="eastAsia"/>
                <w:bCs/>
                <w:color w:val="auto"/>
                <w:sz w:val="24"/>
                <w:highlight w:val="none"/>
                <w:lang w:val="en-US" w:eastAsia="zh-CN"/>
              </w:rPr>
              <w:t>农田施肥；</w:t>
            </w:r>
          </w:p>
          <w:p w14:paraId="0906020E">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lang w:val="en-US" w:eastAsia="zh-CN"/>
              </w:rPr>
              <w:t>②</w:t>
            </w:r>
            <w:r>
              <w:rPr>
                <w:rFonts w:hint="eastAsia"/>
                <w:bCs/>
                <w:color w:val="auto"/>
                <w:sz w:val="24"/>
                <w:highlight w:val="none"/>
                <w:lang w:eastAsia="zh-CN"/>
              </w:rPr>
              <w:t>现有工程运营期间，</w:t>
            </w:r>
            <w:r>
              <w:rPr>
                <w:rFonts w:hint="eastAsia"/>
                <w:bCs/>
                <w:color w:val="auto"/>
                <w:sz w:val="24"/>
                <w:highlight w:val="none"/>
                <w:lang w:val="en-US" w:eastAsia="zh-CN"/>
              </w:rPr>
              <w:t>洗车废水产生量为540m</w:t>
            </w:r>
            <w:r>
              <w:rPr>
                <w:rFonts w:hint="eastAsia"/>
                <w:bCs/>
                <w:color w:val="auto"/>
                <w:sz w:val="24"/>
                <w:highlight w:val="none"/>
                <w:vertAlign w:val="superscript"/>
                <w:lang w:val="en-US" w:eastAsia="zh-CN"/>
              </w:rPr>
              <w:t>3</w:t>
            </w:r>
            <w:r>
              <w:rPr>
                <w:rFonts w:hint="eastAsia"/>
                <w:bCs/>
                <w:color w:val="auto"/>
                <w:sz w:val="24"/>
                <w:highlight w:val="none"/>
                <w:lang w:val="en-US" w:eastAsia="zh-CN"/>
              </w:rPr>
              <w:t>/a，经配套沉淀池处理后回用，不外排</w:t>
            </w:r>
            <w:r>
              <w:rPr>
                <w:rFonts w:hint="eastAsia"/>
                <w:bCs/>
                <w:color w:val="auto"/>
                <w:sz w:val="24"/>
                <w:highlight w:val="none"/>
              </w:rPr>
              <w:t>。</w:t>
            </w:r>
          </w:p>
          <w:p w14:paraId="2A94F0B9">
            <w:pPr>
              <w:adjustRightInd w:val="0"/>
              <w:snapToGrid w:val="0"/>
              <w:spacing w:line="360" w:lineRule="auto"/>
              <w:ind w:firstLine="480" w:firstLineChars="200"/>
              <w:rPr>
                <w:bCs/>
                <w:color w:val="auto"/>
                <w:sz w:val="24"/>
                <w:highlight w:val="none"/>
              </w:rPr>
            </w:pPr>
            <w:r>
              <w:rPr>
                <w:rFonts w:hint="eastAsia"/>
                <w:bCs/>
                <w:color w:val="auto"/>
                <w:sz w:val="24"/>
                <w:highlight w:val="none"/>
              </w:rPr>
              <w:t>（3）噪声</w:t>
            </w:r>
          </w:p>
          <w:p w14:paraId="681AE39D">
            <w:pPr>
              <w:adjustRightInd w:val="0"/>
              <w:snapToGrid w:val="0"/>
              <w:spacing w:line="360" w:lineRule="auto"/>
              <w:ind w:firstLine="480" w:firstLineChars="200"/>
              <w:rPr>
                <w:b/>
                <w:bCs/>
                <w:color w:val="auto"/>
                <w:highlight w:val="none"/>
              </w:rPr>
            </w:pPr>
            <w:r>
              <w:rPr>
                <w:rFonts w:hint="eastAsia"/>
                <w:bCs/>
                <w:color w:val="auto"/>
                <w:sz w:val="24"/>
                <w:highlight w:val="none"/>
                <w:lang w:eastAsia="zh-CN"/>
              </w:rPr>
              <w:t>由于企业一直未进行竣工环保验收和日常监测，故本次在现有工程正常运行期间进行了四侧厂界噪声监测，</w:t>
            </w:r>
            <w:r>
              <w:rPr>
                <w:rFonts w:hint="eastAsia"/>
                <w:color w:val="auto"/>
                <w:sz w:val="24"/>
                <w:highlight w:val="none"/>
                <w:lang w:eastAsia="zh-CN"/>
              </w:rPr>
              <w:t>具体</w:t>
            </w:r>
            <w:r>
              <w:rPr>
                <w:bCs/>
                <w:color w:val="auto"/>
                <w:sz w:val="24"/>
                <w:highlight w:val="none"/>
              </w:rPr>
              <w:t>如下表</w:t>
            </w:r>
            <w:r>
              <w:rPr>
                <w:rFonts w:hint="eastAsia"/>
                <w:bCs/>
                <w:color w:val="auto"/>
                <w:sz w:val="24"/>
                <w:highlight w:val="none"/>
              </w:rPr>
              <w:t>：</w:t>
            </w:r>
          </w:p>
          <w:p w14:paraId="6A23640F">
            <w:pPr>
              <w:jc w:val="center"/>
              <w:rPr>
                <w:b/>
                <w:bCs/>
                <w:color w:val="auto"/>
                <w:highlight w:val="none"/>
              </w:rPr>
            </w:pPr>
            <w:r>
              <w:rPr>
                <w:b/>
                <w:bCs/>
                <w:color w:val="auto"/>
                <w:highlight w:val="none"/>
              </w:rPr>
              <w:t>表</w:t>
            </w:r>
            <w:r>
              <w:rPr>
                <w:rFonts w:hint="eastAsia"/>
                <w:b/>
                <w:bCs/>
                <w:color w:val="auto"/>
                <w:highlight w:val="none"/>
              </w:rPr>
              <w:t>2-</w:t>
            </w:r>
            <w:r>
              <w:rPr>
                <w:rFonts w:hint="eastAsia"/>
                <w:b/>
                <w:bCs/>
                <w:color w:val="auto"/>
                <w:highlight w:val="none"/>
                <w:lang w:val="en-US" w:eastAsia="zh-CN"/>
              </w:rPr>
              <w:t>11</w:t>
            </w:r>
            <w:r>
              <w:rPr>
                <w:rFonts w:hint="eastAsia"/>
                <w:b/>
                <w:bCs/>
                <w:color w:val="auto"/>
                <w:highlight w:val="none"/>
              </w:rPr>
              <w:t xml:space="preserve"> </w:t>
            </w:r>
            <w:r>
              <w:rPr>
                <w:b/>
                <w:bCs/>
                <w:color w:val="auto"/>
                <w:highlight w:val="none"/>
              </w:rPr>
              <w:t xml:space="preserve"> </w:t>
            </w:r>
            <w:r>
              <w:rPr>
                <w:rFonts w:hint="eastAsia"/>
                <w:b/>
                <w:bCs/>
                <w:color w:val="auto"/>
                <w:highlight w:val="none"/>
                <w:lang w:eastAsia="zh-CN"/>
              </w:rPr>
              <w:t>四侧厂界</w:t>
            </w:r>
            <w:r>
              <w:rPr>
                <w:b/>
                <w:color w:val="auto"/>
                <w:szCs w:val="21"/>
                <w:highlight w:val="none"/>
              </w:rPr>
              <w:t>监测结果    单位：dB(A)</w:t>
            </w:r>
          </w:p>
          <w:tbl>
            <w:tblPr>
              <w:tblStyle w:val="36"/>
              <w:tblW w:w="83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2098"/>
              <w:gridCol w:w="2098"/>
              <w:gridCol w:w="2098"/>
            </w:tblGrid>
            <w:tr w14:paraId="2B88A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vMerge w:val="restart"/>
                  <w:tcBorders>
                    <w:tl2br w:val="nil"/>
                    <w:tr2bl w:val="nil"/>
                  </w:tcBorders>
                  <w:vAlign w:val="center"/>
                </w:tcPr>
                <w:p w14:paraId="09257DE4">
                  <w:pPr>
                    <w:widowControl/>
                    <w:adjustRightInd w:val="0"/>
                    <w:snapToGrid w:val="0"/>
                    <w:jc w:val="center"/>
                    <w:rPr>
                      <w:rFonts w:hint="eastAsia" w:eastAsia="宋体"/>
                      <w:color w:val="auto"/>
                      <w:szCs w:val="21"/>
                      <w:highlight w:val="none"/>
                      <w:lang w:eastAsia="zh-CN"/>
                    </w:rPr>
                  </w:pPr>
                  <w:r>
                    <w:rPr>
                      <w:color w:val="auto"/>
                      <w:szCs w:val="21"/>
                      <w:highlight w:val="none"/>
                    </w:rPr>
                    <w:t>监测</w:t>
                  </w:r>
                  <w:r>
                    <w:rPr>
                      <w:rFonts w:hint="eastAsia"/>
                      <w:color w:val="auto"/>
                      <w:szCs w:val="21"/>
                      <w:highlight w:val="none"/>
                      <w:lang w:eastAsia="zh-CN"/>
                    </w:rPr>
                    <w:t>位置</w:t>
                  </w:r>
                </w:p>
              </w:tc>
              <w:tc>
                <w:tcPr>
                  <w:tcW w:w="2098" w:type="dxa"/>
                  <w:tcBorders>
                    <w:tl2br w:val="nil"/>
                    <w:tr2bl w:val="nil"/>
                  </w:tcBorders>
                  <w:vAlign w:val="center"/>
                </w:tcPr>
                <w:p w14:paraId="77B9813D">
                  <w:pPr>
                    <w:widowControl/>
                    <w:adjustRightInd w:val="0"/>
                    <w:snapToGrid w:val="0"/>
                    <w:jc w:val="center"/>
                    <w:rPr>
                      <w:color w:val="auto"/>
                      <w:szCs w:val="21"/>
                      <w:highlight w:val="none"/>
                    </w:rPr>
                  </w:pPr>
                  <w:r>
                    <w:rPr>
                      <w:rFonts w:hint="eastAsia"/>
                      <w:color w:val="auto"/>
                      <w:szCs w:val="21"/>
                      <w:highlight w:val="none"/>
                      <w:lang w:val="en-US" w:eastAsia="zh-CN"/>
                    </w:rPr>
                    <w:t>2025</w:t>
                  </w:r>
                  <w:r>
                    <w:rPr>
                      <w:rFonts w:hint="eastAsia"/>
                      <w:color w:val="auto"/>
                      <w:szCs w:val="21"/>
                      <w:highlight w:val="none"/>
                    </w:rPr>
                    <w:t>年</w:t>
                  </w: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7</w:t>
                  </w:r>
                  <w:r>
                    <w:rPr>
                      <w:rFonts w:hint="eastAsia"/>
                      <w:color w:val="auto"/>
                      <w:szCs w:val="21"/>
                      <w:highlight w:val="none"/>
                    </w:rPr>
                    <w:t>日</w:t>
                  </w:r>
                </w:p>
              </w:tc>
              <w:tc>
                <w:tcPr>
                  <w:tcW w:w="2098" w:type="dxa"/>
                  <w:tcBorders>
                    <w:tl2br w:val="nil"/>
                    <w:tr2bl w:val="nil"/>
                  </w:tcBorders>
                  <w:vAlign w:val="center"/>
                </w:tcPr>
                <w:p w14:paraId="63192690">
                  <w:pPr>
                    <w:widowControl/>
                    <w:adjustRightInd w:val="0"/>
                    <w:snapToGrid w:val="0"/>
                    <w:jc w:val="center"/>
                    <w:rPr>
                      <w:rFonts w:hint="eastAsia"/>
                      <w:color w:val="auto"/>
                      <w:szCs w:val="21"/>
                      <w:highlight w:val="none"/>
                    </w:rPr>
                  </w:pPr>
                  <w:r>
                    <w:rPr>
                      <w:rFonts w:hint="eastAsia"/>
                      <w:color w:val="auto"/>
                      <w:szCs w:val="21"/>
                      <w:highlight w:val="none"/>
                      <w:lang w:val="en-US" w:eastAsia="zh-CN"/>
                    </w:rPr>
                    <w:t>2025</w:t>
                  </w:r>
                  <w:r>
                    <w:rPr>
                      <w:rFonts w:hint="eastAsia"/>
                      <w:color w:val="auto"/>
                      <w:szCs w:val="21"/>
                      <w:highlight w:val="none"/>
                    </w:rPr>
                    <w:t>年</w:t>
                  </w: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8</w:t>
                  </w:r>
                  <w:r>
                    <w:rPr>
                      <w:rFonts w:hint="eastAsia"/>
                      <w:color w:val="auto"/>
                      <w:szCs w:val="21"/>
                      <w:highlight w:val="none"/>
                    </w:rPr>
                    <w:t>日</w:t>
                  </w:r>
                </w:p>
              </w:tc>
              <w:tc>
                <w:tcPr>
                  <w:tcW w:w="2098" w:type="dxa"/>
                  <w:tcBorders>
                    <w:tl2br w:val="nil"/>
                    <w:tr2bl w:val="nil"/>
                  </w:tcBorders>
                  <w:vAlign w:val="center"/>
                </w:tcPr>
                <w:p w14:paraId="14E128E7">
                  <w:pPr>
                    <w:widowControl/>
                    <w:adjustRightInd w:val="0"/>
                    <w:snapToGrid w:val="0"/>
                    <w:jc w:val="center"/>
                    <w:rPr>
                      <w:color w:val="auto"/>
                      <w:szCs w:val="21"/>
                      <w:highlight w:val="none"/>
                    </w:rPr>
                  </w:pPr>
                  <w:r>
                    <w:rPr>
                      <w:rFonts w:hint="eastAsia"/>
                      <w:color w:val="auto"/>
                      <w:szCs w:val="21"/>
                      <w:highlight w:val="none"/>
                    </w:rPr>
                    <w:t>标准限值</w:t>
                  </w:r>
                </w:p>
              </w:tc>
            </w:tr>
            <w:tr w14:paraId="6F9AE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vMerge w:val="continue"/>
                  <w:tcBorders>
                    <w:tl2br w:val="nil"/>
                    <w:tr2bl w:val="nil"/>
                  </w:tcBorders>
                  <w:vAlign w:val="center"/>
                </w:tcPr>
                <w:p w14:paraId="508A1905">
                  <w:pPr>
                    <w:widowControl/>
                    <w:adjustRightInd w:val="0"/>
                    <w:snapToGrid w:val="0"/>
                    <w:jc w:val="center"/>
                    <w:rPr>
                      <w:color w:val="auto"/>
                      <w:szCs w:val="21"/>
                      <w:highlight w:val="none"/>
                    </w:rPr>
                  </w:pPr>
                </w:p>
              </w:tc>
              <w:tc>
                <w:tcPr>
                  <w:tcW w:w="2098" w:type="dxa"/>
                  <w:tcBorders>
                    <w:tl2br w:val="nil"/>
                    <w:tr2bl w:val="nil"/>
                  </w:tcBorders>
                  <w:vAlign w:val="center"/>
                </w:tcPr>
                <w:p w14:paraId="32B9D0FC">
                  <w:pPr>
                    <w:widowControl/>
                    <w:adjustRightInd w:val="0"/>
                    <w:snapToGrid w:val="0"/>
                    <w:jc w:val="center"/>
                    <w:rPr>
                      <w:color w:val="auto"/>
                      <w:szCs w:val="21"/>
                      <w:highlight w:val="none"/>
                    </w:rPr>
                  </w:pPr>
                  <w:r>
                    <w:rPr>
                      <w:rFonts w:hint="eastAsia"/>
                      <w:color w:val="auto"/>
                      <w:szCs w:val="21"/>
                      <w:highlight w:val="none"/>
                    </w:rPr>
                    <w:t>昼间</w:t>
                  </w:r>
                </w:p>
              </w:tc>
              <w:tc>
                <w:tcPr>
                  <w:tcW w:w="2098" w:type="dxa"/>
                  <w:tcBorders>
                    <w:tl2br w:val="nil"/>
                    <w:tr2bl w:val="nil"/>
                  </w:tcBorders>
                  <w:vAlign w:val="center"/>
                </w:tcPr>
                <w:p w14:paraId="6D006E01">
                  <w:pPr>
                    <w:widowControl/>
                    <w:adjustRightInd w:val="0"/>
                    <w:snapToGrid w:val="0"/>
                    <w:jc w:val="center"/>
                    <w:rPr>
                      <w:color w:val="auto"/>
                      <w:szCs w:val="21"/>
                      <w:highlight w:val="none"/>
                    </w:rPr>
                  </w:pPr>
                  <w:r>
                    <w:rPr>
                      <w:rFonts w:hint="eastAsia"/>
                      <w:color w:val="auto"/>
                      <w:szCs w:val="21"/>
                      <w:highlight w:val="none"/>
                    </w:rPr>
                    <w:t>夜间</w:t>
                  </w:r>
                </w:p>
              </w:tc>
              <w:tc>
                <w:tcPr>
                  <w:tcW w:w="2098" w:type="dxa"/>
                  <w:tcBorders>
                    <w:tl2br w:val="nil"/>
                    <w:tr2bl w:val="nil"/>
                  </w:tcBorders>
                  <w:vAlign w:val="center"/>
                </w:tcPr>
                <w:p w14:paraId="6C2F7847">
                  <w:pPr>
                    <w:widowControl/>
                    <w:adjustRightInd w:val="0"/>
                    <w:snapToGrid w:val="0"/>
                    <w:jc w:val="center"/>
                    <w:rPr>
                      <w:color w:val="auto"/>
                      <w:szCs w:val="21"/>
                      <w:highlight w:val="none"/>
                    </w:rPr>
                  </w:pPr>
                  <w:r>
                    <w:rPr>
                      <w:rFonts w:hint="eastAsia"/>
                      <w:color w:val="auto"/>
                      <w:szCs w:val="21"/>
                      <w:highlight w:val="none"/>
                    </w:rPr>
                    <w:t>昼间</w:t>
                  </w:r>
                </w:p>
              </w:tc>
            </w:tr>
            <w:tr w14:paraId="3ECF4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19170A3C">
                  <w:pPr>
                    <w:jc w:val="center"/>
                    <w:rPr>
                      <w:color w:val="auto"/>
                      <w:szCs w:val="21"/>
                      <w:highlight w:val="none"/>
                    </w:rPr>
                  </w:pPr>
                  <w:r>
                    <w:rPr>
                      <w:rFonts w:hint="eastAsia"/>
                      <w:color w:val="auto"/>
                      <w:szCs w:val="21"/>
                      <w:highlight w:val="none"/>
                    </w:rPr>
                    <w:t>厂界北</w:t>
                  </w:r>
                </w:p>
              </w:tc>
              <w:tc>
                <w:tcPr>
                  <w:tcW w:w="2098" w:type="dxa"/>
                  <w:tcBorders>
                    <w:tl2br w:val="nil"/>
                    <w:tr2bl w:val="nil"/>
                  </w:tcBorders>
                  <w:vAlign w:val="center"/>
                </w:tcPr>
                <w:p w14:paraId="0B6687FA">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2098" w:type="dxa"/>
                  <w:tcBorders>
                    <w:tl2br w:val="nil"/>
                    <w:tr2bl w:val="nil"/>
                  </w:tcBorders>
                  <w:vAlign w:val="center"/>
                </w:tcPr>
                <w:p w14:paraId="4407AEC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54</w:t>
                  </w:r>
                </w:p>
              </w:tc>
              <w:tc>
                <w:tcPr>
                  <w:tcW w:w="2098" w:type="dxa"/>
                  <w:vMerge w:val="restart"/>
                  <w:tcBorders>
                    <w:tl2br w:val="nil"/>
                    <w:tr2bl w:val="nil"/>
                  </w:tcBorders>
                  <w:vAlign w:val="center"/>
                </w:tcPr>
                <w:p w14:paraId="697906C8">
                  <w:pPr>
                    <w:widowControl/>
                    <w:adjustRightInd w:val="0"/>
                    <w:snapToGrid w:val="0"/>
                    <w:jc w:val="center"/>
                    <w:rPr>
                      <w:rFonts w:hint="eastAsia" w:eastAsia="宋体"/>
                      <w:color w:val="auto"/>
                      <w:szCs w:val="21"/>
                      <w:highlight w:val="none"/>
                      <w:lang w:val="en-US" w:eastAsia="zh-CN"/>
                    </w:rPr>
                  </w:pPr>
                  <w:r>
                    <w:rPr>
                      <w:rFonts w:hint="eastAsia"/>
                      <w:color w:val="auto"/>
                      <w:szCs w:val="21"/>
                      <w:highlight w:val="none"/>
                    </w:rPr>
                    <w:t>6</w:t>
                  </w:r>
                  <w:r>
                    <w:rPr>
                      <w:rFonts w:hint="eastAsia"/>
                      <w:color w:val="auto"/>
                      <w:szCs w:val="21"/>
                      <w:highlight w:val="none"/>
                      <w:lang w:val="en-US" w:eastAsia="zh-CN"/>
                    </w:rPr>
                    <w:t>5</w:t>
                  </w:r>
                </w:p>
              </w:tc>
            </w:tr>
            <w:tr w14:paraId="1738A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5FB17C0D">
                  <w:pPr>
                    <w:jc w:val="center"/>
                    <w:rPr>
                      <w:color w:val="auto"/>
                      <w:szCs w:val="21"/>
                      <w:highlight w:val="none"/>
                    </w:rPr>
                  </w:pPr>
                  <w:r>
                    <w:rPr>
                      <w:rFonts w:hint="eastAsia"/>
                      <w:color w:val="auto"/>
                      <w:szCs w:val="21"/>
                      <w:highlight w:val="none"/>
                    </w:rPr>
                    <w:t>厂界东</w:t>
                  </w:r>
                </w:p>
              </w:tc>
              <w:tc>
                <w:tcPr>
                  <w:tcW w:w="2098" w:type="dxa"/>
                  <w:tcBorders>
                    <w:tl2br w:val="nil"/>
                    <w:tr2bl w:val="nil"/>
                  </w:tcBorders>
                  <w:vAlign w:val="center"/>
                </w:tcPr>
                <w:p w14:paraId="31200D2C">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52</w:t>
                  </w:r>
                </w:p>
              </w:tc>
              <w:tc>
                <w:tcPr>
                  <w:tcW w:w="2098" w:type="dxa"/>
                  <w:tcBorders>
                    <w:tl2br w:val="nil"/>
                    <w:tr2bl w:val="nil"/>
                  </w:tcBorders>
                  <w:vAlign w:val="center"/>
                </w:tcPr>
                <w:p w14:paraId="198DC44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52</w:t>
                  </w:r>
                </w:p>
              </w:tc>
              <w:tc>
                <w:tcPr>
                  <w:tcW w:w="2098" w:type="dxa"/>
                  <w:vMerge w:val="continue"/>
                  <w:tcBorders>
                    <w:tl2br w:val="nil"/>
                    <w:tr2bl w:val="nil"/>
                  </w:tcBorders>
                  <w:vAlign w:val="center"/>
                </w:tcPr>
                <w:p w14:paraId="7C32E64E">
                  <w:pPr>
                    <w:widowControl/>
                    <w:adjustRightInd w:val="0"/>
                    <w:snapToGrid w:val="0"/>
                    <w:jc w:val="center"/>
                    <w:rPr>
                      <w:color w:val="auto"/>
                      <w:szCs w:val="21"/>
                      <w:highlight w:val="none"/>
                    </w:rPr>
                  </w:pPr>
                </w:p>
              </w:tc>
            </w:tr>
            <w:tr w14:paraId="2187F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4FFDFD27">
                  <w:pPr>
                    <w:jc w:val="center"/>
                    <w:rPr>
                      <w:color w:val="auto"/>
                      <w:szCs w:val="21"/>
                      <w:highlight w:val="none"/>
                    </w:rPr>
                  </w:pPr>
                  <w:r>
                    <w:rPr>
                      <w:rFonts w:hint="eastAsia"/>
                      <w:color w:val="auto"/>
                      <w:szCs w:val="21"/>
                      <w:highlight w:val="none"/>
                    </w:rPr>
                    <w:t>厂界南</w:t>
                  </w:r>
                </w:p>
              </w:tc>
              <w:tc>
                <w:tcPr>
                  <w:tcW w:w="2098" w:type="dxa"/>
                  <w:tcBorders>
                    <w:tl2br w:val="nil"/>
                    <w:tr2bl w:val="nil"/>
                  </w:tcBorders>
                  <w:vAlign w:val="center"/>
                </w:tcPr>
                <w:p w14:paraId="346EBCB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63</w:t>
                  </w:r>
                </w:p>
              </w:tc>
              <w:tc>
                <w:tcPr>
                  <w:tcW w:w="2098" w:type="dxa"/>
                  <w:tcBorders>
                    <w:tl2br w:val="nil"/>
                    <w:tr2bl w:val="nil"/>
                  </w:tcBorders>
                  <w:vAlign w:val="center"/>
                </w:tcPr>
                <w:p w14:paraId="1ED2A2E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64</w:t>
                  </w:r>
                </w:p>
              </w:tc>
              <w:tc>
                <w:tcPr>
                  <w:tcW w:w="2098" w:type="dxa"/>
                  <w:vMerge w:val="continue"/>
                  <w:tcBorders>
                    <w:tl2br w:val="nil"/>
                    <w:tr2bl w:val="nil"/>
                  </w:tcBorders>
                  <w:vAlign w:val="center"/>
                </w:tcPr>
                <w:p w14:paraId="147A566A">
                  <w:pPr>
                    <w:widowControl/>
                    <w:adjustRightInd w:val="0"/>
                    <w:snapToGrid w:val="0"/>
                    <w:jc w:val="center"/>
                    <w:rPr>
                      <w:color w:val="auto"/>
                      <w:szCs w:val="21"/>
                      <w:highlight w:val="none"/>
                    </w:rPr>
                  </w:pPr>
                </w:p>
              </w:tc>
            </w:tr>
            <w:tr w14:paraId="22683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7841B126">
                  <w:pPr>
                    <w:jc w:val="center"/>
                    <w:rPr>
                      <w:color w:val="auto"/>
                      <w:szCs w:val="21"/>
                      <w:highlight w:val="none"/>
                    </w:rPr>
                  </w:pPr>
                  <w:r>
                    <w:rPr>
                      <w:rFonts w:hint="eastAsia"/>
                      <w:color w:val="auto"/>
                      <w:szCs w:val="21"/>
                      <w:highlight w:val="none"/>
                    </w:rPr>
                    <w:t>厂界西</w:t>
                  </w:r>
                </w:p>
              </w:tc>
              <w:tc>
                <w:tcPr>
                  <w:tcW w:w="2098" w:type="dxa"/>
                  <w:tcBorders>
                    <w:tl2br w:val="nil"/>
                    <w:tr2bl w:val="nil"/>
                  </w:tcBorders>
                  <w:vAlign w:val="center"/>
                </w:tcPr>
                <w:p w14:paraId="08E6C7F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2098" w:type="dxa"/>
                  <w:tcBorders>
                    <w:tl2br w:val="nil"/>
                    <w:tr2bl w:val="nil"/>
                  </w:tcBorders>
                  <w:vAlign w:val="center"/>
                </w:tcPr>
                <w:p w14:paraId="6699CF9B">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2098" w:type="dxa"/>
                  <w:vMerge w:val="continue"/>
                  <w:tcBorders>
                    <w:tl2br w:val="nil"/>
                    <w:tr2bl w:val="nil"/>
                  </w:tcBorders>
                  <w:vAlign w:val="center"/>
                </w:tcPr>
                <w:p w14:paraId="7008C7B8">
                  <w:pPr>
                    <w:widowControl/>
                    <w:adjustRightInd w:val="0"/>
                    <w:snapToGrid w:val="0"/>
                    <w:jc w:val="center"/>
                    <w:rPr>
                      <w:color w:val="auto"/>
                      <w:szCs w:val="21"/>
                      <w:highlight w:val="none"/>
                    </w:rPr>
                  </w:pPr>
                </w:p>
              </w:tc>
            </w:tr>
          </w:tbl>
          <w:p w14:paraId="078F30ED">
            <w:pPr>
              <w:spacing w:line="336" w:lineRule="auto"/>
              <w:ind w:firstLine="480" w:firstLineChars="200"/>
              <w:rPr>
                <w:rFonts w:hAnsi="宋体"/>
                <w:color w:val="auto"/>
                <w:sz w:val="24"/>
                <w:highlight w:val="none"/>
              </w:rPr>
            </w:pPr>
            <w:r>
              <w:rPr>
                <w:rFonts w:hint="eastAsia" w:hAnsi="宋体"/>
                <w:color w:val="auto"/>
                <w:sz w:val="24"/>
                <w:highlight w:val="none"/>
              </w:rPr>
              <w:t>根据上表可知，监测期间厂界四侧噪声值均符合</w:t>
            </w:r>
            <w:r>
              <w:rPr>
                <w:rFonts w:hAnsi="宋体"/>
                <w:color w:val="auto"/>
                <w:sz w:val="24"/>
                <w:highlight w:val="none"/>
              </w:rPr>
              <w:t>《工业企业厂界</w:t>
            </w:r>
            <w:r>
              <w:rPr>
                <w:rFonts w:hint="eastAsia" w:hAnsi="宋体"/>
                <w:color w:val="auto"/>
                <w:sz w:val="24"/>
                <w:highlight w:val="none"/>
              </w:rPr>
              <w:t>环境</w:t>
            </w:r>
            <w:r>
              <w:rPr>
                <w:rFonts w:hAnsi="宋体"/>
                <w:color w:val="auto"/>
                <w:sz w:val="24"/>
                <w:highlight w:val="none"/>
              </w:rPr>
              <w:t>噪声</w:t>
            </w:r>
            <w:r>
              <w:rPr>
                <w:rFonts w:hint="eastAsia" w:hAnsi="宋体"/>
                <w:color w:val="auto"/>
                <w:sz w:val="24"/>
                <w:highlight w:val="none"/>
              </w:rPr>
              <w:t>排放</w:t>
            </w:r>
            <w:r>
              <w:rPr>
                <w:rFonts w:hAnsi="宋体"/>
                <w:color w:val="auto"/>
                <w:sz w:val="24"/>
                <w:highlight w:val="none"/>
              </w:rPr>
              <w:t>标准》（GB12348</w:t>
            </w:r>
            <w:r>
              <w:rPr>
                <w:rFonts w:hint="eastAsia" w:hAnsi="宋体"/>
                <w:color w:val="auto"/>
                <w:sz w:val="24"/>
                <w:highlight w:val="none"/>
              </w:rPr>
              <w:t>-2008</w:t>
            </w:r>
            <w:r>
              <w:rPr>
                <w:rFonts w:hAnsi="宋体"/>
                <w:color w:val="auto"/>
                <w:sz w:val="24"/>
                <w:highlight w:val="none"/>
              </w:rPr>
              <w:t>）</w:t>
            </w:r>
            <w:r>
              <w:rPr>
                <w:rFonts w:hint="eastAsia" w:hAnsi="宋体"/>
                <w:color w:val="auto"/>
                <w:sz w:val="24"/>
                <w:highlight w:val="none"/>
                <w:lang w:val="en-US" w:eastAsia="zh-CN"/>
              </w:rPr>
              <w:t>3</w:t>
            </w:r>
            <w:r>
              <w:rPr>
                <w:rFonts w:hint="eastAsia" w:hAnsi="宋体"/>
                <w:color w:val="auto"/>
                <w:sz w:val="24"/>
                <w:highlight w:val="none"/>
              </w:rPr>
              <w:t>类区标准限值。</w:t>
            </w:r>
          </w:p>
          <w:p w14:paraId="115F6BF0">
            <w:pPr>
              <w:pStyle w:val="45"/>
              <w:spacing w:line="360" w:lineRule="auto"/>
              <w:ind w:firstLine="480" w:firstLineChars="200"/>
              <w:rPr>
                <w:color w:val="auto"/>
                <w:highlight w:val="none"/>
              </w:rPr>
            </w:pPr>
            <w:r>
              <w:rPr>
                <w:rFonts w:ascii="Times New Roman" w:cs="Times New Roman"/>
                <w:color w:val="auto"/>
                <w:highlight w:val="none"/>
              </w:rPr>
              <w:t>（4）</w:t>
            </w:r>
            <w:r>
              <w:rPr>
                <w:rFonts w:hint="eastAsia" w:ascii="Times New Roman" w:cs="Times New Roman"/>
                <w:color w:val="auto"/>
                <w:highlight w:val="none"/>
              </w:rPr>
              <w:t>固废</w:t>
            </w:r>
          </w:p>
          <w:p w14:paraId="74051D29">
            <w:pPr>
              <w:pStyle w:val="45"/>
              <w:spacing w:line="360" w:lineRule="auto"/>
              <w:ind w:firstLine="480" w:firstLineChars="200"/>
              <w:jc w:val="both"/>
              <w:rPr>
                <w:rFonts w:hint="eastAsia" w:hAnsi="宋体" w:eastAsia="宋体"/>
                <w:bCs/>
                <w:color w:val="auto"/>
                <w:szCs w:val="21"/>
                <w:highlight w:val="none"/>
                <w:lang w:eastAsia="zh-CN"/>
              </w:rPr>
            </w:pPr>
            <w:r>
              <w:rPr>
                <w:rFonts w:hint="eastAsia" w:hAnsi="宋体"/>
                <w:bCs/>
                <w:color w:val="auto"/>
                <w:szCs w:val="21"/>
                <w:highlight w:val="none"/>
                <w:lang w:eastAsia="zh-CN"/>
              </w:rPr>
              <w:t>现有工程生活垃圾和固废产生量及处置措施如下：</w:t>
            </w:r>
          </w:p>
          <w:p w14:paraId="019584FB">
            <w:pPr>
              <w:jc w:val="center"/>
              <w:rPr>
                <w:b/>
                <w:color w:val="auto"/>
                <w:sz w:val="24"/>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lang w:val="en-US" w:eastAsia="zh-CN"/>
              </w:rPr>
              <w:t>12</w:t>
            </w:r>
            <w:r>
              <w:rPr>
                <w:b/>
                <w:color w:val="auto"/>
                <w:szCs w:val="21"/>
                <w:highlight w:val="none"/>
              </w:rPr>
              <w:t xml:space="preserve">  </w:t>
            </w:r>
            <w:r>
              <w:rPr>
                <w:rFonts w:hint="eastAsia"/>
                <w:b/>
                <w:color w:val="auto"/>
                <w:szCs w:val="21"/>
                <w:highlight w:val="none"/>
              </w:rPr>
              <w:t>现有工程</w:t>
            </w:r>
            <w:r>
              <w:rPr>
                <w:rFonts w:hint="eastAsia"/>
                <w:b/>
                <w:color w:val="auto"/>
                <w:szCs w:val="21"/>
                <w:highlight w:val="none"/>
                <w:lang w:eastAsia="zh-CN"/>
              </w:rPr>
              <w:t>生活垃圾和固废产生及处置情况</w:t>
            </w:r>
            <w:r>
              <w:rPr>
                <w:rFonts w:hint="eastAsia"/>
                <w:b/>
                <w:color w:val="auto"/>
                <w:szCs w:val="21"/>
                <w:highlight w:val="none"/>
              </w:rPr>
              <w:t>汇总表</w:t>
            </w:r>
          </w:p>
          <w:tbl>
            <w:tblPr>
              <w:tblStyle w:val="36"/>
              <w:tblW w:w="829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63"/>
              <w:gridCol w:w="2715"/>
              <w:gridCol w:w="1262"/>
              <w:gridCol w:w="2850"/>
            </w:tblGrid>
            <w:tr w14:paraId="7A59CB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trPr>
              <w:tc>
                <w:tcPr>
                  <w:tcW w:w="1463" w:type="dxa"/>
                  <w:vAlign w:val="center"/>
                </w:tcPr>
                <w:p w14:paraId="6A418C47">
                  <w:pPr>
                    <w:jc w:val="center"/>
                    <w:rPr>
                      <w:color w:val="auto"/>
                      <w:szCs w:val="21"/>
                      <w:highlight w:val="none"/>
                    </w:rPr>
                  </w:pPr>
                  <w:r>
                    <w:rPr>
                      <w:color w:val="auto"/>
                      <w:szCs w:val="21"/>
                      <w:highlight w:val="none"/>
                    </w:rPr>
                    <w:t>类别</w:t>
                  </w:r>
                </w:p>
              </w:tc>
              <w:tc>
                <w:tcPr>
                  <w:tcW w:w="2715" w:type="dxa"/>
                  <w:vAlign w:val="center"/>
                </w:tcPr>
                <w:p w14:paraId="4D1DC625">
                  <w:pPr>
                    <w:jc w:val="center"/>
                    <w:rPr>
                      <w:color w:val="auto"/>
                      <w:szCs w:val="21"/>
                      <w:highlight w:val="none"/>
                    </w:rPr>
                  </w:pPr>
                  <w:r>
                    <w:rPr>
                      <w:color w:val="auto"/>
                      <w:szCs w:val="21"/>
                      <w:highlight w:val="none"/>
                    </w:rPr>
                    <w:t>污染物</w:t>
                  </w:r>
                </w:p>
              </w:tc>
              <w:tc>
                <w:tcPr>
                  <w:tcW w:w="1262" w:type="dxa"/>
                  <w:vAlign w:val="center"/>
                </w:tcPr>
                <w:p w14:paraId="2C33EB84">
                  <w:pPr>
                    <w:jc w:val="center"/>
                    <w:rPr>
                      <w:color w:val="auto"/>
                      <w:szCs w:val="21"/>
                      <w:highlight w:val="none"/>
                    </w:rPr>
                  </w:pPr>
                  <w:r>
                    <w:rPr>
                      <w:rFonts w:hint="eastAsia"/>
                      <w:color w:val="auto"/>
                      <w:szCs w:val="21"/>
                      <w:highlight w:val="none"/>
                      <w:lang w:eastAsia="zh-CN"/>
                    </w:rPr>
                    <w:t>产生</w:t>
                  </w:r>
                  <w:r>
                    <w:rPr>
                      <w:color w:val="auto"/>
                      <w:szCs w:val="21"/>
                      <w:highlight w:val="none"/>
                    </w:rPr>
                    <w:t>量</w:t>
                  </w:r>
                </w:p>
              </w:tc>
              <w:tc>
                <w:tcPr>
                  <w:tcW w:w="2850" w:type="dxa"/>
                  <w:vAlign w:val="center"/>
                </w:tcPr>
                <w:p w14:paraId="1BB475A6">
                  <w:pPr>
                    <w:jc w:val="center"/>
                    <w:rPr>
                      <w:rFonts w:hint="eastAsia"/>
                      <w:color w:val="auto"/>
                      <w:szCs w:val="21"/>
                      <w:highlight w:val="none"/>
                      <w:lang w:eastAsia="zh-CN"/>
                    </w:rPr>
                  </w:pPr>
                  <w:r>
                    <w:rPr>
                      <w:rFonts w:hint="eastAsia"/>
                      <w:color w:val="auto"/>
                      <w:szCs w:val="21"/>
                      <w:highlight w:val="none"/>
                      <w:lang w:eastAsia="zh-CN"/>
                    </w:rPr>
                    <w:t>处置措施及去向</w:t>
                  </w:r>
                </w:p>
              </w:tc>
            </w:tr>
            <w:tr w14:paraId="6F70B0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Align w:val="center"/>
                </w:tcPr>
                <w:p w14:paraId="22AE670B">
                  <w:pPr>
                    <w:jc w:val="center"/>
                    <w:rPr>
                      <w:rFonts w:hint="eastAsia" w:eastAsia="宋体"/>
                      <w:color w:val="auto"/>
                      <w:szCs w:val="21"/>
                      <w:highlight w:val="none"/>
                      <w:lang w:eastAsia="zh-CN"/>
                    </w:rPr>
                  </w:pPr>
                  <w:r>
                    <w:rPr>
                      <w:rFonts w:hint="eastAsia"/>
                      <w:color w:val="auto"/>
                      <w:szCs w:val="21"/>
                      <w:highlight w:val="none"/>
                      <w:lang w:eastAsia="zh-CN"/>
                    </w:rPr>
                    <w:t>生活垃圾</w:t>
                  </w:r>
                </w:p>
              </w:tc>
              <w:tc>
                <w:tcPr>
                  <w:tcW w:w="2715" w:type="dxa"/>
                  <w:vAlign w:val="center"/>
                </w:tcPr>
                <w:p w14:paraId="1BD3BC6E">
                  <w:pPr>
                    <w:pStyle w:val="45"/>
                    <w:autoSpaceDE/>
                    <w:autoSpaceDN/>
                    <w:jc w:val="center"/>
                    <w:rPr>
                      <w:rFonts w:hint="eastAsia" w:ascii="Times New Roman" w:eastAsia="宋体" w:cs="Times New Roman"/>
                      <w:color w:val="auto"/>
                      <w:szCs w:val="21"/>
                      <w:highlight w:val="none"/>
                      <w:lang w:eastAsia="zh-CN"/>
                    </w:rPr>
                  </w:pPr>
                  <w:r>
                    <w:rPr>
                      <w:rFonts w:hint="eastAsia" w:ascii="Times New Roman" w:cs="Times New Roman"/>
                      <w:color w:val="auto"/>
                      <w:sz w:val="21"/>
                      <w:szCs w:val="21"/>
                      <w:highlight w:val="none"/>
                      <w:lang w:eastAsia="zh-CN"/>
                    </w:rPr>
                    <w:t>生活垃圾</w:t>
                  </w:r>
                </w:p>
              </w:tc>
              <w:tc>
                <w:tcPr>
                  <w:tcW w:w="1262" w:type="dxa"/>
                  <w:vAlign w:val="center"/>
                </w:tcPr>
                <w:p w14:paraId="680F3234">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lang w:val="en-US" w:eastAsia="zh-CN"/>
                    </w:rPr>
                    <w:t>0.912</w:t>
                  </w:r>
                  <w:r>
                    <w:rPr>
                      <w:rFonts w:hint="eastAsia" w:ascii="Times New Roman" w:eastAsia="等线"/>
                      <w:bCs/>
                      <w:color w:val="auto"/>
                      <w:szCs w:val="21"/>
                      <w:highlight w:val="none"/>
                    </w:rPr>
                    <w:t>t</w:t>
                  </w:r>
                  <w:r>
                    <w:rPr>
                      <w:rFonts w:ascii="Times New Roman" w:eastAsia="等线"/>
                      <w:bCs/>
                      <w:color w:val="auto"/>
                      <w:szCs w:val="21"/>
                      <w:highlight w:val="none"/>
                    </w:rPr>
                    <w:t>/a</w:t>
                  </w:r>
                </w:p>
              </w:tc>
              <w:tc>
                <w:tcPr>
                  <w:tcW w:w="2850" w:type="dxa"/>
                  <w:vMerge w:val="restart"/>
                  <w:vAlign w:val="center"/>
                </w:tcPr>
                <w:p w14:paraId="4543B811">
                  <w:pPr>
                    <w:pStyle w:val="87"/>
                    <w:spacing w:beforeLines="0" w:afterLines="0" w:line="240" w:lineRule="auto"/>
                    <w:jc w:val="center"/>
                    <w:rPr>
                      <w:rFonts w:hint="eastAsia" w:ascii="Times New Roman" w:eastAsia="宋体"/>
                      <w:snapToGrid w:val="0"/>
                      <w:color w:val="auto"/>
                      <w:kern w:val="21"/>
                      <w:szCs w:val="21"/>
                      <w:highlight w:val="none"/>
                      <w:lang w:eastAsia="zh-CN"/>
                    </w:rPr>
                  </w:pPr>
                  <w:r>
                    <w:rPr>
                      <w:rFonts w:hint="eastAsia" w:ascii="宋体" w:hAnsi="宋体"/>
                      <w:bCs/>
                      <w:color w:val="auto"/>
                      <w:kern w:val="0"/>
                      <w:szCs w:val="21"/>
                      <w:highlight w:val="none"/>
                    </w:rPr>
                    <w:t>生活垃圾经垃圾桶收集后与收集尘一同交由环卫部门处置</w:t>
                  </w:r>
                </w:p>
              </w:tc>
            </w:tr>
            <w:tr w14:paraId="083B9A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restart"/>
                  <w:vAlign w:val="center"/>
                </w:tcPr>
                <w:p w14:paraId="7BFEC99F">
                  <w:pPr>
                    <w:jc w:val="center"/>
                    <w:rPr>
                      <w:rFonts w:hint="eastAsia" w:eastAsia="宋体"/>
                      <w:color w:val="auto"/>
                      <w:szCs w:val="21"/>
                      <w:highlight w:val="none"/>
                      <w:lang w:eastAsia="zh-CN"/>
                    </w:rPr>
                  </w:pPr>
                  <w:r>
                    <w:rPr>
                      <w:rFonts w:hint="eastAsia"/>
                      <w:color w:val="auto"/>
                      <w:szCs w:val="21"/>
                      <w:highlight w:val="none"/>
                      <w:lang w:eastAsia="zh-CN"/>
                    </w:rPr>
                    <w:t>固废</w:t>
                  </w:r>
                </w:p>
              </w:tc>
              <w:tc>
                <w:tcPr>
                  <w:tcW w:w="2715" w:type="dxa"/>
                  <w:vAlign w:val="center"/>
                </w:tcPr>
                <w:p w14:paraId="10091643">
                  <w:pPr>
                    <w:pStyle w:val="87"/>
                    <w:spacing w:beforeLines="0" w:afterLines="0" w:line="240" w:lineRule="auto"/>
                    <w:rPr>
                      <w:rFonts w:ascii="Times New Roman"/>
                      <w:color w:val="auto"/>
                      <w:szCs w:val="21"/>
                      <w:highlight w:val="none"/>
                    </w:rPr>
                  </w:pPr>
                  <w:r>
                    <w:rPr>
                      <w:rFonts w:hint="eastAsia" w:ascii="宋体" w:hAnsi="宋体"/>
                      <w:bCs/>
                      <w:color w:val="auto"/>
                      <w:kern w:val="0"/>
                      <w:szCs w:val="21"/>
                      <w:highlight w:val="none"/>
                    </w:rPr>
                    <w:t>收集尘</w:t>
                  </w:r>
                </w:p>
              </w:tc>
              <w:tc>
                <w:tcPr>
                  <w:tcW w:w="1262" w:type="dxa"/>
                  <w:vAlign w:val="center"/>
                </w:tcPr>
                <w:p w14:paraId="7CEB8FA8">
                  <w:pPr>
                    <w:pStyle w:val="87"/>
                    <w:spacing w:beforeLines="0" w:afterLines="0" w:line="240" w:lineRule="auto"/>
                    <w:rPr>
                      <w:rFonts w:ascii="Times New Roman"/>
                      <w:color w:val="auto"/>
                      <w:szCs w:val="21"/>
                      <w:highlight w:val="none"/>
                    </w:rPr>
                  </w:pPr>
                  <w:r>
                    <w:rPr>
                      <w:rFonts w:hint="eastAsia" w:ascii="Times New Roman"/>
                      <w:snapToGrid w:val="0"/>
                      <w:color w:val="auto"/>
                      <w:kern w:val="21"/>
                      <w:szCs w:val="21"/>
                      <w:highlight w:val="none"/>
                      <w:lang w:val="en-US" w:eastAsia="zh-CN"/>
                    </w:rPr>
                    <w:t>11.88</w:t>
                  </w:r>
                  <w:r>
                    <w:rPr>
                      <w:rFonts w:ascii="Times New Roman"/>
                      <w:snapToGrid w:val="0"/>
                      <w:color w:val="auto"/>
                      <w:kern w:val="21"/>
                      <w:szCs w:val="21"/>
                      <w:highlight w:val="none"/>
                    </w:rPr>
                    <w:t>t/a</w:t>
                  </w:r>
                </w:p>
              </w:tc>
              <w:tc>
                <w:tcPr>
                  <w:tcW w:w="2850" w:type="dxa"/>
                  <w:vMerge w:val="continue"/>
                  <w:vAlign w:val="center"/>
                </w:tcPr>
                <w:p w14:paraId="4EA89D7D">
                  <w:pPr>
                    <w:pStyle w:val="87"/>
                    <w:spacing w:beforeLines="0" w:afterLines="0" w:line="240" w:lineRule="auto"/>
                    <w:jc w:val="center"/>
                    <w:rPr>
                      <w:rFonts w:hint="eastAsia" w:ascii="Times New Roman" w:eastAsia="宋体"/>
                      <w:snapToGrid w:val="0"/>
                      <w:color w:val="auto"/>
                      <w:kern w:val="21"/>
                      <w:szCs w:val="21"/>
                      <w:highlight w:val="none"/>
                      <w:lang w:eastAsia="zh-CN"/>
                    </w:rPr>
                  </w:pPr>
                </w:p>
              </w:tc>
            </w:tr>
            <w:tr w14:paraId="1B21B6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0C3D0BEF">
                  <w:pPr>
                    <w:jc w:val="center"/>
                    <w:rPr>
                      <w:rFonts w:hint="eastAsia"/>
                      <w:color w:val="auto"/>
                      <w:szCs w:val="21"/>
                      <w:highlight w:val="none"/>
                      <w:lang w:eastAsia="zh-CN"/>
                    </w:rPr>
                  </w:pPr>
                </w:p>
              </w:tc>
              <w:tc>
                <w:tcPr>
                  <w:tcW w:w="2715" w:type="dxa"/>
                  <w:vAlign w:val="center"/>
                </w:tcPr>
                <w:p w14:paraId="15D523C7">
                  <w:pPr>
                    <w:pStyle w:val="87"/>
                    <w:spacing w:beforeLines="0" w:afterLines="0" w:line="240" w:lineRule="auto"/>
                    <w:rPr>
                      <w:rFonts w:ascii="Times New Roman"/>
                      <w:bCs/>
                      <w:color w:val="auto"/>
                      <w:szCs w:val="21"/>
                      <w:highlight w:val="none"/>
                    </w:rPr>
                  </w:pPr>
                  <w:r>
                    <w:rPr>
                      <w:rFonts w:hint="default" w:ascii="Times New Roman" w:hAnsi="Times New Roman" w:eastAsia="宋体" w:cs="Times New Roman"/>
                      <w:color w:val="auto"/>
                      <w:sz w:val="21"/>
                      <w:szCs w:val="21"/>
                      <w:highlight w:val="none"/>
                      <w:lang w:bidi="ar"/>
                    </w:rPr>
                    <w:t>餐厨废弃物</w:t>
                  </w:r>
                </w:p>
              </w:tc>
              <w:tc>
                <w:tcPr>
                  <w:tcW w:w="1262" w:type="dxa"/>
                  <w:vAlign w:val="center"/>
                </w:tcPr>
                <w:p w14:paraId="3B748080">
                  <w:pPr>
                    <w:pStyle w:val="87"/>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1.75</w:t>
                  </w:r>
                  <w:r>
                    <w:rPr>
                      <w:rFonts w:ascii="Times New Roman"/>
                      <w:snapToGrid w:val="0"/>
                      <w:color w:val="auto"/>
                      <w:kern w:val="21"/>
                      <w:szCs w:val="21"/>
                      <w:highlight w:val="none"/>
                    </w:rPr>
                    <w:t>t/a</w:t>
                  </w:r>
                </w:p>
              </w:tc>
              <w:tc>
                <w:tcPr>
                  <w:tcW w:w="2850" w:type="dxa"/>
                  <w:vAlign w:val="center"/>
                </w:tcPr>
                <w:p w14:paraId="24953DEE">
                  <w:pPr>
                    <w:pStyle w:val="87"/>
                    <w:spacing w:beforeLines="0" w:afterLines="0" w:line="240" w:lineRule="auto"/>
                    <w:jc w:val="center"/>
                    <w:rPr>
                      <w:rFonts w:hint="eastAsia" w:ascii="Times New Roman" w:cs="Times New Roman"/>
                      <w:bCs/>
                      <w:color w:val="auto"/>
                      <w:szCs w:val="21"/>
                      <w:highlight w:val="none"/>
                    </w:rPr>
                  </w:pPr>
                  <w:r>
                    <w:rPr>
                      <w:rFonts w:hint="eastAsia" w:cs="Times New Roman"/>
                      <w:color w:val="auto"/>
                      <w:sz w:val="21"/>
                      <w:szCs w:val="21"/>
                      <w:highlight w:val="none"/>
                      <w:lang w:eastAsia="zh-CN" w:bidi="ar"/>
                    </w:rPr>
                    <w:t>桶装收集后，交由附近村民用于家禽养殖</w:t>
                  </w:r>
                </w:p>
              </w:tc>
            </w:tr>
            <w:tr w14:paraId="431065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1C154CB1">
                  <w:pPr>
                    <w:jc w:val="center"/>
                    <w:rPr>
                      <w:rFonts w:hint="eastAsia"/>
                      <w:color w:val="auto"/>
                      <w:szCs w:val="21"/>
                      <w:highlight w:val="none"/>
                      <w:lang w:eastAsia="zh-CN"/>
                    </w:rPr>
                  </w:pPr>
                </w:p>
              </w:tc>
              <w:tc>
                <w:tcPr>
                  <w:tcW w:w="2715" w:type="dxa"/>
                  <w:vAlign w:val="center"/>
                </w:tcPr>
                <w:p w14:paraId="2FDDE8A1">
                  <w:pPr>
                    <w:pStyle w:val="87"/>
                    <w:spacing w:beforeLines="0" w:afterLines="0" w:line="240" w:lineRule="auto"/>
                    <w:rPr>
                      <w:rFonts w:ascii="Times New Roman"/>
                      <w:bCs/>
                      <w:color w:val="auto"/>
                      <w:szCs w:val="21"/>
                      <w:highlight w:val="none"/>
                    </w:rPr>
                  </w:pPr>
                  <w:r>
                    <w:rPr>
                      <w:rFonts w:hint="default" w:ascii="Times New Roman" w:hAnsi="Times New Roman" w:eastAsia="宋体" w:cs="Times New Roman"/>
                      <w:color w:val="auto"/>
                      <w:sz w:val="21"/>
                      <w:szCs w:val="21"/>
                      <w:highlight w:val="none"/>
                      <w:lang w:bidi="ar"/>
                    </w:rPr>
                    <w:t>废油脂</w:t>
                  </w:r>
                </w:p>
              </w:tc>
              <w:tc>
                <w:tcPr>
                  <w:tcW w:w="1262" w:type="dxa"/>
                  <w:vAlign w:val="center"/>
                </w:tcPr>
                <w:p w14:paraId="6A9E3537">
                  <w:pPr>
                    <w:pStyle w:val="87"/>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0.22</w:t>
                  </w:r>
                  <w:r>
                    <w:rPr>
                      <w:rFonts w:ascii="Times New Roman"/>
                      <w:snapToGrid w:val="0"/>
                      <w:color w:val="auto"/>
                      <w:kern w:val="21"/>
                      <w:szCs w:val="21"/>
                      <w:highlight w:val="none"/>
                    </w:rPr>
                    <w:t>t/a</w:t>
                  </w:r>
                </w:p>
              </w:tc>
              <w:tc>
                <w:tcPr>
                  <w:tcW w:w="2850" w:type="dxa"/>
                  <w:vAlign w:val="center"/>
                </w:tcPr>
                <w:p w14:paraId="25FF9406">
                  <w:pPr>
                    <w:jc w:val="center"/>
                    <w:rPr>
                      <w:rFonts w:hint="eastAsia" w:ascii="Times New Roman" w:cs="Times New Roman"/>
                      <w:bCs/>
                      <w:color w:val="auto"/>
                      <w:szCs w:val="21"/>
                      <w:highlight w:val="none"/>
                    </w:rPr>
                  </w:pPr>
                  <w:r>
                    <w:rPr>
                      <w:rFonts w:hint="eastAsia" w:cs="Times New Roman"/>
                      <w:color w:val="auto"/>
                      <w:sz w:val="21"/>
                      <w:szCs w:val="21"/>
                      <w:highlight w:val="none"/>
                      <w:lang w:eastAsia="zh-CN" w:bidi="ar"/>
                    </w:rPr>
                    <w:t>桶装</w:t>
                  </w:r>
                  <w:r>
                    <w:rPr>
                      <w:rFonts w:hint="default" w:ascii="Times New Roman" w:hAnsi="Times New Roman" w:eastAsia="宋体" w:cs="Times New Roman"/>
                      <w:color w:val="auto"/>
                      <w:sz w:val="21"/>
                      <w:szCs w:val="21"/>
                      <w:highlight w:val="none"/>
                      <w:lang w:bidi="ar"/>
                    </w:rPr>
                    <w:t>收集后交由</w:t>
                  </w:r>
                  <w:r>
                    <w:rPr>
                      <w:rFonts w:hint="eastAsia" w:cs="Times New Roman"/>
                      <w:color w:val="auto"/>
                      <w:sz w:val="21"/>
                      <w:szCs w:val="21"/>
                      <w:highlight w:val="none"/>
                      <w:lang w:eastAsia="zh-CN" w:bidi="ar"/>
                    </w:rPr>
                    <w:t>具有</w:t>
                  </w:r>
                  <w:r>
                    <w:rPr>
                      <w:rFonts w:hint="default" w:ascii="Times New Roman" w:hAnsi="Times New Roman" w:eastAsia="宋体" w:cs="Times New Roman"/>
                      <w:color w:val="auto"/>
                      <w:sz w:val="21"/>
                      <w:szCs w:val="21"/>
                      <w:highlight w:val="none"/>
                      <w:lang w:bidi="ar"/>
                    </w:rPr>
                    <w:t>回收资质单位处置</w:t>
                  </w:r>
                </w:p>
              </w:tc>
            </w:tr>
            <w:tr w14:paraId="2E4582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5BE4839E">
                  <w:pPr>
                    <w:jc w:val="center"/>
                    <w:rPr>
                      <w:rFonts w:hint="eastAsia"/>
                      <w:color w:val="auto"/>
                      <w:szCs w:val="21"/>
                      <w:highlight w:val="none"/>
                      <w:lang w:eastAsia="zh-CN"/>
                    </w:rPr>
                  </w:pPr>
                </w:p>
              </w:tc>
              <w:tc>
                <w:tcPr>
                  <w:tcW w:w="2715" w:type="dxa"/>
                  <w:vAlign w:val="center"/>
                </w:tcPr>
                <w:p w14:paraId="79DDD539">
                  <w:pPr>
                    <w:pStyle w:val="87"/>
                    <w:spacing w:beforeLines="0" w:afterLines="0" w:line="240" w:lineRule="auto"/>
                    <w:rPr>
                      <w:rFonts w:ascii="Times New Roman"/>
                      <w:bCs/>
                      <w:color w:val="auto"/>
                      <w:szCs w:val="21"/>
                      <w:highlight w:val="none"/>
                    </w:rPr>
                  </w:pPr>
                  <w:r>
                    <w:rPr>
                      <w:rFonts w:hint="default" w:ascii="Times New Roman" w:hAnsi="Times New Roman" w:cs="Times New Roman"/>
                      <w:color w:val="auto"/>
                      <w:sz w:val="21"/>
                      <w:szCs w:val="21"/>
                      <w:highlight w:val="none"/>
                      <w:lang w:eastAsia="zh-CN" w:bidi="ar"/>
                    </w:rPr>
                    <w:t>废编织袋</w:t>
                  </w:r>
                </w:p>
              </w:tc>
              <w:tc>
                <w:tcPr>
                  <w:tcW w:w="1262" w:type="dxa"/>
                  <w:vAlign w:val="center"/>
                </w:tcPr>
                <w:p w14:paraId="776514F9">
                  <w:pPr>
                    <w:pStyle w:val="87"/>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10kg/a</w:t>
                  </w:r>
                </w:p>
              </w:tc>
              <w:tc>
                <w:tcPr>
                  <w:tcW w:w="2850" w:type="dxa"/>
                  <w:vAlign w:val="center"/>
                </w:tcPr>
                <w:p w14:paraId="776EBC8A">
                  <w:pPr>
                    <w:pStyle w:val="87"/>
                    <w:spacing w:beforeLines="0" w:afterLines="0" w:line="240" w:lineRule="auto"/>
                    <w:rPr>
                      <w:rFonts w:hint="eastAsia" w:ascii="Times New Roman" w:cs="Times New Roman"/>
                      <w:bCs/>
                      <w:color w:val="auto"/>
                      <w:szCs w:val="21"/>
                      <w:highlight w:val="none"/>
                    </w:rPr>
                  </w:pPr>
                  <w:r>
                    <w:rPr>
                      <w:rFonts w:hint="default" w:ascii="Times New Roman" w:hAnsi="Times New Roman" w:cs="Times New Roman"/>
                      <w:color w:val="auto"/>
                      <w:sz w:val="21"/>
                      <w:szCs w:val="21"/>
                      <w:highlight w:val="none"/>
                      <w:lang w:eastAsia="zh-CN" w:bidi="ar"/>
                    </w:rPr>
                    <w:t>交由当地废品回收站处置</w:t>
                  </w:r>
                </w:p>
              </w:tc>
            </w:tr>
            <w:tr w14:paraId="30340E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60FF2F04">
                  <w:pPr>
                    <w:jc w:val="center"/>
                    <w:rPr>
                      <w:color w:val="auto"/>
                      <w:szCs w:val="21"/>
                      <w:highlight w:val="none"/>
                    </w:rPr>
                  </w:pPr>
                </w:p>
              </w:tc>
              <w:tc>
                <w:tcPr>
                  <w:tcW w:w="2715" w:type="dxa"/>
                  <w:vAlign w:val="center"/>
                </w:tcPr>
                <w:p w14:paraId="39552748">
                  <w:pPr>
                    <w:topLinePunct/>
                    <w:adjustRightInd w:val="0"/>
                    <w:snapToGrid w:val="0"/>
                    <w:jc w:val="center"/>
                    <w:rPr>
                      <w:color w:val="auto"/>
                      <w:szCs w:val="21"/>
                      <w:highlight w:val="none"/>
                    </w:rPr>
                  </w:pPr>
                  <w:r>
                    <w:rPr>
                      <w:rFonts w:hint="eastAsia"/>
                      <w:color w:val="auto"/>
                      <w:szCs w:val="21"/>
                      <w:highlight w:val="none"/>
                    </w:rPr>
                    <w:t>废润滑油、含油手套及棉纱等</w:t>
                  </w:r>
                </w:p>
              </w:tc>
              <w:tc>
                <w:tcPr>
                  <w:tcW w:w="1262" w:type="dxa"/>
                  <w:vAlign w:val="center"/>
                </w:tcPr>
                <w:p w14:paraId="60D200D1">
                  <w:pPr>
                    <w:pStyle w:val="87"/>
                    <w:spacing w:beforeLines="0" w:afterLines="0" w:line="240" w:lineRule="auto"/>
                    <w:rPr>
                      <w:rFonts w:ascii="Times New Roman"/>
                      <w:color w:val="auto"/>
                      <w:szCs w:val="21"/>
                      <w:highlight w:val="none"/>
                    </w:rPr>
                  </w:pPr>
                  <w:r>
                    <w:rPr>
                      <w:rFonts w:hint="eastAsia" w:ascii="Times New Roman" w:eastAsia="等线"/>
                      <w:snapToGrid w:val="0"/>
                      <w:color w:val="auto"/>
                      <w:kern w:val="21"/>
                      <w:szCs w:val="21"/>
                      <w:highlight w:val="none"/>
                    </w:rPr>
                    <w:t>0.</w:t>
                  </w:r>
                  <w:r>
                    <w:rPr>
                      <w:rFonts w:hint="eastAsia" w:ascii="Times New Roman" w:eastAsia="等线"/>
                      <w:snapToGrid w:val="0"/>
                      <w:color w:val="auto"/>
                      <w:kern w:val="21"/>
                      <w:szCs w:val="21"/>
                      <w:highlight w:val="none"/>
                      <w:lang w:val="en-US" w:eastAsia="zh-CN"/>
                    </w:rPr>
                    <w:t>04</w:t>
                  </w:r>
                  <w:r>
                    <w:rPr>
                      <w:rFonts w:ascii="Times New Roman" w:eastAsia="等线"/>
                      <w:color w:val="auto"/>
                      <w:szCs w:val="21"/>
                      <w:highlight w:val="none"/>
                    </w:rPr>
                    <w:t>t</w:t>
                  </w:r>
                  <w:r>
                    <w:rPr>
                      <w:rFonts w:ascii="Times New Roman" w:eastAsia="等线"/>
                      <w:bCs/>
                      <w:color w:val="auto"/>
                      <w:szCs w:val="21"/>
                      <w:highlight w:val="none"/>
                    </w:rPr>
                    <w:t>/a</w:t>
                  </w:r>
                </w:p>
              </w:tc>
              <w:tc>
                <w:tcPr>
                  <w:tcW w:w="2850" w:type="dxa"/>
                  <w:vAlign w:val="center"/>
                </w:tcPr>
                <w:p w14:paraId="60510822">
                  <w:pPr>
                    <w:pStyle w:val="87"/>
                    <w:spacing w:beforeLines="0" w:afterLines="0" w:line="240" w:lineRule="auto"/>
                    <w:rPr>
                      <w:rFonts w:hint="eastAsia" w:ascii="Times New Roman" w:eastAsia="等线"/>
                      <w:snapToGrid w:val="0"/>
                      <w:color w:val="auto"/>
                      <w:kern w:val="21"/>
                      <w:szCs w:val="21"/>
                      <w:highlight w:val="none"/>
                    </w:rPr>
                  </w:pPr>
                  <w:r>
                    <w:rPr>
                      <w:rFonts w:hint="eastAsia" w:ascii="Times New Roman" w:cs="Times New Roman"/>
                      <w:bCs/>
                      <w:color w:val="auto"/>
                      <w:szCs w:val="21"/>
                      <w:highlight w:val="none"/>
                    </w:rPr>
                    <w:t>危废暂存间暂存后，定期交由</w:t>
                  </w:r>
                  <w:r>
                    <w:rPr>
                      <w:rFonts w:hint="eastAsia" w:ascii="Times New Roman" w:cs="Times New Roman"/>
                      <w:bCs/>
                      <w:color w:val="auto"/>
                      <w:szCs w:val="21"/>
                      <w:highlight w:val="none"/>
                      <w:lang w:eastAsia="zh-CN"/>
                    </w:rPr>
                    <w:t>有资质单位</w:t>
                  </w:r>
                  <w:r>
                    <w:rPr>
                      <w:rFonts w:hint="eastAsia" w:ascii="Times New Roman" w:cs="Times New Roman"/>
                      <w:bCs/>
                      <w:color w:val="auto"/>
                      <w:szCs w:val="21"/>
                      <w:highlight w:val="none"/>
                    </w:rPr>
                    <w:t>处置</w:t>
                  </w:r>
                </w:p>
              </w:tc>
            </w:tr>
          </w:tbl>
          <w:p w14:paraId="3DA309DA">
            <w:pPr>
              <w:pStyle w:val="45"/>
              <w:spacing w:line="360" w:lineRule="auto"/>
              <w:ind w:firstLine="480" w:firstLineChars="200"/>
              <w:jc w:val="both"/>
              <w:rPr>
                <w:rFonts w:ascii="Times New Roman" w:cs="Times New Roman"/>
                <w:b/>
                <w:color w:val="auto"/>
                <w:szCs w:val="21"/>
                <w:highlight w:val="none"/>
              </w:rPr>
            </w:pPr>
            <w:r>
              <w:rPr>
                <w:rFonts w:hint="eastAsia" w:ascii="Times New Roman" w:cs="Times New Roman"/>
                <w:bCs/>
                <w:color w:val="auto"/>
                <w:szCs w:val="21"/>
                <w:highlight w:val="none"/>
              </w:rPr>
              <w:t>综上，厂区现有工程污染物排放情况汇总如下：</w:t>
            </w:r>
          </w:p>
          <w:p w14:paraId="2ED59A70">
            <w:pPr>
              <w:jc w:val="center"/>
              <w:rPr>
                <w:b/>
                <w:color w:val="auto"/>
                <w:sz w:val="24"/>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lang w:val="en-US" w:eastAsia="zh-CN"/>
              </w:rPr>
              <w:t>13</w:t>
            </w:r>
            <w:r>
              <w:rPr>
                <w:b/>
                <w:color w:val="auto"/>
                <w:szCs w:val="21"/>
                <w:highlight w:val="none"/>
              </w:rPr>
              <w:t xml:space="preserve">  </w:t>
            </w:r>
            <w:r>
              <w:rPr>
                <w:rFonts w:hint="eastAsia"/>
                <w:b/>
                <w:color w:val="auto"/>
                <w:szCs w:val="21"/>
                <w:highlight w:val="none"/>
              </w:rPr>
              <w:t>现有工程污染物</w:t>
            </w:r>
            <w:r>
              <w:rPr>
                <w:b/>
                <w:color w:val="auto"/>
                <w:szCs w:val="21"/>
                <w:highlight w:val="none"/>
              </w:rPr>
              <w:t>排放</w:t>
            </w:r>
            <w:r>
              <w:rPr>
                <w:rFonts w:hint="eastAsia"/>
                <w:b/>
                <w:color w:val="auto"/>
                <w:szCs w:val="21"/>
                <w:highlight w:val="none"/>
              </w:rPr>
              <w:t>量汇总表</w:t>
            </w:r>
          </w:p>
          <w:tbl>
            <w:tblPr>
              <w:tblStyle w:val="36"/>
              <w:tblW w:w="830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778"/>
              <w:gridCol w:w="4000"/>
              <w:gridCol w:w="2522"/>
            </w:tblGrid>
            <w:tr w14:paraId="15F61C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trPr>
              <w:tc>
                <w:tcPr>
                  <w:tcW w:w="1778" w:type="dxa"/>
                  <w:vAlign w:val="center"/>
                </w:tcPr>
                <w:p w14:paraId="764D1A48">
                  <w:pPr>
                    <w:jc w:val="center"/>
                    <w:rPr>
                      <w:color w:val="auto"/>
                      <w:szCs w:val="21"/>
                      <w:highlight w:val="none"/>
                    </w:rPr>
                  </w:pPr>
                  <w:r>
                    <w:rPr>
                      <w:color w:val="auto"/>
                      <w:szCs w:val="21"/>
                      <w:highlight w:val="none"/>
                    </w:rPr>
                    <w:t>类别</w:t>
                  </w:r>
                </w:p>
              </w:tc>
              <w:tc>
                <w:tcPr>
                  <w:tcW w:w="4000" w:type="dxa"/>
                  <w:vAlign w:val="center"/>
                </w:tcPr>
                <w:p w14:paraId="619FC579">
                  <w:pPr>
                    <w:jc w:val="center"/>
                    <w:rPr>
                      <w:color w:val="auto"/>
                      <w:szCs w:val="21"/>
                      <w:highlight w:val="none"/>
                    </w:rPr>
                  </w:pPr>
                  <w:r>
                    <w:rPr>
                      <w:color w:val="auto"/>
                      <w:szCs w:val="21"/>
                      <w:highlight w:val="none"/>
                    </w:rPr>
                    <w:t>污染物</w:t>
                  </w:r>
                </w:p>
              </w:tc>
              <w:tc>
                <w:tcPr>
                  <w:tcW w:w="2522" w:type="dxa"/>
                  <w:vAlign w:val="center"/>
                </w:tcPr>
                <w:p w14:paraId="27997E4F">
                  <w:pPr>
                    <w:jc w:val="center"/>
                    <w:rPr>
                      <w:color w:val="auto"/>
                      <w:szCs w:val="21"/>
                      <w:highlight w:val="none"/>
                    </w:rPr>
                  </w:pPr>
                  <w:r>
                    <w:rPr>
                      <w:color w:val="auto"/>
                      <w:szCs w:val="21"/>
                      <w:highlight w:val="none"/>
                    </w:rPr>
                    <w:t>排放量</w:t>
                  </w:r>
                </w:p>
              </w:tc>
            </w:tr>
            <w:tr w14:paraId="74016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2972D8F8">
                  <w:pPr>
                    <w:jc w:val="center"/>
                    <w:rPr>
                      <w:color w:val="auto"/>
                      <w:szCs w:val="21"/>
                      <w:highlight w:val="none"/>
                    </w:rPr>
                  </w:pPr>
                  <w:r>
                    <w:rPr>
                      <w:color w:val="auto"/>
                      <w:szCs w:val="21"/>
                      <w:highlight w:val="none"/>
                    </w:rPr>
                    <w:t>废气</w:t>
                  </w:r>
                </w:p>
              </w:tc>
              <w:tc>
                <w:tcPr>
                  <w:tcW w:w="4000" w:type="dxa"/>
                  <w:vAlign w:val="center"/>
                </w:tcPr>
                <w:p w14:paraId="6D18709E">
                  <w:pPr>
                    <w:pStyle w:val="45"/>
                    <w:autoSpaceDE/>
                    <w:autoSpaceDN/>
                    <w:jc w:val="center"/>
                    <w:rPr>
                      <w:rFonts w:ascii="Times New Roman" w:cs="Times New Roman"/>
                      <w:color w:val="auto"/>
                      <w:szCs w:val="21"/>
                      <w:highlight w:val="none"/>
                    </w:rPr>
                  </w:pPr>
                  <w:r>
                    <w:rPr>
                      <w:rFonts w:hint="eastAsia" w:ascii="Times New Roman" w:cs="Times New Roman"/>
                      <w:color w:val="auto"/>
                      <w:sz w:val="21"/>
                      <w:szCs w:val="21"/>
                      <w:highlight w:val="none"/>
                    </w:rPr>
                    <w:t>颗粒物</w:t>
                  </w:r>
                </w:p>
              </w:tc>
              <w:tc>
                <w:tcPr>
                  <w:tcW w:w="2522" w:type="dxa"/>
                  <w:vAlign w:val="center"/>
                </w:tcPr>
                <w:p w14:paraId="2C338980">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lang w:val="en-US" w:eastAsia="zh-CN"/>
                    </w:rPr>
                    <w:t>1.67</w:t>
                  </w:r>
                  <w:r>
                    <w:rPr>
                      <w:rFonts w:hint="eastAsia" w:ascii="Times New Roman" w:eastAsia="等线"/>
                      <w:bCs/>
                      <w:color w:val="auto"/>
                      <w:szCs w:val="21"/>
                      <w:highlight w:val="none"/>
                    </w:rPr>
                    <w:t>t</w:t>
                  </w:r>
                  <w:r>
                    <w:rPr>
                      <w:rFonts w:ascii="Times New Roman" w:eastAsia="等线"/>
                      <w:bCs/>
                      <w:color w:val="auto"/>
                      <w:szCs w:val="21"/>
                      <w:highlight w:val="none"/>
                    </w:rPr>
                    <w:t>/a</w:t>
                  </w:r>
                </w:p>
              </w:tc>
            </w:tr>
            <w:tr w14:paraId="4AE5C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5BBC5674">
                  <w:pPr>
                    <w:jc w:val="center"/>
                    <w:rPr>
                      <w:color w:val="auto"/>
                      <w:szCs w:val="21"/>
                      <w:highlight w:val="none"/>
                    </w:rPr>
                  </w:pPr>
                </w:p>
              </w:tc>
              <w:tc>
                <w:tcPr>
                  <w:tcW w:w="4000" w:type="dxa"/>
                  <w:vAlign w:val="center"/>
                </w:tcPr>
                <w:p w14:paraId="3CAA932B">
                  <w:pPr>
                    <w:pStyle w:val="45"/>
                    <w:autoSpaceDE/>
                    <w:autoSpaceDN/>
                    <w:jc w:val="center"/>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eastAsia="zh-CN"/>
                    </w:rPr>
                    <w:t>食堂油烟</w:t>
                  </w:r>
                </w:p>
              </w:tc>
              <w:tc>
                <w:tcPr>
                  <w:tcW w:w="2522" w:type="dxa"/>
                  <w:vAlign w:val="center"/>
                </w:tcPr>
                <w:p w14:paraId="25B82349">
                  <w:pPr>
                    <w:pStyle w:val="87"/>
                    <w:spacing w:beforeLines="0" w:afterLines="0" w:line="240" w:lineRule="auto"/>
                    <w:rPr>
                      <w:rFonts w:hint="default" w:ascii="Times New Roman" w:eastAsia="等线"/>
                      <w:bCs/>
                      <w:color w:val="auto"/>
                      <w:szCs w:val="21"/>
                      <w:highlight w:val="none"/>
                      <w:lang w:val="en-US" w:eastAsia="zh-CN"/>
                    </w:rPr>
                  </w:pPr>
                  <w:r>
                    <w:rPr>
                      <w:rFonts w:hint="eastAsia" w:ascii="Times New Roman" w:eastAsia="等线"/>
                      <w:bCs/>
                      <w:color w:val="auto"/>
                      <w:szCs w:val="21"/>
                      <w:highlight w:val="none"/>
                      <w:lang w:val="en-US" w:eastAsia="zh-CN"/>
                    </w:rPr>
                    <w:t>2.16kg/a</w:t>
                  </w:r>
                </w:p>
              </w:tc>
            </w:tr>
            <w:tr w14:paraId="45EED4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13387957">
                  <w:pPr>
                    <w:jc w:val="center"/>
                    <w:rPr>
                      <w:color w:val="auto"/>
                      <w:szCs w:val="21"/>
                      <w:highlight w:val="none"/>
                    </w:rPr>
                  </w:pPr>
                  <w:r>
                    <w:rPr>
                      <w:color w:val="auto"/>
                      <w:szCs w:val="21"/>
                      <w:highlight w:val="none"/>
                    </w:rPr>
                    <w:t>废水</w:t>
                  </w:r>
                </w:p>
              </w:tc>
              <w:tc>
                <w:tcPr>
                  <w:tcW w:w="4000" w:type="dxa"/>
                  <w:vAlign w:val="center"/>
                </w:tcPr>
                <w:p w14:paraId="3C3E56F9">
                  <w:pPr>
                    <w:jc w:val="center"/>
                    <w:rPr>
                      <w:color w:val="auto"/>
                      <w:szCs w:val="21"/>
                      <w:highlight w:val="none"/>
                    </w:rPr>
                  </w:pPr>
                  <w:r>
                    <w:rPr>
                      <w:color w:val="auto"/>
                      <w:szCs w:val="21"/>
                      <w:highlight w:val="none"/>
                    </w:rPr>
                    <w:t>生活污水</w:t>
                  </w:r>
                </w:p>
              </w:tc>
              <w:tc>
                <w:tcPr>
                  <w:tcW w:w="2522" w:type="dxa"/>
                  <w:vAlign w:val="center"/>
                </w:tcPr>
                <w:p w14:paraId="728A909C">
                  <w:pPr>
                    <w:pStyle w:val="87"/>
                    <w:spacing w:beforeLines="0" w:afterLines="0" w:line="240" w:lineRule="auto"/>
                    <w:rPr>
                      <w:rFonts w:ascii="Times New Roman"/>
                      <w:color w:val="auto"/>
                      <w:szCs w:val="21"/>
                      <w:highlight w:val="none"/>
                    </w:rPr>
                  </w:pPr>
                  <w:r>
                    <w:rPr>
                      <w:rFonts w:hint="eastAsia" w:ascii="Times New Roman" w:eastAsia="等线"/>
                      <w:snapToGrid w:val="0"/>
                      <w:color w:val="auto"/>
                      <w:kern w:val="21"/>
                      <w:szCs w:val="21"/>
                      <w:highlight w:val="none"/>
                      <w:lang w:val="en-US" w:eastAsia="zh-CN"/>
                    </w:rPr>
                    <w:t>120m</w:t>
                  </w:r>
                  <w:r>
                    <w:rPr>
                      <w:rFonts w:hint="eastAsia" w:ascii="Times New Roman" w:eastAsia="等线"/>
                      <w:snapToGrid w:val="0"/>
                      <w:color w:val="auto"/>
                      <w:kern w:val="21"/>
                      <w:szCs w:val="21"/>
                      <w:highlight w:val="none"/>
                      <w:vertAlign w:val="superscript"/>
                      <w:lang w:val="en-US" w:eastAsia="zh-CN"/>
                    </w:rPr>
                    <w:t>3</w:t>
                  </w:r>
                  <w:r>
                    <w:rPr>
                      <w:rFonts w:hint="eastAsia" w:ascii="Times New Roman" w:eastAsia="等线"/>
                      <w:snapToGrid w:val="0"/>
                      <w:color w:val="auto"/>
                      <w:kern w:val="21"/>
                      <w:szCs w:val="21"/>
                      <w:highlight w:val="none"/>
                      <w:lang w:val="en-US" w:eastAsia="zh-CN"/>
                    </w:rPr>
                    <w:t>/a</w:t>
                  </w:r>
                </w:p>
              </w:tc>
            </w:tr>
            <w:tr w14:paraId="03608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1E77A99B">
                  <w:pPr>
                    <w:jc w:val="center"/>
                    <w:rPr>
                      <w:color w:val="auto"/>
                      <w:szCs w:val="21"/>
                      <w:highlight w:val="none"/>
                    </w:rPr>
                  </w:pPr>
                </w:p>
              </w:tc>
              <w:tc>
                <w:tcPr>
                  <w:tcW w:w="4000" w:type="dxa"/>
                  <w:vAlign w:val="center"/>
                </w:tcPr>
                <w:p w14:paraId="0775EB47">
                  <w:pPr>
                    <w:jc w:val="center"/>
                    <w:rPr>
                      <w:rFonts w:hint="eastAsia" w:eastAsia="宋体"/>
                      <w:color w:val="auto"/>
                      <w:szCs w:val="21"/>
                      <w:highlight w:val="none"/>
                      <w:lang w:eastAsia="zh-CN"/>
                    </w:rPr>
                  </w:pPr>
                  <w:r>
                    <w:rPr>
                      <w:rFonts w:hint="eastAsia"/>
                      <w:color w:val="auto"/>
                      <w:szCs w:val="21"/>
                      <w:highlight w:val="none"/>
                      <w:lang w:eastAsia="zh-CN"/>
                    </w:rPr>
                    <w:t>生产废水</w:t>
                  </w:r>
                </w:p>
              </w:tc>
              <w:tc>
                <w:tcPr>
                  <w:tcW w:w="2522" w:type="dxa"/>
                  <w:vAlign w:val="center"/>
                </w:tcPr>
                <w:p w14:paraId="418C4071">
                  <w:pPr>
                    <w:pStyle w:val="87"/>
                    <w:spacing w:beforeLines="0" w:afterLines="0" w:line="240" w:lineRule="auto"/>
                    <w:rPr>
                      <w:rFonts w:hint="default" w:ascii="Times New Roman" w:eastAsia="等线"/>
                      <w:snapToGrid w:val="0"/>
                      <w:color w:val="auto"/>
                      <w:kern w:val="21"/>
                      <w:szCs w:val="21"/>
                      <w:highlight w:val="none"/>
                      <w:lang w:val="en-US" w:eastAsia="zh-CN"/>
                    </w:rPr>
                  </w:pPr>
                  <w:r>
                    <w:rPr>
                      <w:rFonts w:hint="eastAsia" w:ascii="Times New Roman" w:eastAsia="等线"/>
                      <w:snapToGrid w:val="0"/>
                      <w:color w:val="auto"/>
                      <w:kern w:val="21"/>
                      <w:szCs w:val="21"/>
                      <w:highlight w:val="none"/>
                      <w:lang w:val="en-US" w:eastAsia="zh-CN"/>
                    </w:rPr>
                    <w:t>540m</w:t>
                  </w:r>
                  <w:r>
                    <w:rPr>
                      <w:rFonts w:hint="eastAsia" w:ascii="Times New Roman" w:eastAsia="等线"/>
                      <w:snapToGrid w:val="0"/>
                      <w:color w:val="auto"/>
                      <w:kern w:val="21"/>
                      <w:szCs w:val="21"/>
                      <w:highlight w:val="none"/>
                      <w:vertAlign w:val="superscript"/>
                      <w:lang w:val="en-US" w:eastAsia="zh-CN"/>
                    </w:rPr>
                    <w:t>3</w:t>
                  </w:r>
                  <w:r>
                    <w:rPr>
                      <w:rFonts w:hint="eastAsia" w:ascii="Times New Roman" w:eastAsia="等线"/>
                      <w:snapToGrid w:val="0"/>
                      <w:color w:val="auto"/>
                      <w:kern w:val="21"/>
                      <w:szCs w:val="21"/>
                      <w:highlight w:val="none"/>
                      <w:lang w:val="en-US" w:eastAsia="zh-CN"/>
                    </w:rPr>
                    <w:t>/a</w:t>
                  </w:r>
                </w:p>
              </w:tc>
            </w:tr>
            <w:tr w14:paraId="32529C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7AA6C6AC">
                  <w:pPr>
                    <w:jc w:val="center"/>
                    <w:rPr>
                      <w:color w:val="auto"/>
                      <w:szCs w:val="21"/>
                      <w:highlight w:val="none"/>
                    </w:rPr>
                  </w:pPr>
                  <w:r>
                    <w:rPr>
                      <w:color w:val="auto"/>
                      <w:szCs w:val="21"/>
                      <w:highlight w:val="none"/>
                    </w:rPr>
                    <w:t>固体废物</w:t>
                  </w:r>
                </w:p>
              </w:tc>
              <w:tc>
                <w:tcPr>
                  <w:tcW w:w="4000" w:type="dxa"/>
                  <w:vAlign w:val="center"/>
                </w:tcPr>
                <w:p w14:paraId="7E61C66B">
                  <w:pPr>
                    <w:pStyle w:val="45"/>
                    <w:autoSpaceDE/>
                    <w:autoSpaceDN/>
                    <w:jc w:val="center"/>
                    <w:rPr>
                      <w:rFonts w:ascii="Times New Roman"/>
                      <w:color w:val="auto"/>
                      <w:szCs w:val="21"/>
                      <w:highlight w:val="none"/>
                    </w:rPr>
                  </w:pPr>
                  <w:r>
                    <w:rPr>
                      <w:rFonts w:hint="eastAsia" w:ascii="Times New Roman" w:cs="Times New Roman"/>
                      <w:color w:val="auto"/>
                      <w:sz w:val="21"/>
                      <w:szCs w:val="21"/>
                      <w:highlight w:val="none"/>
                      <w:lang w:eastAsia="zh-CN"/>
                    </w:rPr>
                    <w:t>生活垃圾</w:t>
                  </w:r>
                </w:p>
              </w:tc>
              <w:tc>
                <w:tcPr>
                  <w:tcW w:w="2522" w:type="dxa"/>
                  <w:vAlign w:val="center"/>
                </w:tcPr>
                <w:p w14:paraId="1E6440A1">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lang w:val="en-US" w:eastAsia="zh-CN"/>
                    </w:rPr>
                    <w:t>0.912</w:t>
                  </w:r>
                  <w:r>
                    <w:rPr>
                      <w:rFonts w:hint="eastAsia" w:ascii="Times New Roman" w:eastAsia="等线"/>
                      <w:bCs/>
                      <w:color w:val="auto"/>
                      <w:szCs w:val="21"/>
                      <w:highlight w:val="none"/>
                    </w:rPr>
                    <w:t>t</w:t>
                  </w:r>
                  <w:r>
                    <w:rPr>
                      <w:rFonts w:ascii="Times New Roman" w:eastAsia="等线"/>
                      <w:bCs/>
                      <w:color w:val="auto"/>
                      <w:szCs w:val="21"/>
                      <w:highlight w:val="none"/>
                    </w:rPr>
                    <w:t>/a</w:t>
                  </w:r>
                </w:p>
              </w:tc>
            </w:tr>
            <w:tr w14:paraId="00F087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0A175741">
                  <w:pPr>
                    <w:jc w:val="center"/>
                    <w:rPr>
                      <w:color w:val="auto"/>
                      <w:szCs w:val="21"/>
                      <w:highlight w:val="none"/>
                    </w:rPr>
                  </w:pPr>
                </w:p>
              </w:tc>
              <w:tc>
                <w:tcPr>
                  <w:tcW w:w="4000" w:type="dxa"/>
                  <w:vAlign w:val="center"/>
                </w:tcPr>
                <w:p w14:paraId="7C13A851">
                  <w:pPr>
                    <w:pStyle w:val="87"/>
                    <w:spacing w:beforeLines="0" w:afterLines="0" w:line="240" w:lineRule="auto"/>
                    <w:rPr>
                      <w:rFonts w:ascii="Times New Roman"/>
                      <w:color w:val="auto"/>
                      <w:szCs w:val="21"/>
                      <w:highlight w:val="none"/>
                    </w:rPr>
                  </w:pPr>
                  <w:r>
                    <w:rPr>
                      <w:rFonts w:hint="eastAsia" w:ascii="宋体" w:hAnsi="宋体"/>
                      <w:bCs/>
                      <w:color w:val="auto"/>
                      <w:kern w:val="0"/>
                      <w:szCs w:val="21"/>
                      <w:highlight w:val="none"/>
                    </w:rPr>
                    <w:t>收集尘</w:t>
                  </w:r>
                </w:p>
              </w:tc>
              <w:tc>
                <w:tcPr>
                  <w:tcW w:w="2522" w:type="dxa"/>
                  <w:vAlign w:val="center"/>
                </w:tcPr>
                <w:p w14:paraId="6A9149BA">
                  <w:pPr>
                    <w:pStyle w:val="87"/>
                    <w:spacing w:beforeLines="0" w:afterLines="0" w:line="240" w:lineRule="auto"/>
                    <w:rPr>
                      <w:rFonts w:ascii="Times New Roman"/>
                      <w:color w:val="auto"/>
                      <w:szCs w:val="21"/>
                      <w:highlight w:val="none"/>
                    </w:rPr>
                  </w:pPr>
                  <w:r>
                    <w:rPr>
                      <w:rFonts w:hint="eastAsia" w:ascii="Times New Roman"/>
                      <w:snapToGrid w:val="0"/>
                      <w:color w:val="auto"/>
                      <w:kern w:val="21"/>
                      <w:szCs w:val="21"/>
                      <w:highlight w:val="none"/>
                      <w:lang w:val="en-US" w:eastAsia="zh-CN"/>
                    </w:rPr>
                    <w:t>11.88</w:t>
                  </w:r>
                  <w:r>
                    <w:rPr>
                      <w:rFonts w:ascii="Times New Roman"/>
                      <w:snapToGrid w:val="0"/>
                      <w:color w:val="auto"/>
                      <w:kern w:val="21"/>
                      <w:szCs w:val="21"/>
                      <w:highlight w:val="none"/>
                    </w:rPr>
                    <w:t>t/a</w:t>
                  </w:r>
                </w:p>
              </w:tc>
            </w:tr>
            <w:tr w14:paraId="4A5DD3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35566BC4">
                  <w:pPr>
                    <w:jc w:val="center"/>
                    <w:rPr>
                      <w:color w:val="auto"/>
                      <w:szCs w:val="21"/>
                      <w:highlight w:val="none"/>
                    </w:rPr>
                  </w:pPr>
                </w:p>
              </w:tc>
              <w:tc>
                <w:tcPr>
                  <w:tcW w:w="4000" w:type="dxa"/>
                  <w:vAlign w:val="center"/>
                </w:tcPr>
                <w:p w14:paraId="6DDFD9C2">
                  <w:pPr>
                    <w:pStyle w:val="87"/>
                    <w:spacing w:beforeLines="0" w:afterLines="0" w:line="240" w:lineRule="auto"/>
                    <w:rPr>
                      <w:color w:val="auto"/>
                      <w:szCs w:val="21"/>
                      <w:highlight w:val="none"/>
                    </w:rPr>
                  </w:pPr>
                  <w:r>
                    <w:rPr>
                      <w:rFonts w:hint="default" w:ascii="Times New Roman" w:hAnsi="Times New Roman" w:eastAsia="宋体" w:cs="Times New Roman"/>
                      <w:color w:val="auto"/>
                      <w:sz w:val="21"/>
                      <w:szCs w:val="21"/>
                      <w:highlight w:val="none"/>
                      <w:lang w:bidi="ar"/>
                    </w:rPr>
                    <w:t>餐厨废弃物</w:t>
                  </w:r>
                </w:p>
              </w:tc>
              <w:tc>
                <w:tcPr>
                  <w:tcW w:w="2522" w:type="dxa"/>
                  <w:vAlign w:val="center"/>
                </w:tcPr>
                <w:p w14:paraId="4DFFF69B">
                  <w:pPr>
                    <w:pStyle w:val="87"/>
                    <w:spacing w:beforeLines="0" w:afterLines="0" w:line="240" w:lineRule="auto"/>
                    <w:rPr>
                      <w:rFonts w:ascii="Times New Roman"/>
                      <w:color w:val="auto"/>
                      <w:szCs w:val="21"/>
                      <w:highlight w:val="none"/>
                    </w:rPr>
                  </w:pPr>
                  <w:r>
                    <w:rPr>
                      <w:rFonts w:hint="eastAsia" w:ascii="Times New Roman"/>
                      <w:snapToGrid w:val="0"/>
                      <w:color w:val="auto"/>
                      <w:kern w:val="21"/>
                      <w:szCs w:val="21"/>
                      <w:highlight w:val="none"/>
                      <w:lang w:val="en-US" w:eastAsia="zh-CN"/>
                    </w:rPr>
                    <w:t>1.75</w:t>
                  </w:r>
                  <w:r>
                    <w:rPr>
                      <w:rFonts w:ascii="Times New Roman"/>
                      <w:snapToGrid w:val="0"/>
                      <w:color w:val="auto"/>
                      <w:kern w:val="21"/>
                      <w:szCs w:val="21"/>
                      <w:highlight w:val="none"/>
                    </w:rPr>
                    <w:t>t/a</w:t>
                  </w:r>
                </w:p>
              </w:tc>
            </w:tr>
            <w:tr w14:paraId="19CA3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5A64604B">
                  <w:pPr>
                    <w:jc w:val="center"/>
                    <w:rPr>
                      <w:color w:val="auto"/>
                      <w:szCs w:val="21"/>
                      <w:highlight w:val="none"/>
                    </w:rPr>
                  </w:pPr>
                </w:p>
              </w:tc>
              <w:tc>
                <w:tcPr>
                  <w:tcW w:w="4000" w:type="dxa"/>
                  <w:vAlign w:val="center"/>
                </w:tcPr>
                <w:p w14:paraId="7A427DC9">
                  <w:pPr>
                    <w:pStyle w:val="87"/>
                    <w:spacing w:beforeLines="0" w:afterLines="0" w:line="240" w:lineRule="auto"/>
                    <w:rPr>
                      <w:rFonts w:hint="eastAsia"/>
                      <w:color w:val="auto"/>
                      <w:szCs w:val="21"/>
                      <w:highlight w:val="none"/>
                    </w:rPr>
                  </w:pPr>
                  <w:r>
                    <w:rPr>
                      <w:rFonts w:hint="default" w:ascii="Times New Roman" w:hAnsi="Times New Roman" w:eastAsia="宋体" w:cs="Times New Roman"/>
                      <w:color w:val="auto"/>
                      <w:sz w:val="21"/>
                      <w:szCs w:val="21"/>
                      <w:highlight w:val="none"/>
                      <w:lang w:bidi="ar"/>
                    </w:rPr>
                    <w:t>废油脂</w:t>
                  </w:r>
                </w:p>
              </w:tc>
              <w:tc>
                <w:tcPr>
                  <w:tcW w:w="2522" w:type="dxa"/>
                  <w:vAlign w:val="center"/>
                </w:tcPr>
                <w:p w14:paraId="52A4B35C">
                  <w:pPr>
                    <w:pStyle w:val="87"/>
                    <w:spacing w:beforeLines="0" w:afterLines="0" w:line="240" w:lineRule="auto"/>
                    <w:rPr>
                      <w:rFonts w:hint="eastAsia" w:ascii="Times New Roman" w:eastAsia="等线"/>
                      <w:snapToGrid w:val="0"/>
                      <w:color w:val="auto"/>
                      <w:kern w:val="21"/>
                      <w:szCs w:val="21"/>
                      <w:highlight w:val="none"/>
                    </w:rPr>
                  </w:pPr>
                  <w:r>
                    <w:rPr>
                      <w:rFonts w:hint="eastAsia" w:ascii="Times New Roman"/>
                      <w:snapToGrid w:val="0"/>
                      <w:color w:val="auto"/>
                      <w:kern w:val="21"/>
                      <w:szCs w:val="21"/>
                      <w:highlight w:val="none"/>
                      <w:lang w:val="en-US" w:eastAsia="zh-CN"/>
                    </w:rPr>
                    <w:t>0.22</w:t>
                  </w:r>
                  <w:r>
                    <w:rPr>
                      <w:rFonts w:ascii="Times New Roman"/>
                      <w:snapToGrid w:val="0"/>
                      <w:color w:val="auto"/>
                      <w:kern w:val="21"/>
                      <w:szCs w:val="21"/>
                      <w:highlight w:val="none"/>
                    </w:rPr>
                    <w:t>t/a</w:t>
                  </w:r>
                </w:p>
              </w:tc>
            </w:tr>
            <w:tr w14:paraId="204766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248EC4D2">
                  <w:pPr>
                    <w:jc w:val="center"/>
                    <w:rPr>
                      <w:color w:val="auto"/>
                      <w:szCs w:val="21"/>
                      <w:highlight w:val="none"/>
                    </w:rPr>
                  </w:pPr>
                </w:p>
              </w:tc>
              <w:tc>
                <w:tcPr>
                  <w:tcW w:w="4000" w:type="dxa"/>
                  <w:vAlign w:val="center"/>
                </w:tcPr>
                <w:p w14:paraId="37743AFF">
                  <w:pPr>
                    <w:pStyle w:val="87"/>
                    <w:spacing w:beforeLines="0" w:afterLines="0" w:line="240" w:lineRule="auto"/>
                    <w:rPr>
                      <w:rFonts w:hint="eastAsia"/>
                      <w:color w:val="auto"/>
                      <w:szCs w:val="21"/>
                      <w:highlight w:val="none"/>
                    </w:rPr>
                  </w:pPr>
                  <w:r>
                    <w:rPr>
                      <w:rFonts w:hint="default" w:ascii="Times New Roman" w:hAnsi="Times New Roman" w:cs="Times New Roman"/>
                      <w:color w:val="auto"/>
                      <w:sz w:val="21"/>
                      <w:szCs w:val="21"/>
                      <w:highlight w:val="none"/>
                      <w:lang w:eastAsia="zh-CN" w:bidi="ar"/>
                    </w:rPr>
                    <w:t>废编织袋</w:t>
                  </w:r>
                </w:p>
              </w:tc>
              <w:tc>
                <w:tcPr>
                  <w:tcW w:w="2522" w:type="dxa"/>
                  <w:vAlign w:val="center"/>
                </w:tcPr>
                <w:p w14:paraId="479CB0ED">
                  <w:pPr>
                    <w:pStyle w:val="87"/>
                    <w:spacing w:beforeLines="0" w:afterLines="0" w:line="240" w:lineRule="auto"/>
                    <w:rPr>
                      <w:rFonts w:hint="eastAsia" w:ascii="Times New Roman" w:eastAsia="等线"/>
                      <w:snapToGrid w:val="0"/>
                      <w:color w:val="auto"/>
                      <w:kern w:val="21"/>
                      <w:szCs w:val="21"/>
                      <w:highlight w:val="none"/>
                    </w:rPr>
                  </w:pPr>
                  <w:r>
                    <w:rPr>
                      <w:rFonts w:hint="eastAsia" w:ascii="Times New Roman"/>
                      <w:snapToGrid w:val="0"/>
                      <w:color w:val="auto"/>
                      <w:kern w:val="21"/>
                      <w:szCs w:val="21"/>
                      <w:highlight w:val="none"/>
                      <w:lang w:val="en-US" w:eastAsia="zh-CN"/>
                    </w:rPr>
                    <w:t>10kg/a</w:t>
                  </w:r>
                </w:p>
              </w:tc>
            </w:tr>
            <w:tr w14:paraId="09196A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155FDF31">
                  <w:pPr>
                    <w:jc w:val="center"/>
                    <w:rPr>
                      <w:color w:val="auto"/>
                      <w:szCs w:val="21"/>
                      <w:highlight w:val="none"/>
                    </w:rPr>
                  </w:pPr>
                </w:p>
              </w:tc>
              <w:tc>
                <w:tcPr>
                  <w:tcW w:w="4000" w:type="dxa"/>
                  <w:vAlign w:val="center"/>
                </w:tcPr>
                <w:p w14:paraId="509D4449">
                  <w:pPr>
                    <w:topLinePunct/>
                    <w:adjustRightInd w:val="0"/>
                    <w:snapToGrid w:val="0"/>
                    <w:jc w:val="center"/>
                    <w:rPr>
                      <w:rFonts w:hint="eastAsia"/>
                      <w:color w:val="auto"/>
                      <w:szCs w:val="21"/>
                      <w:highlight w:val="none"/>
                    </w:rPr>
                  </w:pPr>
                  <w:r>
                    <w:rPr>
                      <w:rFonts w:hint="eastAsia"/>
                      <w:color w:val="auto"/>
                      <w:szCs w:val="21"/>
                      <w:highlight w:val="none"/>
                    </w:rPr>
                    <w:t>废润滑油、含油手套及棉纱等</w:t>
                  </w:r>
                </w:p>
              </w:tc>
              <w:tc>
                <w:tcPr>
                  <w:tcW w:w="2522" w:type="dxa"/>
                  <w:vAlign w:val="center"/>
                </w:tcPr>
                <w:p w14:paraId="473561DD">
                  <w:pPr>
                    <w:pStyle w:val="87"/>
                    <w:spacing w:beforeLines="0" w:afterLines="0" w:line="240" w:lineRule="auto"/>
                    <w:rPr>
                      <w:rFonts w:hint="eastAsia" w:ascii="Times New Roman" w:eastAsia="等线"/>
                      <w:snapToGrid w:val="0"/>
                      <w:color w:val="auto"/>
                      <w:kern w:val="21"/>
                      <w:szCs w:val="21"/>
                      <w:highlight w:val="none"/>
                    </w:rPr>
                  </w:pPr>
                  <w:r>
                    <w:rPr>
                      <w:rFonts w:hint="eastAsia" w:ascii="Times New Roman" w:eastAsia="等线"/>
                      <w:snapToGrid w:val="0"/>
                      <w:color w:val="auto"/>
                      <w:kern w:val="21"/>
                      <w:szCs w:val="21"/>
                      <w:highlight w:val="none"/>
                    </w:rPr>
                    <w:t>0.</w:t>
                  </w:r>
                  <w:r>
                    <w:rPr>
                      <w:rFonts w:hint="eastAsia" w:ascii="Times New Roman" w:eastAsia="等线"/>
                      <w:snapToGrid w:val="0"/>
                      <w:color w:val="auto"/>
                      <w:kern w:val="21"/>
                      <w:szCs w:val="21"/>
                      <w:highlight w:val="none"/>
                      <w:lang w:val="en-US" w:eastAsia="zh-CN"/>
                    </w:rPr>
                    <w:t>04</w:t>
                  </w:r>
                  <w:r>
                    <w:rPr>
                      <w:rFonts w:ascii="Times New Roman" w:eastAsia="等线"/>
                      <w:color w:val="auto"/>
                      <w:szCs w:val="21"/>
                      <w:highlight w:val="none"/>
                    </w:rPr>
                    <w:t>t</w:t>
                  </w:r>
                  <w:r>
                    <w:rPr>
                      <w:rFonts w:ascii="Times New Roman" w:eastAsia="等线"/>
                      <w:bCs/>
                      <w:color w:val="auto"/>
                      <w:szCs w:val="21"/>
                      <w:highlight w:val="none"/>
                    </w:rPr>
                    <w:t>/a</w:t>
                  </w:r>
                </w:p>
              </w:tc>
            </w:tr>
          </w:tbl>
          <w:p w14:paraId="3315558A">
            <w:pPr>
              <w:pStyle w:val="45"/>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3、</w:t>
            </w:r>
            <w:r>
              <w:rPr>
                <w:rFonts w:hint="eastAsia"/>
                <w:bCs/>
                <w:color w:val="auto"/>
                <w:kern w:val="2"/>
                <w:highlight w:val="none"/>
              </w:rPr>
              <w:t>与项目有关的原有环境污染问题</w:t>
            </w:r>
          </w:p>
          <w:p w14:paraId="7C3BA24D">
            <w:pPr>
              <w:pStyle w:val="45"/>
              <w:spacing w:line="360" w:lineRule="auto"/>
              <w:ind w:firstLine="480" w:firstLineChars="200"/>
              <w:jc w:val="both"/>
              <w:rPr>
                <w:rFonts w:hint="eastAsia" w:ascii="Times New Roman" w:cs="Times New Roman"/>
                <w:bCs/>
                <w:color w:val="auto"/>
                <w:szCs w:val="21"/>
                <w:highlight w:val="none"/>
                <w:lang w:eastAsia="zh-CN"/>
              </w:rPr>
            </w:pPr>
            <w:r>
              <w:rPr>
                <w:rFonts w:hint="eastAsia" w:ascii="Times New Roman" w:cs="Times New Roman"/>
                <w:bCs/>
                <w:color w:val="auto"/>
                <w:szCs w:val="21"/>
                <w:highlight w:val="none"/>
                <w:lang w:eastAsia="zh-CN"/>
              </w:rPr>
              <w:t>根据现场踏勘，厂区内现存在以下环境污染问题：</w:t>
            </w:r>
          </w:p>
          <w:p w14:paraId="1EAC9CEA">
            <w:pPr>
              <w:pStyle w:val="45"/>
              <w:spacing w:line="360" w:lineRule="auto"/>
              <w:ind w:firstLine="480" w:firstLineChars="200"/>
              <w:jc w:val="both"/>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①</w:t>
            </w:r>
            <w:r>
              <w:rPr>
                <w:rFonts w:hint="eastAsia" w:ascii="宋体" w:hAnsi="宋体" w:eastAsia="宋体" w:cs="宋体"/>
                <w:bCs/>
                <w:color w:val="auto"/>
                <w:szCs w:val="21"/>
                <w:highlight w:val="none"/>
                <w:lang w:eastAsia="zh-CN"/>
              </w:rPr>
              <w:t>现有原料区未进行半封闭处理，白方石处于露天状态；本次新增的原料区仅设置了顶棚；</w:t>
            </w:r>
          </w:p>
          <w:p w14:paraId="7655AC4E">
            <w:pPr>
              <w:pStyle w:val="45"/>
              <w:spacing w:line="360" w:lineRule="auto"/>
              <w:ind w:firstLine="480" w:firstLineChars="200"/>
              <w:jc w:val="both"/>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②</w:t>
            </w:r>
            <w:r>
              <w:rPr>
                <w:rFonts w:hint="eastAsia" w:ascii="Times New Roman" w:cs="Times New Roman"/>
                <w:color w:val="auto"/>
                <w:highlight w:val="none"/>
                <w:lang w:eastAsia="zh-CN"/>
              </w:rPr>
              <w:t>危废间地面已进行了硬化处理，但防渗要求不满足《</w:t>
            </w:r>
            <w:r>
              <w:rPr>
                <w:rFonts w:ascii="Times New Roman" w:cs="Times New Roman"/>
                <w:color w:val="auto"/>
                <w:highlight w:val="none"/>
              </w:rPr>
              <w:t>危险废物贮存污染控制标准》（GB18597-20</w:t>
            </w:r>
            <w:r>
              <w:rPr>
                <w:rFonts w:hint="eastAsia" w:ascii="Times New Roman" w:cs="Times New Roman"/>
                <w:color w:val="auto"/>
                <w:highlight w:val="none"/>
              </w:rPr>
              <w:t>23</w:t>
            </w:r>
            <w:r>
              <w:rPr>
                <w:rFonts w:ascii="Times New Roman" w:cs="Times New Roman"/>
                <w:color w:val="auto"/>
                <w:highlight w:val="none"/>
              </w:rPr>
              <w:t>）</w:t>
            </w:r>
            <w:r>
              <w:rPr>
                <w:rFonts w:hint="eastAsia" w:ascii="Times New Roman" w:cs="Times New Roman"/>
                <w:color w:val="auto"/>
                <w:highlight w:val="none"/>
                <w:lang w:eastAsia="zh-CN"/>
              </w:rPr>
              <w:t>》中相关要求，且</w:t>
            </w:r>
            <w:r>
              <w:rPr>
                <w:rFonts w:hint="eastAsia" w:ascii="Times New Roman" w:cs="Times New Roman"/>
                <w:color w:val="auto"/>
                <w:highlight w:val="none"/>
              </w:rPr>
              <w:t>危险废物收集容器底部未设置托盘</w:t>
            </w:r>
            <w:r>
              <w:rPr>
                <w:rFonts w:hint="eastAsia" w:ascii="宋体" w:hAnsi="宋体" w:eastAsia="宋体" w:cs="宋体"/>
                <w:bCs/>
                <w:color w:val="auto"/>
                <w:szCs w:val="21"/>
                <w:highlight w:val="none"/>
                <w:lang w:eastAsia="zh-CN"/>
              </w:rPr>
              <w:t>；此外，危废间分区标识、张贴和管理制度等均未设置。</w:t>
            </w:r>
          </w:p>
          <w:p w14:paraId="7A767BFC">
            <w:pPr>
              <w:pStyle w:val="45"/>
              <w:spacing w:line="360" w:lineRule="auto"/>
              <w:ind w:firstLine="480" w:firstLineChars="200"/>
              <w:jc w:val="both"/>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eastAsia="zh-CN"/>
              </w:rPr>
              <w:t>③</w:t>
            </w:r>
            <w:r>
              <w:rPr>
                <w:rFonts w:hint="default" w:ascii="Times New Roman" w:hAnsi="Times New Roman" w:cs="Times New Roman"/>
                <w:bCs/>
                <w:color w:val="auto"/>
                <w:szCs w:val="21"/>
                <w:highlight w:val="none"/>
                <w:lang w:eastAsia="zh-CN"/>
              </w:rPr>
              <w:t>现有工程排气筒（</w:t>
            </w:r>
            <w:r>
              <w:rPr>
                <w:rFonts w:hint="default" w:ascii="Times New Roman" w:hAnsi="Times New Roman" w:cs="Times New Roman"/>
                <w:bCs/>
                <w:color w:val="auto"/>
                <w:szCs w:val="21"/>
                <w:highlight w:val="none"/>
                <w:lang w:val="en-US" w:eastAsia="zh-CN"/>
              </w:rPr>
              <w:t>DA001</w:t>
            </w:r>
            <w:r>
              <w:rPr>
                <w:rFonts w:hint="default" w:ascii="Times New Roman" w:hAnsi="Times New Roman" w:cs="Times New Roman"/>
                <w:bCs/>
                <w:color w:val="auto"/>
                <w:szCs w:val="21"/>
                <w:highlight w:val="none"/>
                <w:lang w:eastAsia="zh-CN"/>
              </w:rPr>
              <w:t>）高度为</w:t>
            </w:r>
            <w:r>
              <w:rPr>
                <w:rFonts w:hint="default" w:ascii="Times New Roman" w:hAnsi="Times New Roman" w:cs="Times New Roman"/>
                <w:bCs/>
                <w:color w:val="auto"/>
                <w:szCs w:val="21"/>
                <w:highlight w:val="none"/>
                <w:lang w:val="en-US" w:eastAsia="zh-CN"/>
              </w:rPr>
              <w:t>14m，不满足《大气污染物综合排放标准》（GB16297-1996）中排气筒高度设置要求。</w:t>
            </w:r>
          </w:p>
          <w:p w14:paraId="5267D134">
            <w:pPr>
              <w:pStyle w:val="45"/>
              <w:spacing w:line="360" w:lineRule="auto"/>
              <w:ind w:firstLine="482" w:firstLineChars="200"/>
              <w:jc w:val="both"/>
              <w:rPr>
                <w:rFonts w:hint="eastAsia" w:ascii="宋体" w:hAnsi="宋体" w:eastAsia="宋体" w:cs="宋体"/>
                <w:bCs/>
                <w:color w:val="auto"/>
                <w:szCs w:val="21"/>
                <w:highlight w:val="none"/>
                <w:lang w:eastAsia="zh-CN"/>
              </w:rPr>
            </w:pPr>
            <w:r>
              <w:rPr>
                <w:rFonts w:hint="eastAsia" w:ascii="宋体" w:hAnsi="宋体" w:eastAsia="宋体" w:cs="宋体"/>
                <w:b/>
                <w:bCs w:val="0"/>
                <w:color w:val="auto"/>
                <w:szCs w:val="21"/>
                <w:highlight w:val="none"/>
                <w:lang w:eastAsia="zh-CN"/>
              </w:rPr>
              <w:t>以新带老整改措施：</w:t>
            </w:r>
          </w:p>
          <w:p w14:paraId="7C6031C1">
            <w:pPr>
              <w:pStyle w:val="45"/>
              <w:spacing w:line="360" w:lineRule="auto"/>
              <w:ind w:firstLine="480" w:firstLineChars="200"/>
              <w:jc w:val="both"/>
              <w:rPr>
                <w:rFonts w:hint="eastAsia" w:ascii="Times New Roman" w:hAnsi="Times New Roman" w:eastAsia="宋体" w:cs="Times New Roman"/>
                <w:color w:val="auto"/>
                <w:highlight w:val="none"/>
                <w:lang w:val="en-US" w:eastAsia="zh-CN"/>
              </w:rPr>
            </w:pPr>
            <w:r>
              <w:rPr>
                <w:rFonts w:hint="eastAsia" w:ascii="宋体" w:hAnsi="宋体" w:eastAsia="宋体" w:cs="宋体"/>
                <w:color w:val="auto"/>
                <w:highlight w:val="none"/>
              </w:rPr>
              <w:t>①</w:t>
            </w:r>
            <w:r>
              <w:rPr>
                <w:rFonts w:hint="eastAsia" w:ascii="Times New Roman" w:hAnsi="Times New Roman" w:eastAsia="宋体" w:cs="Times New Roman"/>
                <w:color w:val="auto"/>
                <w:highlight w:val="none"/>
                <w:lang w:eastAsia="zh-CN"/>
              </w:rPr>
              <w:t>及时对原料区进行三面围挡</w:t>
            </w:r>
            <w:r>
              <w:rPr>
                <w:rFonts w:hint="eastAsia" w:ascii="Times New Roman" w:hAnsi="Times New Roman" w:eastAsia="宋体" w:cs="Times New Roman"/>
                <w:color w:val="auto"/>
                <w:highlight w:val="none"/>
                <w:lang w:val="en-US" w:eastAsia="zh-CN"/>
              </w:rPr>
              <w:t>+顶棚处理，减少堆存扬尘；</w:t>
            </w:r>
          </w:p>
          <w:p w14:paraId="598BD58E">
            <w:pPr>
              <w:pStyle w:val="45"/>
              <w:spacing w:line="360" w:lineRule="auto"/>
              <w:ind w:firstLine="480" w:firstLineChars="200"/>
              <w:jc w:val="both"/>
              <w:rPr>
                <w:rFonts w:hint="eastAsia" w:ascii="Times New Roman" w:cs="Times New Roman"/>
                <w:color w:val="auto"/>
                <w:highlight w:val="none"/>
                <w:lang w:eastAsia="zh-CN"/>
              </w:rPr>
            </w:pPr>
            <w:r>
              <w:rPr>
                <w:rFonts w:hint="eastAsia" w:ascii="宋体" w:hAnsi="宋体" w:eastAsia="宋体" w:cs="宋体"/>
                <w:color w:val="auto"/>
                <w:highlight w:val="none"/>
              </w:rPr>
              <w:t>②</w:t>
            </w:r>
            <w:r>
              <w:rPr>
                <w:rFonts w:ascii="Times New Roman" w:hAnsi="Times New Roman" w:cs="Times New Roman"/>
                <w:color w:val="auto"/>
                <w:highlight w:val="none"/>
              </w:rPr>
              <w:t>按照《危险废物贮存污染控制标准》（GB18597-20</w:t>
            </w:r>
            <w:r>
              <w:rPr>
                <w:rFonts w:hint="eastAsia" w:ascii="Times New Roman" w:hAnsi="Times New Roman" w:cs="Times New Roman"/>
                <w:color w:val="auto"/>
                <w:highlight w:val="none"/>
              </w:rPr>
              <w:t>23</w:t>
            </w:r>
            <w:r>
              <w:rPr>
                <w:rFonts w:ascii="Times New Roman" w:hAnsi="Times New Roman" w:cs="Times New Roman"/>
                <w:color w:val="auto"/>
                <w:highlight w:val="none"/>
              </w:rPr>
              <w:t>）中</w:t>
            </w:r>
            <w:r>
              <w:rPr>
                <w:rFonts w:hint="eastAsia" w:ascii="Times New Roman" w:hAnsi="Times New Roman" w:cs="Times New Roman"/>
                <w:color w:val="auto"/>
                <w:highlight w:val="none"/>
              </w:rPr>
              <w:t>相关要求</w:t>
            </w:r>
            <w:r>
              <w:rPr>
                <w:rFonts w:hint="eastAsia" w:ascii="Times New Roman" w:hAnsi="Times New Roman" w:cs="Times New Roman"/>
                <w:color w:val="auto"/>
                <w:highlight w:val="none"/>
                <w:lang w:eastAsia="zh-CN"/>
              </w:rPr>
              <w:t>，</w:t>
            </w:r>
            <w:r>
              <w:rPr>
                <w:rFonts w:hint="eastAsia" w:ascii="Times New Roman" w:cs="Times New Roman"/>
                <w:color w:val="auto"/>
                <w:highlight w:val="none"/>
                <w:lang w:eastAsia="zh-CN"/>
              </w:rPr>
              <w:t>采用渗透系数合格的防渗材料对地面进行处理，并在收集容器底部设置托盘</w:t>
            </w:r>
            <w:r>
              <w:rPr>
                <w:rFonts w:hint="eastAsia" w:ascii="Times New Roman" w:hAnsi="Times New Roman" w:cs="Times New Roman"/>
                <w:color w:val="auto"/>
                <w:highlight w:val="none"/>
                <w:lang w:eastAsia="zh-CN"/>
              </w:rPr>
              <w:t>；此外，应按照《危险废物识别标志设置技术规范》（HJ1276-2022）中相关要求，做好危废标识等工作</w:t>
            </w:r>
            <w:r>
              <w:rPr>
                <w:rFonts w:hint="eastAsia" w:ascii="Times New Roman" w:cs="Times New Roman"/>
                <w:color w:val="auto"/>
                <w:highlight w:val="none"/>
                <w:lang w:eastAsia="zh-CN"/>
              </w:rPr>
              <w:t>；</w:t>
            </w:r>
          </w:p>
          <w:p w14:paraId="674A639D">
            <w:pPr>
              <w:pStyle w:val="45"/>
              <w:spacing w:line="360" w:lineRule="auto"/>
              <w:ind w:firstLine="480" w:firstLineChars="200"/>
              <w:jc w:val="both"/>
              <w:rPr>
                <w:rFonts w:hint="eastAsia" w:ascii="Times New Roman" w:cs="Times New Roman"/>
                <w:color w:val="auto"/>
                <w:highlight w:val="none"/>
                <w:lang w:eastAsia="zh-CN"/>
              </w:rPr>
            </w:pPr>
            <w:r>
              <w:rPr>
                <w:rFonts w:hint="eastAsia" w:ascii="宋体" w:hAnsi="宋体" w:eastAsia="宋体" w:cs="宋体"/>
                <w:color w:val="auto"/>
                <w:highlight w:val="none"/>
                <w:lang w:eastAsia="zh-CN"/>
              </w:rPr>
              <w:t>③</w:t>
            </w:r>
            <w:r>
              <w:rPr>
                <w:rFonts w:hint="eastAsia" w:ascii="Times New Roman" w:cs="Times New Roman"/>
                <w:color w:val="auto"/>
                <w:highlight w:val="none"/>
                <w:lang w:eastAsia="zh-CN"/>
              </w:rPr>
              <w:t>及时将现有工程排气筒（</w:t>
            </w:r>
            <w:r>
              <w:rPr>
                <w:rFonts w:hint="eastAsia" w:ascii="Times New Roman" w:cs="Times New Roman"/>
                <w:color w:val="auto"/>
                <w:highlight w:val="none"/>
                <w:lang w:val="en-US" w:eastAsia="zh-CN"/>
              </w:rPr>
              <w:t>DA001</w:t>
            </w:r>
            <w:r>
              <w:rPr>
                <w:rFonts w:hint="eastAsia" w:ascii="Times New Roman" w:cs="Times New Roman"/>
                <w:color w:val="auto"/>
                <w:highlight w:val="none"/>
                <w:lang w:eastAsia="zh-CN"/>
              </w:rPr>
              <w:t>）加高至</w:t>
            </w:r>
            <w:r>
              <w:rPr>
                <w:rFonts w:hint="eastAsia" w:ascii="Times New Roman" w:cs="Times New Roman"/>
                <w:color w:val="auto"/>
                <w:highlight w:val="none"/>
                <w:lang w:val="en-US" w:eastAsia="zh-CN"/>
              </w:rPr>
              <w:t>15m</w:t>
            </w:r>
            <w:r>
              <w:rPr>
                <w:rFonts w:hint="eastAsia" w:ascii="Times New Roman" w:cs="Times New Roman"/>
                <w:color w:val="auto"/>
                <w:highlight w:val="none"/>
                <w:lang w:eastAsia="zh-CN"/>
              </w:rPr>
              <w:t>，确保其满足</w:t>
            </w:r>
            <w:r>
              <w:rPr>
                <w:rFonts w:hint="default" w:ascii="Times New Roman" w:hAnsi="Times New Roman" w:cs="Times New Roman"/>
                <w:bCs/>
                <w:color w:val="auto"/>
                <w:szCs w:val="21"/>
                <w:highlight w:val="none"/>
                <w:lang w:val="en-US" w:eastAsia="zh-CN"/>
              </w:rPr>
              <w:t>《大气污染物综合排放标准》（GB16297-1996）中排气筒高度设置要求</w:t>
            </w:r>
            <w:r>
              <w:rPr>
                <w:rFonts w:hint="eastAsia" w:ascii="Times New Roman" w:hAnsi="Times New Roman" w:cs="Times New Roman"/>
                <w:bCs/>
                <w:color w:val="auto"/>
                <w:szCs w:val="21"/>
                <w:highlight w:val="none"/>
                <w:lang w:val="en-US" w:eastAsia="zh-CN"/>
              </w:rPr>
              <w:t>。</w:t>
            </w:r>
          </w:p>
          <w:p w14:paraId="122702EF">
            <w:pPr>
              <w:pStyle w:val="45"/>
              <w:spacing w:line="360" w:lineRule="auto"/>
              <w:ind w:firstLine="480" w:firstLineChars="200"/>
              <w:jc w:val="both"/>
              <w:rPr>
                <w:rFonts w:ascii="Times New Roman" w:cs="Times New Roman"/>
                <w:bCs/>
                <w:color w:val="auto"/>
                <w:szCs w:val="21"/>
                <w:highlight w:val="none"/>
              </w:rPr>
            </w:pPr>
            <w:r>
              <w:rPr>
                <w:rFonts w:hint="eastAsia" w:ascii="Times New Roman" w:cs="Times New Roman"/>
                <w:bCs/>
                <w:color w:val="auto"/>
                <w:szCs w:val="21"/>
                <w:highlight w:val="none"/>
                <w:lang w:eastAsia="zh-CN"/>
              </w:rPr>
              <w:t>除此之外，</w:t>
            </w:r>
            <w:r>
              <w:rPr>
                <w:rFonts w:hint="eastAsia" w:ascii="Times New Roman" w:cs="Times New Roman"/>
                <w:bCs/>
                <w:color w:val="auto"/>
                <w:szCs w:val="21"/>
                <w:highlight w:val="none"/>
              </w:rPr>
              <w:t>无与项目有关的原有环境污染问题。</w:t>
            </w:r>
          </w:p>
          <w:p w14:paraId="07FE521E">
            <w:pPr>
              <w:pStyle w:val="45"/>
              <w:spacing w:line="360" w:lineRule="auto"/>
              <w:ind w:firstLine="480" w:firstLineChars="200"/>
              <w:jc w:val="both"/>
              <w:rPr>
                <w:rFonts w:ascii="Times New Roman" w:cs="Times New Roman"/>
                <w:bCs/>
                <w:color w:val="auto"/>
                <w:szCs w:val="21"/>
                <w:highlight w:val="none"/>
              </w:rPr>
            </w:pPr>
          </w:p>
          <w:p w14:paraId="27515951">
            <w:pPr>
              <w:pStyle w:val="45"/>
              <w:jc w:val="both"/>
              <w:rPr>
                <w:rFonts w:hAnsi="宋体"/>
                <w:bCs/>
                <w:color w:val="auto"/>
                <w:szCs w:val="21"/>
                <w:highlight w:val="none"/>
              </w:rPr>
            </w:pPr>
          </w:p>
          <w:p w14:paraId="47209E8C">
            <w:pPr>
              <w:pStyle w:val="45"/>
              <w:jc w:val="both"/>
              <w:rPr>
                <w:rFonts w:hAnsi="宋体"/>
                <w:bCs/>
                <w:color w:val="auto"/>
                <w:szCs w:val="21"/>
                <w:highlight w:val="none"/>
              </w:rPr>
            </w:pPr>
          </w:p>
          <w:p w14:paraId="2B2B55B7">
            <w:pPr>
              <w:pStyle w:val="45"/>
              <w:jc w:val="both"/>
              <w:rPr>
                <w:rFonts w:hAnsi="宋体"/>
                <w:bCs/>
                <w:color w:val="auto"/>
                <w:szCs w:val="21"/>
                <w:highlight w:val="none"/>
              </w:rPr>
            </w:pPr>
          </w:p>
          <w:p w14:paraId="25A54004">
            <w:pPr>
              <w:pStyle w:val="45"/>
              <w:jc w:val="both"/>
              <w:rPr>
                <w:rFonts w:hAnsi="宋体"/>
                <w:bCs/>
                <w:color w:val="auto"/>
                <w:szCs w:val="21"/>
                <w:highlight w:val="none"/>
              </w:rPr>
            </w:pPr>
          </w:p>
          <w:p w14:paraId="4B7E407E">
            <w:pPr>
              <w:pStyle w:val="45"/>
              <w:jc w:val="both"/>
              <w:rPr>
                <w:rFonts w:hAnsi="宋体"/>
                <w:bCs/>
                <w:color w:val="auto"/>
                <w:szCs w:val="21"/>
                <w:highlight w:val="none"/>
              </w:rPr>
            </w:pPr>
          </w:p>
          <w:p w14:paraId="12FA69D5">
            <w:pPr>
              <w:pStyle w:val="45"/>
              <w:jc w:val="both"/>
              <w:rPr>
                <w:rFonts w:hAnsi="宋体"/>
                <w:bCs/>
                <w:color w:val="auto"/>
                <w:szCs w:val="21"/>
                <w:highlight w:val="none"/>
              </w:rPr>
            </w:pPr>
          </w:p>
          <w:p w14:paraId="28EB5405">
            <w:pPr>
              <w:pStyle w:val="45"/>
              <w:jc w:val="both"/>
              <w:rPr>
                <w:rFonts w:hAnsi="宋体"/>
                <w:bCs/>
                <w:color w:val="auto"/>
                <w:szCs w:val="21"/>
                <w:highlight w:val="none"/>
              </w:rPr>
            </w:pPr>
          </w:p>
          <w:p w14:paraId="1C33EDC1">
            <w:pPr>
              <w:pStyle w:val="45"/>
              <w:jc w:val="both"/>
              <w:rPr>
                <w:rFonts w:hAnsi="宋体"/>
                <w:bCs/>
                <w:color w:val="auto"/>
                <w:szCs w:val="21"/>
                <w:highlight w:val="none"/>
              </w:rPr>
            </w:pPr>
          </w:p>
          <w:p w14:paraId="34354FF0">
            <w:pPr>
              <w:pStyle w:val="45"/>
              <w:jc w:val="both"/>
              <w:rPr>
                <w:rFonts w:hAnsi="宋体"/>
                <w:bCs/>
                <w:color w:val="auto"/>
                <w:szCs w:val="21"/>
                <w:highlight w:val="none"/>
              </w:rPr>
            </w:pPr>
          </w:p>
          <w:p w14:paraId="4E1E1047">
            <w:pPr>
              <w:pStyle w:val="45"/>
              <w:jc w:val="both"/>
              <w:rPr>
                <w:rFonts w:hAnsi="宋体"/>
                <w:bCs/>
                <w:color w:val="auto"/>
                <w:szCs w:val="21"/>
                <w:highlight w:val="none"/>
              </w:rPr>
            </w:pPr>
          </w:p>
        </w:tc>
      </w:tr>
    </w:tbl>
    <w:p w14:paraId="7E1C3F3E">
      <w:pPr>
        <w:pStyle w:val="30"/>
        <w:spacing w:before="0" w:beforeAutospacing="0" w:after="0" w:afterAutospacing="0"/>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44EDB56">
      <w:pPr>
        <w:pStyle w:val="30"/>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6"/>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12"/>
      </w:tblGrid>
      <w:tr w14:paraId="266A4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1" w:hRule="atLeast"/>
          <w:jc w:val="center"/>
        </w:trPr>
        <w:tc>
          <w:tcPr>
            <w:tcW w:w="678" w:type="dxa"/>
            <w:vAlign w:val="center"/>
          </w:tcPr>
          <w:p w14:paraId="2068165C">
            <w:pPr>
              <w:adjustRightInd w:val="0"/>
              <w:snapToGrid w:val="0"/>
              <w:jc w:val="center"/>
              <w:rPr>
                <w:color w:val="auto"/>
                <w:highlight w:val="none"/>
              </w:rPr>
            </w:pPr>
          </w:p>
          <w:p w14:paraId="2B506B57">
            <w:pPr>
              <w:adjustRightInd w:val="0"/>
              <w:snapToGrid w:val="0"/>
              <w:jc w:val="center"/>
              <w:rPr>
                <w:color w:val="auto"/>
                <w:highlight w:val="none"/>
              </w:rPr>
            </w:pPr>
          </w:p>
          <w:p w14:paraId="4FBB29ED">
            <w:pPr>
              <w:adjustRightInd w:val="0"/>
              <w:snapToGrid w:val="0"/>
              <w:jc w:val="center"/>
              <w:rPr>
                <w:color w:val="auto"/>
                <w:highlight w:val="none"/>
              </w:rPr>
            </w:pPr>
          </w:p>
          <w:p w14:paraId="44A190AE">
            <w:pPr>
              <w:adjustRightInd w:val="0"/>
              <w:snapToGrid w:val="0"/>
              <w:jc w:val="center"/>
              <w:rPr>
                <w:color w:val="auto"/>
                <w:highlight w:val="none"/>
              </w:rPr>
            </w:pPr>
          </w:p>
          <w:p w14:paraId="723A95CB">
            <w:pPr>
              <w:adjustRightInd w:val="0"/>
              <w:snapToGrid w:val="0"/>
              <w:jc w:val="center"/>
              <w:rPr>
                <w:color w:val="auto"/>
                <w:highlight w:val="none"/>
              </w:rPr>
            </w:pPr>
          </w:p>
          <w:p w14:paraId="128FC2CD">
            <w:pPr>
              <w:adjustRightInd w:val="0"/>
              <w:snapToGrid w:val="0"/>
              <w:jc w:val="center"/>
              <w:rPr>
                <w:color w:val="auto"/>
                <w:highlight w:val="none"/>
              </w:rPr>
            </w:pPr>
          </w:p>
          <w:p w14:paraId="2EFB26E4">
            <w:pPr>
              <w:adjustRightInd w:val="0"/>
              <w:snapToGrid w:val="0"/>
              <w:jc w:val="center"/>
              <w:rPr>
                <w:color w:val="auto"/>
                <w:highlight w:val="none"/>
              </w:rPr>
            </w:pPr>
          </w:p>
          <w:p w14:paraId="411D2D8C">
            <w:pPr>
              <w:adjustRightInd w:val="0"/>
              <w:snapToGrid w:val="0"/>
              <w:jc w:val="center"/>
              <w:rPr>
                <w:color w:val="auto"/>
                <w:highlight w:val="none"/>
              </w:rPr>
            </w:pPr>
          </w:p>
          <w:p w14:paraId="3BDDFD64">
            <w:pPr>
              <w:adjustRightInd w:val="0"/>
              <w:snapToGrid w:val="0"/>
              <w:jc w:val="center"/>
              <w:rPr>
                <w:color w:val="auto"/>
                <w:highlight w:val="none"/>
              </w:rPr>
            </w:pPr>
          </w:p>
          <w:p w14:paraId="172FC290">
            <w:pPr>
              <w:adjustRightInd w:val="0"/>
              <w:snapToGrid w:val="0"/>
              <w:jc w:val="center"/>
              <w:rPr>
                <w:color w:val="auto"/>
                <w:highlight w:val="none"/>
              </w:rPr>
            </w:pPr>
          </w:p>
          <w:p w14:paraId="4F445C82">
            <w:pPr>
              <w:adjustRightInd w:val="0"/>
              <w:snapToGrid w:val="0"/>
              <w:jc w:val="center"/>
              <w:rPr>
                <w:color w:val="auto"/>
                <w:highlight w:val="none"/>
              </w:rPr>
            </w:pPr>
          </w:p>
          <w:p w14:paraId="18886F4E">
            <w:pPr>
              <w:adjustRightInd w:val="0"/>
              <w:snapToGrid w:val="0"/>
              <w:jc w:val="center"/>
              <w:rPr>
                <w:color w:val="auto"/>
                <w:highlight w:val="none"/>
              </w:rPr>
            </w:pPr>
          </w:p>
          <w:p w14:paraId="548B3CE8">
            <w:pPr>
              <w:adjustRightInd w:val="0"/>
              <w:snapToGrid w:val="0"/>
              <w:jc w:val="center"/>
              <w:rPr>
                <w:color w:val="auto"/>
                <w:highlight w:val="none"/>
              </w:rPr>
            </w:pPr>
          </w:p>
          <w:p w14:paraId="7A89962A">
            <w:pPr>
              <w:adjustRightInd w:val="0"/>
              <w:snapToGrid w:val="0"/>
              <w:jc w:val="center"/>
              <w:rPr>
                <w:color w:val="auto"/>
                <w:highlight w:val="none"/>
              </w:rPr>
            </w:pPr>
          </w:p>
          <w:p w14:paraId="472C3E47">
            <w:pPr>
              <w:adjustRightInd w:val="0"/>
              <w:snapToGrid w:val="0"/>
              <w:jc w:val="center"/>
              <w:rPr>
                <w:color w:val="auto"/>
                <w:highlight w:val="none"/>
              </w:rPr>
            </w:pPr>
          </w:p>
          <w:p w14:paraId="4C264D2B">
            <w:pPr>
              <w:adjustRightInd w:val="0"/>
              <w:snapToGrid w:val="0"/>
              <w:jc w:val="center"/>
              <w:rPr>
                <w:color w:val="auto"/>
                <w:highlight w:val="none"/>
              </w:rPr>
            </w:pPr>
          </w:p>
          <w:p w14:paraId="0F2F776A">
            <w:pPr>
              <w:adjustRightInd w:val="0"/>
              <w:snapToGrid w:val="0"/>
              <w:jc w:val="center"/>
              <w:rPr>
                <w:color w:val="auto"/>
                <w:highlight w:val="none"/>
              </w:rPr>
            </w:pPr>
          </w:p>
          <w:p w14:paraId="15E2FFFE">
            <w:pPr>
              <w:adjustRightInd w:val="0"/>
              <w:snapToGrid w:val="0"/>
              <w:jc w:val="center"/>
              <w:rPr>
                <w:color w:val="auto"/>
                <w:highlight w:val="none"/>
              </w:rPr>
            </w:pPr>
          </w:p>
          <w:p w14:paraId="665C3EAB">
            <w:pPr>
              <w:adjustRightInd w:val="0"/>
              <w:snapToGrid w:val="0"/>
              <w:jc w:val="center"/>
              <w:rPr>
                <w:color w:val="auto"/>
                <w:highlight w:val="none"/>
              </w:rPr>
            </w:pPr>
          </w:p>
          <w:p w14:paraId="56523A4D">
            <w:pPr>
              <w:adjustRightInd w:val="0"/>
              <w:snapToGrid w:val="0"/>
              <w:jc w:val="center"/>
              <w:rPr>
                <w:color w:val="auto"/>
                <w:highlight w:val="none"/>
              </w:rPr>
            </w:pPr>
          </w:p>
          <w:p w14:paraId="714114C8">
            <w:pPr>
              <w:adjustRightInd w:val="0"/>
              <w:snapToGrid w:val="0"/>
              <w:jc w:val="center"/>
              <w:rPr>
                <w:color w:val="auto"/>
                <w:sz w:val="24"/>
                <w:highlight w:val="none"/>
              </w:rPr>
            </w:pPr>
            <w:r>
              <w:rPr>
                <w:rFonts w:hint="eastAsia"/>
                <w:color w:val="auto"/>
                <w:sz w:val="24"/>
                <w:highlight w:val="none"/>
              </w:rPr>
              <w:t>区</w:t>
            </w:r>
          </w:p>
          <w:p w14:paraId="74E91B42">
            <w:pPr>
              <w:adjustRightInd w:val="0"/>
              <w:snapToGrid w:val="0"/>
              <w:jc w:val="center"/>
              <w:rPr>
                <w:color w:val="auto"/>
                <w:sz w:val="24"/>
                <w:highlight w:val="none"/>
              </w:rPr>
            </w:pPr>
            <w:r>
              <w:rPr>
                <w:rFonts w:hint="eastAsia"/>
                <w:color w:val="auto"/>
                <w:sz w:val="24"/>
                <w:highlight w:val="none"/>
              </w:rPr>
              <w:t>域</w:t>
            </w:r>
          </w:p>
          <w:p w14:paraId="20BED7F9">
            <w:pPr>
              <w:adjustRightInd w:val="0"/>
              <w:snapToGrid w:val="0"/>
              <w:jc w:val="center"/>
              <w:rPr>
                <w:color w:val="auto"/>
                <w:sz w:val="24"/>
                <w:highlight w:val="none"/>
              </w:rPr>
            </w:pPr>
            <w:r>
              <w:rPr>
                <w:rFonts w:hint="eastAsia"/>
                <w:color w:val="auto"/>
                <w:sz w:val="24"/>
                <w:highlight w:val="none"/>
              </w:rPr>
              <w:t>环</w:t>
            </w:r>
          </w:p>
          <w:p w14:paraId="5F2F63CF">
            <w:pPr>
              <w:adjustRightInd w:val="0"/>
              <w:snapToGrid w:val="0"/>
              <w:jc w:val="center"/>
              <w:rPr>
                <w:color w:val="auto"/>
                <w:sz w:val="24"/>
                <w:highlight w:val="none"/>
              </w:rPr>
            </w:pPr>
            <w:r>
              <w:rPr>
                <w:rFonts w:hint="eastAsia"/>
                <w:color w:val="auto"/>
                <w:sz w:val="24"/>
                <w:highlight w:val="none"/>
              </w:rPr>
              <w:t>境</w:t>
            </w:r>
          </w:p>
          <w:p w14:paraId="23C21645">
            <w:pPr>
              <w:adjustRightInd w:val="0"/>
              <w:snapToGrid w:val="0"/>
              <w:jc w:val="center"/>
              <w:rPr>
                <w:color w:val="auto"/>
                <w:sz w:val="24"/>
                <w:highlight w:val="none"/>
              </w:rPr>
            </w:pPr>
            <w:r>
              <w:rPr>
                <w:rFonts w:hint="eastAsia"/>
                <w:color w:val="auto"/>
                <w:sz w:val="24"/>
                <w:highlight w:val="none"/>
              </w:rPr>
              <w:t>质</w:t>
            </w:r>
          </w:p>
          <w:p w14:paraId="402A2909">
            <w:pPr>
              <w:adjustRightInd w:val="0"/>
              <w:snapToGrid w:val="0"/>
              <w:jc w:val="center"/>
              <w:rPr>
                <w:color w:val="auto"/>
                <w:sz w:val="24"/>
                <w:highlight w:val="none"/>
              </w:rPr>
            </w:pPr>
            <w:r>
              <w:rPr>
                <w:rFonts w:hint="eastAsia"/>
                <w:color w:val="auto"/>
                <w:sz w:val="24"/>
                <w:highlight w:val="none"/>
              </w:rPr>
              <w:t>量</w:t>
            </w:r>
          </w:p>
          <w:p w14:paraId="4BC12FB6">
            <w:pPr>
              <w:adjustRightInd w:val="0"/>
              <w:snapToGrid w:val="0"/>
              <w:jc w:val="center"/>
              <w:rPr>
                <w:color w:val="auto"/>
                <w:sz w:val="24"/>
                <w:highlight w:val="none"/>
              </w:rPr>
            </w:pPr>
            <w:r>
              <w:rPr>
                <w:rFonts w:hint="eastAsia"/>
                <w:color w:val="auto"/>
                <w:sz w:val="24"/>
                <w:highlight w:val="none"/>
              </w:rPr>
              <w:t>现</w:t>
            </w:r>
          </w:p>
          <w:p w14:paraId="3FABD7D1">
            <w:pPr>
              <w:adjustRightInd w:val="0"/>
              <w:snapToGrid w:val="0"/>
              <w:jc w:val="center"/>
              <w:rPr>
                <w:color w:val="auto"/>
                <w:sz w:val="24"/>
                <w:highlight w:val="none"/>
              </w:rPr>
            </w:pPr>
            <w:r>
              <w:rPr>
                <w:rFonts w:hint="eastAsia"/>
                <w:color w:val="auto"/>
                <w:sz w:val="24"/>
                <w:highlight w:val="none"/>
              </w:rPr>
              <w:t>状</w:t>
            </w:r>
          </w:p>
          <w:p w14:paraId="3C0EBD91">
            <w:pPr>
              <w:adjustRightInd w:val="0"/>
              <w:snapToGrid w:val="0"/>
              <w:jc w:val="center"/>
              <w:rPr>
                <w:color w:val="auto"/>
                <w:highlight w:val="none"/>
              </w:rPr>
            </w:pPr>
          </w:p>
          <w:p w14:paraId="262F01E3">
            <w:pPr>
              <w:adjustRightInd w:val="0"/>
              <w:snapToGrid w:val="0"/>
              <w:jc w:val="center"/>
              <w:rPr>
                <w:color w:val="auto"/>
                <w:highlight w:val="none"/>
              </w:rPr>
            </w:pPr>
          </w:p>
          <w:p w14:paraId="75C010CC">
            <w:pPr>
              <w:adjustRightInd w:val="0"/>
              <w:snapToGrid w:val="0"/>
              <w:jc w:val="center"/>
              <w:rPr>
                <w:color w:val="auto"/>
                <w:highlight w:val="none"/>
              </w:rPr>
            </w:pPr>
          </w:p>
          <w:p w14:paraId="4E34E81F">
            <w:pPr>
              <w:adjustRightInd w:val="0"/>
              <w:snapToGrid w:val="0"/>
              <w:jc w:val="center"/>
              <w:rPr>
                <w:color w:val="auto"/>
                <w:highlight w:val="none"/>
              </w:rPr>
            </w:pPr>
          </w:p>
          <w:p w14:paraId="7B41F193">
            <w:pPr>
              <w:adjustRightInd w:val="0"/>
              <w:snapToGrid w:val="0"/>
              <w:jc w:val="center"/>
              <w:rPr>
                <w:color w:val="auto"/>
                <w:highlight w:val="none"/>
              </w:rPr>
            </w:pPr>
          </w:p>
          <w:p w14:paraId="64266F63">
            <w:pPr>
              <w:adjustRightInd w:val="0"/>
              <w:snapToGrid w:val="0"/>
              <w:jc w:val="center"/>
              <w:rPr>
                <w:color w:val="auto"/>
                <w:highlight w:val="none"/>
              </w:rPr>
            </w:pPr>
          </w:p>
          <w:p w14:paraId="1FBDAD5C">
            <w:pPr>
              <w:adjustRightInd w:val="0"/>
              <w:snapToGrid w:val="0"/>
              <w:jc w:val="center"/>
              <w:rPr>
                <w:color w:val="auto"/>
                <w:highlight w:val="none"/>
              </w:rPr>
            </w:pPr>
          </w:p>
          <w:p w14:paraId="07869F47">
            <w:pPr>
              <w:adjustRightInd w:val="0"/>
              <w:snapToGrid w:val="0"/>
              <w:jc w:val="center"/>
              <w:rPr>
                <w:color w:val="auto"/>
                <w:highlight w:val="none"/>
              </w:rPr>
            </w:pPr>
          </w:p>
          <w:p w14:paraId="62EEA36F">
            <w:pPr>
              <w:adjustRightInd w:val="0"/>
              <w:snapToGrid w:val="0"/>
              <w:jc w:val="center"/>
              <w:rPr>
                <w:color w:val="auto"/>
                <w:highlight w:val="none"/>
              </w:rPr>
            </w:pPr>
          </w:p>
          <w:p w14:paraId="54B39A3A">
            <w:pPr>
              <w:adjustRightInd w:val="0"/>
              <w:snapToGrid w:val="0"/>
              <w:jc w:val="center"/>
              <w:rPr>
                <w:color w:val="auto"/>
                <w:highlight w:val="none"/>
              </w:rPr>
            </w:pPr>
          </w:p>
          <w:p w14:paraId="46D279BC">
            <w:pPr>
              <w:adjustRightInd w:val="0"/>
              <w:snapToGrid w:val="0"/>
              <w:jc w:val="center"/>
              <w:rPr>
                <w:color w:val="auto"/>
                <w:highlight w:val="none"/>
              </w:rPr>
            </w:pPr>
          </w:p>
          <w:p w14:paraId="5A668102">
            <w:pPr>
              <w:adjustRightInd w:val="0"/>
              <w:snapToGrid w:val="0"/>
              <w:jc w:val="center"/>
              <w:rPr>
                <w:color w:val="auto"/>
                <w:highlight w:val="none"/>
              </w:rPr>
            </w:pPr>
          </w:p>
          <w:p w14:paraId="27F8AAA8">
            <w:pPr>
              <w:adjustRightInd w:val="0"/>
              <w:snapToGrid w:val="0"/>
              <w:jc w:val="center"/>
              <w:rPr>
                <w:color w:val="auto"/>
                <w:highlight w:val="none"/>
              </w:rPr>
            </w:pPr>
          </w:p>
          <w:p w14:paraId="4BD50537">
            <w:pPr>
              <w:adjustRightInd w:val="0"/>
              <w:snapToGrid w:val="0"/>
              <w:jc w:val="center"/>
              <w:rPr>
                <w:color w:val="auto"/>
                <w:highlight w:val="none"/>
              </w:rPr>
            </w:pPr>
          </w:p>
          <w:p w14:paraId="67582CF7">
            <w:pPr>
              <w:adjustRightInd w:val="0"/>
              <w:snapToGrid w:val="0"/>
              <w:jc w:val="center"/>
              <w:rPr>
                <w:color w:val="auto"/>
                <w:highlight w:val="none"/>
              </w:rPr>
            </w:pPr>
          </w:p>
          <w:p w14:paraId="66AFE323">
            <w:pPr>
              <w:adjustRightInd w:val="0"/>
              <w:snapToGrid w:val="0"/>
              <w:jc w:val="center"/>
              <w:rPr>
                <w:color w:val="auto"/>
                <w:highlight w:val="none"/>
              </w:rPr>
            </w:pPr>
          </w:p>
          <w:p w14:paraId="17600E0B">
            <w:pPr>
              <w:adjustRightInd w:val="0"/>
              <w:snapToGrid w:val="0"/>
              <w:jc w:val="center"/>
              <w:rPr>
                <w:color w:val="auto"/>
                <w:highlight w:val="none"/>
              </w:rPr>
            </w:pPr>
          </w:p>
          <w:p w14:paraId="4A8FC9C6">
            <w:pPr>
              <w:adjustRightInd w:val="0"/>
              <w:snapToGrid w:val="0"/>
              <w:jc w:val="center"/>
              <w:rPr>
                <w:color w:val="auto"/>
                <w:highlight w:val="none"/>
              </w:rPr>
            </w:pPr>
          </w:p>
          <w:p w14:paraId="1CC0E736">
            <w:pPr>
              <w:adjustRightInd w:val="0"/>
              <w:snapToGrid w:val="0"/>
              <w:jc w:val="center"/>
              <w:rPr>
                <w:color w:val="auto"/>
                <w:highlight w:val="none"/>
              </w:rPr>
            </w:pPr>
          </w:p>
          <w:p w14:paraId="5FBC0BD3">
            <w:pPr>
              <w:adjustRightInd w:val="0"/>
              <w:snapToGrid w:val="0"/>
              <w:jc w:val="center"/>
              <w:rPr>
                <w:color w:val="auto"/>
                <w:highlight w:val="none"/>
              </w:rPr>
            </w:pPr>
          </w:p>
          <w:p w14:paraId="18E1FC1F">
            <w:pPr>
              <w:adjustRightInd w:val="0"/>
              <w:snapToGrid w:val="0"/>
              <w:jc w:val="center"/>
              <w:rPr>
                <w:color w:val="auto"/>
                <w:highlight w:val="none"/>
              </w:rPr>
            </w:pPr>
          </w:p>
          <w:p w14:paraId="2EEAF4DE">
            <w:pPr>
              <w:adjustRightInd w:val="0"/>
              <w:snapToGrid w:val="0"/>
              <w:jc w:val="center"/>
              <w:rPr>
                <w:color w:val="auto"/>
                <w:highlight w:val="none"/>
              </w:rPr>
            </w:pPr>
          </w:p>
          <w:p w14:paraId="1D2B7643">
            <w:pPr>
              <w:adjustRightInd w:val="0"/>
              <w:snapToGrid w:val="0"/>
              <w:jc w:val="center"/>
              <w:rPr>
                <w:color w:val="auto"/>
                <w:highlight w:val="none"/>
              </w:rPr>
            </w:pPr>
          </w:p>
          <w:p w14:paraId="7805EED9">
            <w:pPr>
              <w:adjustRightInd w:val="0"/>
              <w:snapToGrid w:val="0"/>
              <w:jc w:val="center"/>
              <w:rPr>
                <w:color w:val="auto"/>
                <w:highlight w:val="none"/>
              </w:rPr>
            </w:pPr>
          </w:p>
          <w:p w14:paraId="4EF1BF88">
            <w:pPr>
              <w:adjustRightInd w:val="0"/>
              <w:snapToGrid w:val="0"/>
              <w:jc w:val="center"/>
              <w:rPr>
                <w:color w:val="auto"/>
                <w:highlight w:val="none"/>
              </w:rPr>
            </w:pPr>
          </w:p>
          <w:p w14:paraId="3FBDDAAD">
            <w:pPr>
              <w:adjustRightInd w:val="0"/>
              <w:snapToGrid w:val="0"/>
              <w:jc w:val="center"/>
              <w:rPr>
                <w:color w:val="auto"/>
                <w:highlight w:val="none"/>
              </w:rPr>
            </w:pPr>
          </w:p>
          <w:p w14:paraId="334CEA5D">
            <w:pPr>
              <w:adjustRightInd w:val="0"/>
              <w:snapToGrid w:val="0"/>
              <w:jc w:val="center"/>
              <w:rPr>
                <w:color w:val="auto"/>
                <w:highlight w:val="none"/>
              </w:rPr>
            </w:pPr>
          </w:p>
          <w:p w14:paraId="307809AD">
            <w:pPr>
              <w:adjustRightInd w:val="0"/>
              <w:snapToGrid w:val="0"/>
              <w:jc w:val="center"/>
              <w:rPr>
                <w:color w:val="auto"/>
                <w:highlight w:val="none"/>
              </w:rPr>
            </w:pPr>
          </w:p>
          <w:p w14:paraId="0FE16D2F">
            <w:pPr>
              <w:adjustRightInd w:val="0"/>
              <w:snapToGrid w:val="0"/>
              <w:jc w:val="center"/>
              <w:rPr>
                <w:color w:val="auto"/>
                <w:highlight w:val="none"/>
              </w:rPr>
            </w:pPr>
          </w:p>
          <w:p w14:paraId="4BBE524B">
            <w:pPr>
              <w:adjustRightInd w:val="0"/>
              <w:snapToGrid w:val="0"/>
              <w:jc w:val="center"/>
              <w:rPr>
                <w:color w:val="auto"/>
                <w:highlight w:val="none"/>
              </w:rPr>
            </w:pPr>
          </w:p>
          <w:p w14:paraId="634CA9E6">
            <w:pPr>
              <w:adjustRightInd w:val="0"/>
              <w:snapToGrid w:val="0"/>
              <w:jc w:val="both"/>
              <w:rPr>
                <w:color w:val="auto"/>
                <w:highlight w:val="none"/>
              </w:rPr>
            </w:pPr>
          </w:p>
          <w:p w14:paraId="4B2F92E5">
            <w:pPr>
              <w:adjustRightInd w:val="0"/>
              <w:snapToGrid w:val="0"/>
              <w:jc w:val="center"/>
              <w:rPr>
                <w:rFonts w:hint="eastAsia"/>
                <w:color w:val="auto"/>
                <w:sz w:val="24"/>
                <w:highlight w:val="none"/>
              </w:rPr>
            </w:pPr>
          </w:p>
          <w:p w14:paraId="7CC608F3">
            <w:pPr>
              <w:adjustRightInd w:val="0"/>
              <w:snapToGrid w:val="0"/>
              <w:jc w:val="center"/>
              <w:rPr>
                <w:color w:val="auto"/>
                <w:sz w:val="24"/>
                <w:highlight w:val="none"/>
              </w:rPr>
            </w:pPr>
            <w:r>
              <w:rPr>
                <w:rFonts w:hint="eastAsia"/>
                <w:color w:val="auto"/>
                <w:sz w:val="24"/>
                <w:highlight w:val="none"/>
              </w:rPr>
              <w:t>区域</w:t>
            </w:r>
          </w:p>
          <w:p w14:paraId="00F3A649">
            <w:pPr>
              <w:adjustRightInd w:val="0"/>
              <w:snapToGrid w:val="0"/>
              <w:jc w:val="center"/>
              <w:rPr>
                <w:color w:val="auto"/>
                <w:sz w:val="24"/>
                <w:highlight w:val="none"/>
              </w:rPr>
            </w:pPr>
            <w:r>
              <w:rPr>
                <w:rFonts w:hint="eastAsia"/>
                <w:color w:val="auto"/>
                <w:sz w:val="24"/>
                <w:highlight w:val="none"/>
              </w:rPr>
              <w:t>环境</w:t>
            </w:r>
          </w:p>
          <w:p w14:paraId="1AA86EEC">
            <w:pPr>
              <w:adjustRightInd w:val="0"/>
              <w:snapToGrid w:val="0"/>
              <w:jc w:val="center"/>
              <w:rPr>
                <w:color w:val="auto"/>
                <w:sz w:val="24"/>
                <w:highlight w:val="none"/>
              </w:rPr>
            </w:pPr>
            <w:r>
              <w:rPr>
                <w:rFonts w:hint="eastAsia"/>
                <w:color w:val="auto"/>
                <w:sz w:val="24"/>
                <w:highlight w:val="none"/>
              </w:rPr>
              <w:t>质量</w:t>
            </w:r>
          </w:p>
          <w:p w14:paraId="2D54FBB9">
            <w:pPr>
              <w:adjustRightInd w:val="0"/>
              <w:snapToGrid w:val="0"/>
              <w:jc w:val="center"/>
              <w:rPr>
                <w:color w:val="auto"/>
                <w:sz w:val="24"/>
                <w:highlight w:val="none"/>
              </w:rPr>
            </w:pPr>
            <w:r>
              <w:rPr>
                <w:rFonts w:hint="eastAsia"/>
                <w:color w:val="auto"/>
                <w:sz w:val="24"/>
                <w:highlight w:val="none"/>
              </w:rPr>
              <w:t>现状</w:t>
            </w:r>
          </w:p>
          <w:p w14:paraId="3533F574">
            <w:pPr>
              <w:adjustRightInd w:val="0"/>
              <w:snapToGrid w:val="0"/>
              <w:rPr>
                <w:color w:val="auto"/>
                <w:highlight w:val="none"/>
              </w:rPr>
            </w:pPr>
          </w:p>
          <w:p w14:paraId="6BACE2DB">
            <w:pPr>
              <w:pStyle w:val="45"/>
              <w:rPr>
                <w:rFonts w:hAnsi="宋体"/>
                <w:color w:val="auto"/>
                <w:szCs w:val="21"/>
                <w:highlight w:val="none"/>
              </w:rPr>
            </w:pPr>
          </w:p>
        </w:tc>
        <w:tc>
          <w:tcPr>
            <w:tcW w:w="8312" w:type="dxa"/>
          </w:tcPr>
          <w:p w14:paraId="3A480DCF">
            <w:pPr>
              <w:spacing w:line="360" w:lineRule="auto"/>
              <w:ind w:firstLine="482" w:firstLineChars="200"/>
              <w:rPr>
                <w:b/>
                <w:bCs/>
                <w:color w:val="auto"/>
                <w:sz w:val="24"/>
                <w:highlight w:val="none"/>
              </w:rPr>
            </w:pPr>
            <w:r>
              <w:rPr>
                <w:rFonts w:hint="eastAsia"/>
                <w:b/>
                <w:bCs/>
                <w:color w:val="auto"/>
                <w:sz w:val="24"/>
                <w:highlight w:val="none"/>
              </w:rPr>
              <w:t>（一）</w:t>
            </w:r>
            <w:r>
              <w:rPr>
                <w:b/>
                <w:bCs/>
                <w:color w:val="auto"/>
                <w:sz w:val="24"/>
                <w:highlight w:val="none"/>
              </w:rPr>
              <w:t>环境空气质量现状</w:t>
            </w:r>
          </w:p>
          <w:p w14:paraId="6E656424">
            <w:pPr>
              <w:spacing w:line="360" w:lineRule="auto"/>
              <w:ind w:firstLine="482" w:firstLineChars="200"/>
              <w:rPr>
                <w:rFonts w:hint="eastAsia" w:eastAsia="宋体"/>
                <w:b/>
                <w:bCs/>
                <w:color w:val="auto"/>
                <w:sz w:val="24"/>
                <w:highlight w:val="none"/>
                <w:lang w:val="en-US" w:eastAsia="zh-CN"/>
              </w:rPr>
            </w:pPr>
            <w:r>
              <w:rPr>
                <w:b/>
                <w:bCs/>
                <w:color w:val="auto"/>
                <w:sz w:val="24"/>
                <w:highlight w:val="none"/>
              </w:rPr>
              <w:t>1、</w:t>
            </w:r>
            <w:r>
              <w:rPr>
                <w:rFonts w:hint="eastAsia"/>
                <w:b/>
                <w:bCs/>
                <w:color w:val="auto"/>
                <w:sz w:val="24"/>
                <w:highlight w:val="none"/>
                <w:lang w:eastAsia="zh-CN"/>
              </w:rPr>
              <w:t>常规污染物</w:t>
            </w:r>
          </w:p>
          <w:p w14:paraId="62EB1AFD">
            <w:pPr>
              <w:adjustRightInd w:val="0"/>
              <w:snapToGrid w:val="0"/>
              <w:spacing w:line="360" w:lineRule="auto"/>
              <w:ind w:firstLine="480" w:firstLineChars="200"/>
              <w:rPr>
                <w:color w:val="auto"/>
                <w:sz w:val="24"/>
                <w:highlight w:val="none"/>
              </w:rPr>
            </w:pPr>
            <w:r>
              <w:rPr>
                <w:color w:val="auto"/>
                <w:sz w:val="24"/>
                <w:highlight w:val="none"/>
              </w:rPr>
              <w:t>项目评价区域内环境空气质量执行《环境空气质量标准》</w:t>
            </w:r>
            <w:r>
              <w:rPr>
                <w:rFonts w:hint="eastAsia"/>
                <w:color w:val="auto"/>
                <w:sz w:val="24"/>
                <w:highlight w:val="none"/>
                <w:lang w:eastAsia="zh-CN"/>
              </w:rPr>
              <w:t>（</w:t>
            </w:r>
            <w:r>
              <w:rPr>
                <w:color w:val="auto"/>
                <w:sz w:val="24"/>
                <w:highlight w:val="none"/>
              </w:rPr>
              <w:t>GB3095-2012</w:t>
            </w:r>
            <w:r>
              <w:rPr>
                <w:rFonts w:hint="eastAsia"/>
                <w:color w:val="auto"/>
                <w:sz w:val="24"/>
                <w:highlight w:val="none"/>
                <w:lang w:eastAsia="zh-CN"/>
              </w:rPr>
              <w:t>）</w:t>
            </w:r>
            <w:r>
              <w:rPr>
                <w:color w:val="auto"/>
                <w:sz w:val="24"/>
                <w:highlight w:val="none"/>
              </w:rPr>
              <w:t>中二级标准。本次评价按照《环境空气质量评价技术规范（试行）》</w:t>
            </w:r>
            <w:r>
              <w:rPr>
                <w:rFonts w:hint="eastAsia"/>
                <w:color w:val="auto"/>
                <w:sz w:val="24"/>
                <w:highlight w:val="none"/>
                <w:lang w:eastAsia="zh-CN"/>
              </w:rPr>
              <w:t>（</w:t>
            </w:r>
            <w:r>
              <w:rPr>
                <w:color w:val="auto"/>
                <w:sz w:val="24"/>
                <w:highlight w:val="none"/>
              </w:rPr>
              <w:t>HJ663-2013</w:t>
            </w:r>
            <w:r>
              <w:rPr>
                <w:rFonts w:hint="eastAsia"/>
                <w:color w:val="auto"/>
                <w:sz w:val="24"/>
                <w:highlight w:val="none"/>
                <w:lang w:eastAsia="zh-CN"/>
              </w:rPr>
              <w:t>）</w:t>
            </w:r>
            <w:r>
              <w:rPr>
                <w:color w:val="auto"/>
                <w:sz w:val="24"/>
                <w:highlight w:val="none"/>
              </w:rPr>
              <w:t>中各评价项目的年评价指标进行判定。年评价指标中的年均浓度和相应百分位数24h平均或8h平均质量浓度满足《环境空气质量标准》</w:t>
            </w:r>
            <w:r>
              <w:rPr>
                <w:rFonts w:hint="eastAsia"/>
                <w:color w:val="auto"/>
                <w:sz w:val="24"/>
                <w:highlight w:val="none"/>
                <w:lang w:eastAsia="zh-CN"/>
              </w:rPr>
              <w:t>（</w:t>
            </w:r>
            <w:r>
              <w:rPr>
                <w:color w:val="auto"/>
                <w:sz w:val="24"/>
                <w:highlight w:val="none"/>
              </w:rPr>
              <w:t>GB3095-2012</w:t>
            </w:r>
            <w:r>
              <w:rPr>
                <w:rFonts w:hint="eastAsia"/>
                <w:color w:val="auto"/>
                <w:sz w:val="24"/>
                <w:highlight w:val="none"/>
                <w:lang w:eastAsia="zh-CN"/>
              </w:rPr>
              <w:t>）</w:t>
            </w:r>
            <w:r>
              <w:rPr>
                <w:color w:val="auto"/>
                <w:sz w:val="24"/>
                <w:highlight w:val="none"/>
              </w:rPr>
              <w:t>中浓度限值要求的即为达标。</w:t>
            </w:r>
          </w:p>
          <w:p w14:paraId="2EB6B8F8">
            <w:pPr>
              <w:adjustRightInd w:val="0"/>
              <w:snapToGrid w:val="0"/>
              <w:spacing w:line="360" w:lineRule="auto"/>
              <w:ind w:firstLine="480" w:firstLineChars="200"/>
              <w:jc w:val="left"/>
              <w:rPr>
                <w:color w:val="auto"/>
                <w:sz w:val="24"/>
                <w:highlight w:val="none"/>
              </w:rPr>
            </w:pPr>
            <w:r>
              <w:rPr>
                <w:color w:val="auto"/>
                <w:sz w:val="24"/>
                <w:highlight w:val="none"/>
              </w:rPr>
              <w:t>本次评价引用陕西省生态环境厅办公室发布的《环保快报（202</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1</w:t>
            </w:r>
            <w:r>
              <w:rPr>
                <w:color w:val="auto"/>
                <w:sz w:val="24"/>
                <w:highlight w:val="none"/>
              </w:rPr>
              <w:t>）202</w:t>
            </w:r>
            <w:r>
              <w:rPr>
                <w:rFonts w:hint="eastAsia"/>
                <w:color w:val="auto"/>
                <w:sz w:val="24"/>
                <w:highlight w:val="none"/>
                <w:lang w:val="en-US" w:eastAsia="zh-CN"/>
              </w:rPr>
              <w:t>4</w:t>
            </w:r>
            <w:r>
              <w:rPr>
                <w:color w:val="auto"/>
                <w:sz w:val="24"/>
                <w:highlight w:val="none"/>
              </w:rPr>
              <w:t>年12月及1～12月全省环境空气质量状况》数据</w:t>
            </w:r>
            <w:r>
              <w:rPr>
                <w:rFonts w:hint="eastAsia"/>
                <w:color w:val="auto"/>
                <w:sz w:val="24"/>
                <w:highlight w:val="none"/>
              </w:rPr>
              <w:t>，</w:t>
            </w:r>
            <w:r>
              <w:rPr>
                <w:rFonts w:hint="eastAsia"/>
                <w:color w:val="auto"/>
                <w:sz w:val="24"/>
                <w:highlight w:val="none"/>
                <w:lang w:eastAsia="zh-CN"/>
              </w:rPr>
              <w:t>洋</w:t>
            </w:r>
            <w:r>
              <w:rPr>
                <w:rFonts w:hint="eastAsia"/>
                <w:color w:val="auto"/>
                <w:sz w:val="24"/>
                <w:highlight w:val="none"/>
              </w:rPr>
              <w:t>县空气优良天数3</w:t>
            </w:r>
            <w:r>
              <w:rPr>
                <w:rFonts w:hint="eastAsia"/>
                <w:color w:val="auto"/>
                <w:sz w:val="24"/>
                <w:highlight w:val="none"/>
                <w:lang w:val="en-US" w:eastAsia="zh-CN"/>
              </w:rPr>
              <w:t>52</w:t>
            </w:r>
            <w:r>
              <w:rPr>
                <w:rFonts w:hint="eastAsia"/>
                <w:color w:val="auto"/>
                <w:sz w:val="24"/>
                <w:highlight w:val="none"/>
              </w:rPr>
              <w:t>天</w:t>
            </w:r>
            <w:r>
              <w:rPr>
                <w:color w:val="auto"/>
                <w:sz w:val="24"/>
                <w:highlight w:val="none"/>
              </w:rPr>
              <w:t>，见表3-1。</w:t>
            </w:r>
          </w:p>
          <w:p w14:paraId="786D3F3D">
            <w:pPr>
              <w:tabs>
                <w:tab w:val="left" w:leader="middleDot" w:pos="8399"/>
              </w:tabs>
              <w:ind w:firstLine="420"/>
              <w:jc w:val="center"/>
              <w:rPr>
                <w:b/>
                <w:color w:val="auto"/>
                <w:szCs w:val="21"/>
                <w:highlight w:val="none"/>
              </w:rPr>
            </w:pPr>
            <w:r>
              <w:rPr>
                <w:rFonts w:hint="eastAsia"/>
                <w:b/>
                <w:color w:val="auto"/>
                <w:szCs w:val="21"/>
                <w:highlight w:val="none"/>
              </w:rPr>
              <w:t>表3-1  项目所在区域环境质量现状评价表</w:t>
            </w:r>
          </w:p>
          <w:tbl>
            <w:tblPr>
              <w:tblStyle w:val="36"/>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118"/>
              <w:gridCol w:w="1110"/>
              <w:gridCol w:w="960"/>
              <w:gridCol w:w="876"/>
              <w:gridCol w:w="1110"/>
            </w:tblGrid>
            <w:tr w14:paraId="7E6B3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F650371">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污染物</w:t>
                  </w:r>
                </w:p>
              </w:tc>
              <w:tc>
                <w:tcPr>
                  <w:tcW w:w="3118" w:type="dxa"/>
                  <w:vAlign w:val="center"/>
                </w:tcPr>
                <w:p w14:paraId="100DDD56">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年评价指标</w:t>
                  </w:r>
                </w:p>
              </w:tc>
              <w:tc>
                <w:tcPr>
                  <w:tcW w:w="1110" w:type="dxa"/>
                  <w:vAlign w:val="center"/>
                </w:tcPr>
                <w:p w14:paraId="0360F109">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现状浓度/(μg/m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960" w:type="dxa"/>
                  <w:vAlign w:val="center"/>
                </w:tcPr>
                <w:p w14:paraId="3E1BCF4B">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标准值/(μg/m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876" w:type="dxa"/>
                  <w:vAlign w:val="center"/>
                </w:tcPr>
                <w:p w14:paraId="5C341D5A">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占标率</w:t>
                  </w:r>
                </w:p>
              </w:tc>
              <w:tc>
                <w:tcPr>
                  <w:tcW w:w="1110" w:type="dxa"/>
                  <w:vAlign w:val="center"/>
                </w:tcPr>
                <w:p w14:paraId="69010695">
                  <w:pPr>
                    <w:pStyle w:val="45"/>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达标情况</w:t>
                  </w:r>
                </w:p>
              </w:tc>
            </w:tr>
            <w:tr w14:paraId="21118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385112F5">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10</w:t>
                  </w:r>
                </w:p>
              </w:tc>
              <w:tc>
                <w:tcPr>
                  <w:tcW w:w="3118" w:type="dxa"/>
                  <w:vAlign w:val="center"/>
                </w:tcPr>
                <w:p w14:paraId="6C1274A1">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3BEB0EAF">
                  <w:pPr>
                    <w:widowControl/>
                    <w:jc w:val="center"/>
                    <w:textAlignment w:val="center"/>
                    <w:rPr>
                      <w:rFonts w:hint="eastAsia" w:eastAsia="宋体"/>
                      <w:color w:val="auto"/>
                      <w:szCs w:val="21"/>
                      <w:highlight w:val="none"/>
                      <w:lang w:eastAsia="zh-CN"/>
                    </w:rPr>
                  </w:pPr>
                  <w:r>
                    <w:rPr>
                      <w:color w:val="auto"/>
                      <w:kern w:val="0"/>
                      <w:szCs w:val="21"/>
                      <w:highlight w:val="none"/>
                    </w:rPr>
                    <w:t>4</w:t>
                  </w:r>
                  <w:r>
                    <w:rPr>
                      <w:rFonts w:hint="eastAsia"/>
                      <w:color w:val="auto"/>
                      <w:kern w:val="0"/>
                      <w:szCs w:val="21"/>
                      <w:highlight w:val="none"/>
                      <w:lang w:val="en-US" w:eastAsia="zh-CN"/>
                    </w:rPr>
                    <w:t>0</w:t>
                  </w:r>
                </w:p>
              </w:tc>
              <w:tc>
                <w:tcPr>
                  <w:tcW w:w="960" w:type="dxa"/>
                  <w:vAlign w:val="center"/>
                </w:tcPr>
                <w:p w14:paraId="5AB80471">
                  <w:pPr>
                    <w:widowControl/>
                    <w:jc w:val="center"/>
                    <w:textAlignment w:val="center"/>
                    <w:rPr>
                      <w:color w:val="auto"/>
                      <w:szCs w:val="21"/>
                      <w:highlight w:val="none"/>
                    </w:rPr>
                  </w:pPr>
                  <w:r>
                    <w:rPr>
                      <w:color w:val="auto"/>
                      <w:kern w:val="0"/>
                      <w:szCs w:val="21"/>
                      <w:highlight w:val="none"/>
                    </w:rPr>
                    <w:t>70</w:t>
                  </w:r>
                </w:p>
              </w:tc>
              <w:tc>
                <w:tcPr>
                  <w:tcW w:w="876" w:type="dxa"/>
                  <w:vAlign w:val="center"/>
                </w:tcPr>
                <w:p w14:paraId="739538FE">
                  <w:pPr>
                    <w:widowControl/>
                    <w:jc w:val="center"/>
                    <w:textAlignment w:val="center"/>
                    <w:rPr>
                      <w:color w:val="auto"/>
                      <w:szCs w:val="21"/>
                      <w:highlight w:val="none"/>
                    </w:rPr>
                  </w:pPr>
                  <w:r>
                    <w:rPr>
                      <w:rFonts w:hint="eastAsia"/>
                      <w:color w:val="auto"/>
                      <w:kern w:val="0"/>
                      <w:szCs w:val="21"/>
                      <w:highlight w:val="none"/>
                      <w:lang w:val="en-US" w:eastAsia="zh-CN"/>
                    </w:rPr>
                    <w:t>57.14</w:t>
                  </w:r>
                  <w:r>
                    <w:rPr>
                      <w:color w:val="auto"/>
                      <w:kern w:val="0"/>
                      <w:szCs w:val="21"/>
                      <w:highlight w:val="none"/>
                    </w:rPr>
                    <w:t>%</w:t>
                  </w:r>
                </w:p>
              </w:tc>
              <w:tc>
                <w:tcPr>
                  <w:tcW w:w="1110" w:type="dxa"/>
                  <w:vAlign w:val="center"/>
                </w:tcPr>
                <w:p w14:paraId="17C76324">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5C85A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63EAFA54">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2.5</w:t>
                  </w:r>
                </w:p>
              </w:tc>
              <w:tc>
                <w:tcPr>
                  <w:tcW w:w="3118" w:type="dxa"/>
                  <w:vAlign w:val="center"/>
                </w:tcPr>
                <w:p w14:paraId="36F111D0">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64377E42">
                  <w:pPr>
                    <w:widowControl/>
                    <w:jc w:val="center"/>
                    <w:textAlignment w:val="center"/>
                    <w:rPr>
                      <w:color w:val="auto"/>
                      <w:szCs w:val="21"/>
                      <w:highlight w:val="none"/>
                    </w:rPr>
                  </w:pPr>
                  <w:r>
                    <w:rPr>
                      <w:color w:val="auto"/>
                      <w:kern w:val="0"/>
                      <w:szCs w:val="21"/>
                      <w:highlight w:val="none"/>
                    </w:rPr>
                    <w:t>27</w:t>
                  </w:r>
                </w:p>
              </w:tc>
              <w:tc>
                <w:tcPr>
                  <w:tcW w:w="960" w:type="dxa"/>
                  <w:vAlign w:val="center"/>
                </w:tcPr>
                <w:p w14:paraId="04F2BA20">
                  <w:pPr>
                    <w:widowControl/>
                    <w:jc w:val="center"/>
                    <w:textAlignment w:val="center"/>
                    <w:rPr>
                      <w:color w:val="auto"/>
                      <w:szCs w:val="21"/>
                      <w:highlight w:val="none"/>
                    </w:rPr>
                  </w:pPr>
                  <w:r>
                    <w:rPr>
                      <w:color w:val="auto"/>
                      <w:kern w:val="0"/>
                      <w:szCs w:val="21"/>
                      <w:highlight w:val="none"/>
                    </w:rPr>
                    <w:t>35</w:t>
                  </w:r>
                </w:p>
              </w:tc>
              <w:tc>
                <w:tcPr>
                  <w:tcW w:w="876" w:type="dxa"/>
                  <w:vAlign w:val="center"/>
                </w:tcPr>
                <w:p w14:paraId="2FD47995">
                  <w:pPr>
                    <w:widowControl/>
                    <w:jc w:val="center"/>
                    <w:textAlignment w:val="center"/>
                    <w:rPr>
                      <w:color w:val="auto"/>
                      <w:szCs w:val="21"/>
                      <w:highlight w:val="none"/>
                    </w:rPr>
                  </w:pPr>
                  <w:r>
                    <w:rPr>
                      <w:color w:val="auto"/>
                      <w:kern w:val="0"/>
                      <w:szCs w:val="21"/>
                      <w:highlight w:val="none"/>
                    </w:rPr>
                    <w:t>77.14%</w:t>
                  </w:r>
                </w:p>
              </w:tc>
              <w:tc>
                <w:tcPr>
                  <w:tcW w:w="1110" w:type="dxa"/>
                  <w:vAlign w:val="center"/>
                </w:tcPr>
                <w:p w14:paraId="77084EAA">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6A754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365FBB9">
                  <w:pPr>
                    <w:widowControl/>
                    <w:jc w:val="center"/>
                    <w:textAlignment w:val="center"/>
                    <w:rPr>
                      <w:color w:val="auto"/>
                      <w:szCs w:val="21"/>
                      <w:highlight w:val="none"/>
                    </w:rPr>
                  </w:pPr>
                  <w:r>
                    <w:rPr>
                      <w:color w:val="auto"/>
                      <w:kern w:val="0"/>
                      <w:szCs w:val="21"/>
                      <w:highlight w:val="none"/>
                    </w:rPr>
                    <w:t>SO</w:t>
                  </w:r>
                  <w:r>
                    <w:rPr>
                      <w:color w:val="auto"/>
                      <w:kern w:val="0"/>
                      <w:szCs w:val="21"/>
                      <w:highlight w:val="none"/>
                      <w:vertAlign w:val="subscript"/>
                    </w:rPr>
                    <w:t>2</w:t>
                  </w:r>
                </w:p>
              </w:tc>
              <w:tc>
                <w:tcPr>
                  <w:tcW w:w="3118" w:type="dxa"/>
                  <w:vAlign w:val="center"/>
                </w:tcPr>
                <w:p w14:paraId="340345B2">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49F1BD91">
                  <w:pPr>
                    <w:widowControl/>
                    <w:jc w:val="center"/>
                    <w:textAlignment w:val="center"/>
                    <w:rPr>
                      <w:rFonts w:hint="eastAsia" w:eastAsia="宋体"/>
                      <w:color w:val="auto"/>
                      <w:szCs w:val="21"/>
                      <w:highlight w:val="none"/>
                      <w:lang w:eastAsia="zh-CN"/>
                    </w:rPr>
                  </w:pPr>
                  <w:r>
                    <w:rPr>
                      <w:rFonts w:hint="eastAsia"/>
                      <w:color w:val="auto"/>
                      <w:kern w:val="0"/>
                      <w:szCs w:val="21"/>
                      <w:highlight w:val="none"/>
                      <w:lang w:val="en-US" w:eastAsia="zh-CN"/>
                    </w:rPr>
                    <w:t>7</w:t>
                  </w:r>
                </w:p>
              </w:tc>
              <w:tc>
                <w:tcPr>
                  <w:tcW w:w="960" w:type="dxa"/>
                  <w:vAlign w:val="center"/>
                </w:tcPr>
                <w:p w14:paraId="70C96154">
                  <w:pPr>
                    <w:widowControl/>
                    <w:jc w:val="center"/>
                    <w:textAlignment w:val="center"/>
                    <w:rPr>
                      <w:color w:val="auto"/>
                      <w:szCs w:val="21"/>
                      <w:highlight w:val="none"/>
                    </w:rPr>
                  </w:pPr>
                  <w:r>
                    <w:rPr>
                      <w:color w:val="auto"/>
                      <w:kern w:val="0"/>
                      <w:szCs w:val="21"/>
                      <w:highlight w:val="none"/>
                    </w:rPr>
                    <w:t>60</w:t>
                  </w:r>
                </w:p>
              </w:tc>
              <w:tc>
                <w:tcPr>
                  <w:tcW w:w="876" w:type="dxa"/>
                  <w:vAlign w:val="center"/>
                </w:tcPr>
                <w:p w14:paraId="635531D3">
                  <w:pPr>
                    <w:widowControl/>
                    <w:jc w:val="center"/>
                    <w:textAlignment w:val="center"/>
                    <w:rPr>
                      <w:color w:val="auto"/>
                      <w:szCs w:val="21"/>
                      <w:highlight w:val="none"/>
                    </w:rPr>
                  </w:pPr>
                  <w:r>
                    <w:rPr>
                      <w:color w:val="auto"/>
                      <w:kern w:val="0"/>
                      <w:szCs w:val="21"/>
                      <w:highlight w:val="none"/>
                    </w:rPr>
                    <w:t>1</w:t>
                  </w:r>
                  <w:r>
                    <w:rPr>
                      <w:rFonts w:hint="eastAsia"/>
                      <w:color w:val="auto"/>
                      <w:kern w:val="0"/>
                      <w:szCs w:val="21"/>
                      <w:highlight w:val="none"/>
                      <w:lang w:val="en-US" w:eastAsia="zh-CN"/>
                    </w:rPr>
                    <w:t>1.67</w:t>
                  </w:r>
                  <w:r>
                    <w:rPr>
                      <w:color w:val="auto"/>
                      <w:kern w:val="0"/>
                      <w:szCs w:val="21"/>
                      <w:highlight w:val="none"/>
                    </w:rPr>
                    <w:t>%</w:t>
                  </w:r>
                </w:p>
              </w:tc>
              <w:tc>
                <w:tcPr>
                  <w:tcW w:w="1110" w:type="dxa"/>
                  <w:vAlign w:val="center"/>
                </w:tcPr>
                <w:p w14:paraId="6A28354E">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01B3C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64849981">
                  <w:pPr>
                    <w:widowControl/>
                    <w:jc w:val="center"/>
                    <w:textAlignment w:val="center"/>
                    <w:rPr>
                      <w:color w:val="auto"/>
                      <w:szCs w:val="21"/>
                      <w:highlight w:val="none"/>
                    </w:rPr>
                  </w:pPr>
                  <w:r>
                    <w:rPr>
                      <w:color w:val="auto"/>
                      <w:kern w:val="0"/>
                      <w:szCs w:val="21"/>
                      <w:highlight w:val="none"/>
                    </w:rPr>
                    <w:t>NO</w:t>
                  </w:r>
                  <w:r>
                    <w:rPr>
                      <w:color w:val="auto"/>
                      <w:kern w:val="0"/>
                      <w:szCs w:val="21"/>
                      <w:highlight w:val="none"/>
                      <w:vertAlign w:val="subscript"/>
                    </w:rPr>
                    <w:t>2</w:t>
                  </w:r>
                </w:p>
              </w:tc>
              <w:tc>
                <w:tcPr>
                  <w:tcW w:w="3118" w:type="dxa"/>
                  <w:vAlign w:val="center"/>
                </w:tcPr>
                <w:p w14:paraId="49349955">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528F643B">
                  <w:pPr>
                    <w:widowControl/>
                    <w:jc w:val="center"/>
                    <w:textAlignment w:val="center"/>
                    <w:rPr>
                      <w:color w:val="auto"/>
                      <w:szCs w:val="21"/>
                      <w:highlight w:val="none"/>
                    </w:rPr>
                  </w:pPr>
                  <w:r>
                    <w:rPr>
                      <w:color w:val="auto"/>
                      <w:kern w:val="0"/>
                      <w:szCs w:val="21"/>
                      <w:highlight w:val="none"/>
                    </w:rPr>
                    <w:t>14</w:t>
                  </w:r>
                </w:p>
              </w:tc>
              <w:tc>
                <w:tcPr>
                  <w:tcW w:w="960" w:type="dxa"/>
                  <w:vAlign w:val="center"/>
                </w:tcPr>
                <w:p w14:paraId="6795DA20">
                  <w:pPr>
                    <w:widowControl/>
                    <w:jc w:val="center"/>
                    <w:textAlignment w:val="center"/>
                    <w:rPr>
                      <w:color w:val="auto"/>
                      <w:szCs w:val="21"/>
                      <w:highlight w:val="none"/>
                    </w:rPr>
                  </w:pPr>
                  <w:r>
                    <w:rPr>
                      <w:color w:val="auto"/>
                      <w:kern w:val="0"/>
                      <w:szCs w:val="21"/>
                      <w:highlight w:val="none"/>
                    </w:rPr>
                    <w:t>40</w:t>
                  </w:r>
                </w:p>
              </w:tc>
              <w:tc>
                <w:tcPr>
                  <w:tcW w:w="876" w:type="dxa"/>
                  <w:vAlign w:val="center"/>
                </w:tcPr>
                <w:p w14:paraId="145276D0">
                  <w:pPr>
                    <w:widowControl/>
                    <w:jc w:val="center"/>
                    <w:textAlignment w:val="center"/>
                    <w:rPr>
                      <w:color w:val="auto"/>
                      <w:szCs w:val="21"/>
                      <w:highlight w:val="none"/>
                    </w:rPr>
                  </w:pPr>
                  <w:r>
                    <w:rPr>
                      <w:color w:val="auto"/>
                      <w:kern w:val="0"/>
                      <w:szCs w:val="21"/>
                      <w:highlight w:val="none"/>
                    </w:rPr>
                    <w:t>35.00%</w:t>
                  </w:r>
                </w:p>
              </w:tc>
              <w:tc>
                <w:tcPr>
                  <w:tcW w:w="1110" w:type="dxa"/>
                  <w:vAlign w:val="center"/>
                </w:tcPr>
                <w:p w14:paraId="62DE4A60">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47904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54C93AD">
                  <w:pPr>
                    <w:widowControl/>
                    <w:jc w:val="center"/>
                    <w:textAlignment w:val="center"/>
                    <w:rPr>
                      <w:color w:val="auto"/>
                      <w:szCs w:val="21"/>
                      <w:highlight w:val="none"/>
                    </w:rPr>
                  </w:pPr>
                  <w:r>
                    <w:rPr>
                      <w:color w:val="auto"/>
                      <w:kern w:val="0"/>
                      <w:szCs w:val="21"/>
                      <w:highlight w:val="none"/>
                    </w:rPr>
                    <w:t>CO</w:t>
                  </w:r>
                </w:p>
              </w:tc>
              <w:tc>
                <w:tcPr>
                  <w:tcW w:w="3118" w:type="dxa"/>
                  <w:vAlign w:val="center"/>
                </w:tcPr>
                <w:p w14:paraId="469CF86E">
                  <w:pPr>
                    <w:widowControl/>
                    <w:jc w:val="center"/>
                    <w:textAlignment w:val="center"/>
                    <w:rPr>
                      <w:color w:val="auto"/>
                      <w:szCs w:val="21"/>
                      <w:highlight w:val="none"/>
                    </w:rPr>
                  </w:pPr>
                  <w:r>
                    <w:rPr>
                      <w:rFonts w:hint="eastAsia" w:ascii="宋体" w:hAnsi="宋体" w:cs="宋体"/>
                      <w:color w:val="auto"/>
                      <w:kern w:val="0"/>
                      <w:szCs w:val="21"/>
                      <w:highlight w:val="none"/>
                    </w:rPr>
                    <w:t>保证率日平均第</w:t>
                  </w:r>
                  <w:r>
                    <w:rPr>
                      <w:rStyle w:val="138"/>
                      <w:color w:val="auto"/>
                      <w:sz w:val="21"/>
                      <w:szCs w:val="21"/>
                      <w:highlight w:val="none"/>
                    </w:rPr>
                    <w:t>95</w:t>
                  </w:r>
                  <w:r>
                    <w:rPr>
                      <w:rFonts w:hint="eastAsia" w:ascii="宋体" w:hAnsi="宋体" w:cs="宋体"/>
                      <w:color w:val="auto"/>
                      <w:kern w:val="0"/>
                      <w:szCs w:val="21"/>
                      <w:highlight w:val="none"/>
                    </w:rPr>
                    <w:t>百分位数</w:t>
                  </w:r>
                </w:p>
              </w:tc>
              <w:tc>
                <w:tcPr>
                  <w:tcW w:w="1110" w:type="dxa"/>
                  <w:vAlign w:val="center"/>
                </w:tcPr>
                <w:p w14:paraId="2C368AEF">
                  <w:pPr>
                    <w:widowControl/>
                    <w:jc w:val="center"/>
                    <w:textAlignment w:val="center"/>
                    <w:rPr>
                      <w:color w:val="auto"/>
                      <w:szCs w:val="21"/>
                      <w:highlight w:val="none"/>
                    </w:rPr>
                  </w:pPr>
                  <w:r>
                    <w:rPr>
                      <w:color w:val="auto"/>
                      <w:kern w:val="0"/>
                      <w:szCs w:val="21"/>
                      <w:highlight w:val="none"/>
                    </w:rPr>
                    <w:t>1200</w:t>
                  </w:r>
                </w:p>
              </w:tc>
              <w:tc>
                <w:tcPr>
                  <w:tcW w:w="960" w:type="dxa"/>
                  <w:vAlign w:val="center"/>
                </w:tcPr>
                <w:p w14:paraId="6083A7EC">
                  <w:pPr>
                    <w:widowControl/>
                    <w:jc w:val="center"/>
                    <w:textAlignment w:val="center"/>
                    <w:rPr>
                      <w:color w:val="auto"/>
                      <w:szCs w:val="21"/>
                      <w:highlight w:val="none"/>
                    </w:rPr>
                  </w:pPr>
                  <w:r>
                    <w:rPr>
                      <w:color w:val="auto"/>
                      <w:kern w:val="0"/>
                      <w:szCs w:val="21"/>
                      <w:highlight w:val="none"/>
                    </w:rPr>
                    <w:t>4000</w:t>
                  </w:r>
                </w:p>
              </w:tc>
              <w:tc>
                <w:tcPr>
                  <w:tcW w:w="876" w:type="dxa"/>
                  <w:vAlign w:val="center"/>
                </w:tcPr>
                <w:p w14:paraId="3C5D723B">
                  <w:pPr>
                    <w:widowControl/>
                    <w:jc w:val="center"/>
                    <w:textAlignment w:val="center"/>
                    <w:rPr>
                      <w:color w:val="auto"/>
                      <w:szCs w:val="21"/>
                      <w:highlight w:val="none"/>
                    </w:rPr>
                  </w:pPr>
                  <w:r>
                    <w:rPr>
                      <w:color w:val="auto"/>
                      <w:kern w:val="0"/>
                      <w:szCs w:val="21"/>
                      <w:highlight w:val="none"/>
                    </w:rPr>
                    <w:t>30.00%</w:t>
                  </w:r>
                </w:p>
              </w:tc>
              <w:tc>
                <w:tcPr>
                  <w:tcW w:w="1110" w:type="dxa"/>
                  <w:vAlign w:val="center"/>
                </w:tcPr>
                <w:p w14:paraId="02942960">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24BA1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5D2EA5D3">
                  <w:pPr>
                    <w:widowControl/>
                    <w:jc w:val="center"/>
                    <w:textAlignment w:val="center"/>
                    <w:rPr>
                      <w:color w:val="auto"/>
                      <w:szCs w:val="21"/>
                      <w:highlight w:val="none"/>
                    </w:rPr>
                  </w:pPr>
                  <w:r>
                    <w:rPr>
                      <w:color w:val="auto"/>
                      <w:kern w:val="0"/>
                      <w:szCs w:val="21"/>
                      <w:highlight w:val="none"/>
                    </w:rPr>
                    <w:t>O</w:t>
                  </w:r>
                  <w:r>
                    <w:rPr>
                      <w:color w:val="auto"/>
                      <w:kern w:val="0"/>
                      <w:szCs w:val="21"/>
                      <w:highlight w:val="none"/>
                      <w:vertAlign w:val="subscript"/>
                    </w:rPr>
                    <w:t>3</w:t>
                  </w:r>
                </w:p>
              </w:tc>
              <w:tc>
                <w:tcPr>
                  <w:tcW w:w="3118" w:type="dxa"/>
                  <w:vAlign w:val="center"/>
                </w:tcPr>
                <w:p w14:paraId="53383F69">
                  <w:pPr>
                    <w:widowControl/>
                    <w:jc w:val="center"/>
                    <w:textAlignment w:val="center"/>
                    <w:rPr>
                      <w:color w:val="auto"/>
                      <w:szCs w:val="21"/>
                      <w:highlight w:val="none"/>
                    </w:rPr>
                  </w:pPr>
                  <w:r>
                    <w:rPr>
                      <w:rStyle w:val="138"/>
                      <w:color w:val="auto"/>
                      <w:sz w:val="21"/>
                      <w:szCs w:val="21"/>
                      <w:highlight w:val="none"/>
                    </w:rPr>
                    <w:t>90%</w:t>
                  </w:r>
                  <w:r>
                    <w:rPr>
                      <w:rFonts w:hint="eastAsia" w:ascii="宋体" w:hAnsi="宋体" w:cs="宋体"/>
                      <w:color w:val="auto"/>
                      <w:kern w:val="0"/>
                      <w:szCs w:val="21"/>
                      <w:highlight w:val="none"/>
                    </w:rPr>
                    <w:t>保证率</w:t>
                  </w:r>
                  <w:r>
                    <w:rPr>
                      <w:rStyle w:val="138"/>
                      <w:color w:val="auto"/>
                      <w:sz w:val="21"/>
                      <w:szCs w:val="21"/>
                      <w:highlight w:val="none"/>
                    </w:rPr>
                    <w:t>8</w:t>
                  </w:r>
                  <w:r>
                    <w:rPr>
                      <w:rFonts w:hint="eastAsia" w:ascii="宋体" w:hAnsi="宋体" w:cs="宋体"/>
                      <w:color w:val="auto"/>
                      <w:kern w:val="0"/>
                      <w:szCs w:val="21"/>
                      <w:highlight w:val="none"/>
                    </w:rPr>
                    <w:t>小时平均质量浓度</w:t>
                  </w:r>
                </w:p>
              </w:tc>
              <w:tc>
                <w:tcPr>
                  <w:tcW w:w="1110" w:type="dxa"/>
                  <w:vAlign w:val="center"/>
                </w:tcPr>
                <w:p w14:paraId="27CC1C77">
                  <w:pPr>
                    <w:widowControl/>
                    <w:jc w:val="center"/>
                    <w:textAlignment w:val="center"/>
                    <w:rPr>
                      <w:rFonts w:hint="eastAsia" w:eastAsia="宋体"/>
                      <w:color w:val="auto"/>
                      <w:szCs w:val="21"/>
                      <w:highlight w:val="none"/>
                      <w:lang w:eastAsia="zh-CN"/>
                    </w:rPr>
                  </w:pPr>
                  <w:r>
                    <w:rPr>
                      <w:color w:val="auto"/>
                      <w:kern w:val="0"/>
                      <w:szCs w:val="21"/>
                      <w:highlight w:val="none"/>
                    </w:rPr>
                    <w:t>12</w:t>
                  </w:r>
                  <w:r>
                    <w:rPr>
                      <w:rFonts w:hint="eastAsia"/>
                      <w:color w:val="auto"/>
                      <w:kern w:val="0"/>
                      <w:szCs w:val="21"/>
                      <w:highlight w:val="none"/>
                      <w:lang w:val="en-US" w:eastAsia="zh-CN"/>
                    </w:rPr>
                    <w:t>0</w:t>
                  </w:r>
                </w:p>
              </w:tc>
              <w:tc>
                <w:tcPr>
                  <w:tcW w:w="960" w:type="dxa"/>
                  <w:vAlign w:val="center"/>
                </w:tcPr>
                <w:p w14:paraId="1791792C">
                  <w:pPr>
                    <w:widowControl/>
                    <w:jc w:val="center"/>
                    <w:textAlignment w:val="center"/>
                    <w:rPr>
                      <w:color w:val="auto"/>
                      <w:szCs w:val="21"/>
                      <w:highlight w:val="none"/>
                    </w:rPr>
                  </w:pPr>
                  <w:r>
                    <w:rPr>
                      <w:color w:val="auto"/>
                      <w:kern w:val="0"/>
                      <w:szCs w:val="21"/>
                      <w:highlight w:val="none"/>
                    </w:rPr>
                    <w:t>160</w:t>
                  </w:r>
                </w:p>
              </w:tc>
              <w:tc>
                <w:tcPr>
                  <w:tcW w:w="876" w:type="dxa"/>
                  <w:vAlign w:val="center"/>
                </w:tcPr>
                <w:p w14:paraId="216C66B4">
                  <w:pPr>
                    <w:widowControl/>
                    <w:jc w:val="center"/>
                    <w:textAlignment w:val="center"/>
                    <w:rPr>
                      <w:color w:val="auto"/>
                      <w:szCs w:val="21"/>
                      <w:highlight w:val="none"/>
                    </w:rPr>
                  </w:pPr>
                  <w:r>
                    <w:rPr>
                      <w:color w:val="auto"/>
                      <w:kern w:val="0"/>
                      <w:szCs w:val="21"/>
                      <w:highlight w:val="none"/>
                    </w:rPr>
                    <w:t>7</w:t>
                  </w:r>
                  <w:r>
                    <w:rPr>
                      <w:rFonts w:hint="eastAsia"/>
                      <w:color w:val="auto"/>
                      <w:kern w:val="0"/>
                      <w:szCs w:val="21"/>
                      <w:highlight w:val="none"/>
                      <w:lang w:val="en-US" w:eastAsia="zh-CN"/>
                    </w:rPr>
                    <w:t>5.00</w:t>
                  </w:r>
                  <w:r>
                    <w:rPr>
                      <w:color w:val="auto"/>
                      <w:kern w:val="0"/>
                      <w:szCs w:val="21"/>
                      <w:highlight w:val="none"/>
                    </w:rPr>
                    <w:t>%</w:t>
                  </w:r>
                </w:p>
              </w:tc>
              <w:tc>
                <w:tcPr>
                  <w:tcW w:w="1110" w:type="dxa"/>
                  <w:vAlign w:val="center"/>
                </w:tcPr>
                <w:p w14:paraId="2D82CE6D">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bl>
          <w:p w14:paraId="1805C667">
            <w:pPr>
              <w:snapToGrid w:val="0"/>
              <w:spacing w:line="360" w:lineRule="auto"/>
              <w:ind w:firstLine="480" w:firstLineChars="200"/>
              <w:rPr>
                <w:color w:val="auto"/>
                <w:sz w:val="24"/>
                <w:highlight w:val="none"/>
              </w:rPr>
            </w:pPr>
            <w:r>
              <w:rPr>
                <w:rFonts w:hint="eastAsia"/>
                <w:color w:val="auto"/>
                <w:sz w:val="24"/>
                <w:highlight w:val="none"/>
              </w:rPr>
              <w:t>从20</w:t>
            </w:r>
            <w:r>
              <w:rPr>
                <w:color w:val="auto"/>
                <w:sz w:val="24"/>
                <w:highlight w:val="none"/>
              </w:rPr>
              <w:t>2</w:t>
            </w:r>
            <w:r>
              <w:rPr>
                <w:rFonts w:hint="eastAsia"/>
                <w:color w:val="auto"/>
                <w:sz w:val="24"/>
                <w:highlight w:val="none"/>
                <w:lang w:val="en-US" w:eastAsia="zh-CN"/>
              </w:rPr>
              <w:t>3</w:t>
            </w:r>
            <w:r>
              <w:rPr>
                <w:rFonts w:hint="eastAsia"/>
                <w:color w:val="auto"/>
                <w:sz w:val="24"/>
                <w:highlight w:val="none"/>
              </w:rPr>
              <w:t>年环境空气质量监测数据来看，</w:t>
            </w:r>
            <w:r>
              <w:rPr>
                <w:rFonts w:hint="eastAsia"/>
                <w:color w:val="auto"/>
                <w:sz w:val="24"/>
                <w:highlight w:val="none"/>
                <w:lang w:eastAsia="zh-CN"/>
              </w:rPr>
              <w:t>上述污染物在对应评价指标下的现状浓度均达标</w:t>
            </w:r>
            <w:r>
              <w:rPr>
                <w:rFonts w:hint="eastAsia"/>
                <w:color w:val="auto"/>
                <w:sz w:val="24"/>
                <w:highlight w:val="none"/>
              </w:rPr>
              <w:t>。</w:t>
            </w:r>
          </w:p>
          <w:p w14:paraId="5794DE8D">
            <w:pPr>
              <w:adjustRightInd w:val="0"/>
              <w:snapToGrid w:val="0"/>
              <w:spacing w:line="360" w:lineRule="auto"/>
              <w:ind w:firstLine="482" w:firstLineChars="200"/>
              <w:rPr>
                <w:color w:val="auto"/>
                <w:sz w:val="24"/>
                <w:highlight w:val="none"/>
              </w:rPr>
            </w:pPr>
            <w:r>
              <w:rPr>
                <w:b/>
                <w:bCs/>
                <w:color w:val="auto"/>
                <w:sz w:val="24"/>
                <w:highlight w:val="none"/>
              </w:rPr>
              <w:t>2、</w:t>
            </w:r>
            <w:r>
              <w:rPr>
                <w:rFonts w:hint="eastAsia"/>
                <w:b/>
                <w:bCs/>
                <w:color w:val="auto"/>
                <w:sz w:val="24"/>
                <w:highlight w:val="none"/>
              </w:rPr>
              <w:t>特征</w:t>
            </w:r>
            <w:r>
              <w:rPr>
                <w:b/>
                <w:bCs/>
                <w:color w:val="auto"/>
                <w:sz w:val="24"/>
                <w:highlight w:val="none"/>
              </w:rPr>
              <w:t>污染物</w:t>
            </w:r>
          </w:p>
          <w:p w14:paraId="3E0CDC41">
            <w:pPr>
              <w:adjustRightInd w:val="0"/>
              <w:snapToGrid w:val="0"/>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rPr>
              <w:t>运营期特征</w:t>
            </w:r>
            <w:r>
              <w:rPr>
                <w:color w:val="auto"/>
                <w:sz w:val="24"/>
                <w:highlight w:val="none"/>
              </w:rPr>
              <w:t>污染物为</w:t>
            </w:r>
            <w:r>
              <w:rPr>
                <w:rFonts w:hint="eastAsia"/>
                <w:color w:val="auto"/>
                <w:sz w:val="24"/>
                <w:highlight w:val="none"/>
              </w:rPr>
              <w:t>TSP</w:t>
            </w:r>
            <w:r>
              <w:rPr>
                <w:color w:val="auto"/>
                <w:sz w:val="24"/>
                <w:highlight w:val="none"/>
              </w:rPr>
              <w:t>，建设单位委托</w:t>
            </w:r>
            <w:r>
              <w:rPr>
                <w:rFonts w:hint="eastAsia"/>
                <w:color w:val="auto"/>
                <w:sz w:val="24"/>
                <w:highlight w:val="none"/>
              </w:rPr>
              <w:t>汉环集团陕西名鸿检测技术有限公司</w:t>
            </w:r>
            <w:r>
              <w:rPr>
                <w:color w:val="auto"/>
                <w:sz w:val="24"/>
                <w:highlight w:val="none"/>
              </w:rPr>
              <w:t>对</w:t>
            </w:r>
            <w:r>
              <w:rPr>
                <w:rFonts w:hint="eastAsia"/>
                <w:color w:val="auto"/>
                <w:sz w:val="24"/>
                <w:highlight w:val="none"/>
              </w:rPr>
              <w:t>大气环境质量现状</w:t>
            </w:r>
            <w:r>
              <w:rPr>
                <w:color w:val="auto"/>
                <w:sz w:val="24"/>
                <w:highlight w:val="none"/>
              </w:rPr>
              <w:t>进行了监</w:t>
            </w:r>
            <w:r>
              <w:rPr>
                <w:rFonts w:hint="eastAsia"/>
                <w:color w:val="auto"/>
                <w:sz w:val="24"/>
                <w:highlight w:val="none"/>
              </w:rPr>
              <w:t>测</w:t>
            </w:r>
            <w:r>
              <w:rPr>
                <w:rFonts w:hint="eastAsia"/>
                <w:color w:val="auto"/>
                <w:sz w:val="24"/>
                <w:highlight w:val="none"/>
                <w:lang w:eastAsia="zh-CN"/>
              </w:rPr>
              <w:t>（监测时现有工程处于正常运行状态）</w:t>
            </w:r>
            <w:r>
              <w:rPr>
                <w:rFonts w:hint="eastAsia"/>
                <w:color w:val="auto"/>
                <w:sz w:val="24"/>
                <w:highlight w:val="none"/>
              </w:rPr>
              <w:t>，监测时间为202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6</w:t>
            </w:r>
            <w:r>
              <w:rPr>
                <w:rFonts w:hint="eastAsia"/>
                <w:color w:val="auto"/>
                <w:sz w:val="24"/>
                <w:highlight w:val="none"/>
              </w:rPr>
              <w:t>日-</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8</w:t>
            </w:r>
            <w:r>
              <w:rPr>
                <w:rFonts w:hint="eastAsia"/>
                <w:color w:val="auto"/>
                <w:sz w:val="24"/>
                <w:highlight w:val="none"/>
              </w:rPr>
              <w:t>日，监测点位布点见附图</w:t>
            </w:r>
            <w:r>
              <w:rPr>
                <w:rFonts w:hint="eastAsia"/>
                <w:color w:val="auto"/>
                <w:sz w:val="24"/>
                <w:highlight w:val="none"/>
                <w:lang w:val="en-US" w:eastAsia="zh-CN"/>
              </w:rPr>
              <w:t>7</w:t>
            </w:r>
            <w:r>
              <w:rPr>
                <w:rFonts w:hint="eastAsia"/>
                <w:color w:val="auto"/>
                <w:sz w:val="24"/>
                <w:highlight w:val="none"/>
              </w:rPr>
              <w:t>，</w:t>
            </w:r>
            <w:r>
              <w:rPr>
                <w:color w:val="auto"/>
                <w:sz w:val="24"/>
                <w:highlight w:val="none"/>
              </w:rPr>
              <w:t>结果如下：</w:t>
            </w:r>
          </w:p>
          <w:p w14:paraId="4F6B3B9F">
            <w:pPr>
              <w:tabs>
                <w:tab w:val="left" w:leader="middleDot" w:pos="8399"/>
              </w:tabs>
              <w:ind w:firstLine="422"/>
              <w:jc w:val="center"/>
              <w:rPr>
                <w:b/>
                <w:bCs/>
                <w:color w:val="auto"/>
                <w:highlight w:val="none"/>
              </w:rPr>
            </w:pPr>
            <w:r>
              <w:rPr>
                <w:b/>
                <w:bCs/>
                <w:color w:val="auto"/>
                <w:highlight w:val="none"/>
              </w:rPr>
              <w:t>表</w:t>
            </w:r>
            <w:r>
              <w:rPr>
                <w:rFonts w:hint="eastAsia"/>
                <w:b/>
                <w:bCs/>
                <w:color w:val="auto"/>
                <w:highlight w:val="none"/>
              </w:rPr>
              <w:t>3-2</w:t>
            </w:r>
            <w:r>
              <w:rPr>
                <w:b/>
                <w:bCs/>
                <w:color w:val="auto"/>
                <w:highlight w:val="none"/>
              </w:rPr>
              <w:t xml:space="preserve">  </w:t>
            </w:r>
            <w:r>
              <w:rPr>
                <w:rFonts w:hint="eastAsia"/>
                <w:b/>
                <w:bCs/>
                <w:color w:val="auto"/>
                <w:highlight w:val="none"/>
                <w:lang w:eastAsia="zh-CN"/>
              </w:rPr>
              <w:t>特征</w:t>
            </w:r>
            <w:r>
              <w:rPr>
                <w:rFonts w:hint="eastAsia"/>
                <w:b/>
                <w:bCs/>
                <w:color w:val="auto"/>
                <w:highlight w:val="none"/>
              </w:rPr>
              <w:t>污染物补充监测点位基本信息表</w:t>
            </w:r>
          </w:p>
          <w:tbl>
            <w:tblPr>
              <w:tblStyle w:val="36"/>
              <w:tblW w:w="80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237"/>
              <w:gridCol w:w="1164"/>
              <w:gridCol w:w="886"/>
              <w:gridCol w:w="1514"/>
              <w:gridCol w:w="1076"/>
              <w:gridCol w:w="1095"/>
            </w:tblGrid>
            <w:tr w14:paraId="1AB6F8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restart"/>
                  <w:tcBorders>
                    <w:tl2br w:val="nil"/>
                    <w:tr2bl w:val="nil"/>
                  </w:tcBorders>
                  <w:vAlign w:val="center"/>
                </w:tcPr>
                <w:p w14:paraId="18DE4298">
                  <w:pPr>
                    <w:pStyle w:val="10"/>
                    <w:ind w:firstLine="0"/>
                    <w:jc w:val="center"/>
                    <w:rPr>
                      <w:b/>
                      <w:bCs w:val="0"/>
                      <w:color w:val="auto"/>
                      <w:sz w:val="21"/>
                      <w:szCs w:val="21"/>
                      <w:highlight w:val="none"/>
                    </w:rPr>
                  </w:pPr>
                  <w:r>
                    <w:rPr>
                      <w:rFonts w:hint="eastAsia"/>
                      <w:b/>
                      <w:bCs w:val="0"/>
                      <w:color w:val="auto"/>
                      <w:sz w:val="21"/>
                      <w:szCs w:val="21"/>
                      <w:highlight w:val="none"/>
                    </w:rPr>
                    <w:t>监测点</w:t>
                  </w:r>
                </w:p>
                <w:p w14:paraId="1B2F8EF1">
                  <w:pPr>
                    <w:pStyle w:val="10"/>
                    <w:ind w:firstLine="0"/>
                    <w:jc w:val="center"/>
                    <w:rPr>
                      <w:b/>
                      <w:bCs w:val="0"/>
                      <w:color w:val="auto"/>
                      <w:sz w:val="21"/>
                      <w:szCs w:val="21"/>
                      <w:highlight w:val="none"/>
                    </w:rPr>
                  </w:pPr>
                  <w:r>
                    <w:rPr>
                      <w:rFonts w:hint="eastAsia"/>
                      <w:b/>
                      <w:bCs w:val="0"/>
                      <w:color w:val="auto"/>
                      <w:sz w:val="21"/>
                      <w:szCs w:val="21"/>
                      <w:highlight w:val="none"/>
                    </w:rPr>
                    <w:t>名称</w:t>
                  </w:r>
                </w:p>
              </w:tc>
              <w:tc>
                <w:tcPr>
                  <w:tcW w:w="2401" w:type="dxa"/>
                  <w:gridSpan w:val="2"/>
                  <w:tcBorders>
                    <w:tl2br w:val="nil"/>
                    <w:tr2bl w:val="nil"/>
                  </w:tcBorders>
                  <w:vAlign w:val="center"/>
                </w:tcPr>
                <w:p w14:paraId="28AFF3B1">
                  <w:pPr>
                    <w:pStyle w:val="10"/>
                    <w:ind w:firstLine="0"/>
                    <w:jc w:val="center"/>
                    <w:rPr>
                      <w:b/>
                      <w:bCs w:val="0"/>
                      <w:color w:val="auto"/>
                      <w:sz w:val="21"/>
                      <w:szCs w:val="21"/>
                      <w:highlight w:val="none"/>
                    </w:rPr>
                  </w:pPr>
                  <w:r>
                    <w:rPr>
                      <w:rFonts w:hint="eastAsia"/>
                      <w:b/>
                      <w:bCs w:val="0"/>
                      <w:color w:val="auto"/>
                      <w:sz w:val="21"/>
                      <w:szCs w:val="21"/>
                      <w:highlight w:val="none"/>
                    </w:rPr>
                    <w:t>监测点坐标/m</w:t>
                  </w:r>
                </w:p>
              </w:tc>
              <w:tc>
                <w:tcPr>
                  <w:tcW w:w="886" w:type="dxa"/>
                  <w:vMerge w:val="restart"/>
                  <w:tcBorders>
                    <w:tl2br w:val="nil"/>
                    <w:tr2bl w:val="nil"/>
                  </w:tcBorders>
                  <w:vAlign w:val="center"/>
                </w:tcPr>
                <w:p w14:paraId="71B08A10">
                  <w:pPr>
                    <w:pStyle w:val="10"/>
                    <w:ind w:firstLine="0"/>
                    <w:jc w:val="center"/>
                    <w:rPr>
                      <w:b/>
                      <w:bCs w:val="0"/>
                      <w:color w:val="auto"/>
                      <w:sz w:val="21"/>
                      <w:szCs w:val="21"/>
                      <w:highlight w:val="none"/>
                    </w:rPr>
                  </w:pPr>
                  <w:r>
                    <w:rPr>
                      <w:rFonts w:hint="eastAsia"/>
                      <w:b/>
                      <w:bCs w:val="0"/>
                      <w:color w:val="auto"/>
                      <w:sz w:val="21"/>
                      <w:szCs w:val="21"/>
                      <w:highlight w:val="none"/>
                    </w:rPr>
                    <w:t>监测</w:t>
                  </w:r>
                </w:p>
                <w:p w14:paraId="7715E4F9">
                  <w:pPr>
                    <w:pStyle w:val="10"/>
                    <w:ind w:firstLine="0"/>
                    <w:jc w:val="center"/>
                    <w:rPr>
                      <w:b/>
                      <w:bCs w:val="0"/>
                      <w:color w:val="auto"/>
                      <w:sz w:val="21"/>
                      <w:szCs w:val="21"/>
                      <w:highlight w:val="none"/>
                    </w:rPr>
                  </w:pPr>
                  <w:r>
                    <w:rPr>
                      <w:rFonts w:hint="eastAsia"/>
                      <w:b/>
                      <w:bCs w:val="0"/>
                      <w:color w:val="auto"/>
                      <w:sz w:val="21"/>
                      <w:szCs w:val="21"/>
                      <w:highlight w:val="none"/>
                    </w:rPr>
                    <w:t>因子</w:t>
                  </w:r>
                </w:p>
              </w:tc>
              <w:tc>
                <w:tcPr>
                  <w:tcW w:w="1514" w:type="dxa"/>
                  <w:vMerge w:val="restart"/>
                  <w:tcBorders>
                    <w:tl2br w:val="nil"/>
                    <w:tr2bl w:val="nil"/>
                  </w:tcBorders>
                  <w:vAlign w:val="center"/>
                </w:tcPr>
                <w:p w14:paraId="3284FCFE">
                  <w:pPr>
                    <w:pStyle w:val="10"/>
                    <w:ind w:firstLine="0"/>
                    <w:jc w:val="center"/>
                    <w:rPr>
                      <w:b/>
                      <w:bCs w:val="0"/>
                      <w:color w:val="auto"/>
                      <w:sz w:val="21"/>
                      <w:szCs w:val="21"/>
                      <w:highlight w:val="none"/>
                    </w:rPr>
                  </w:pPr>
                  <w:r>
                    <w:rPr>
                      <w:rFonts w:hint="eastAsia"/>
                      <w:b/>
                      <w:bCs w:val="0"/>
                      <w:color w:val="auto"/>
                      <w:sz w:val="21"/>
                      <w:szCs w:val="21"/>
                      <w:highlight w:val="none"/>
                    </w:rPr>
                    <w:t>监测时段</w:t>
                  </w:r>
                </w:p>
              </w:tc>
              <w:tc>
                <w:tcPr>
                  <w:tcW w:w="1076" w:type="dxa"/>
                  <w:vMerge w:val="restart"/>
                  <w:tcBorders>
                    <w:tl2br w:val="nil"/>
                    <w:tr2bl w:val="nil"/>
                  </w:tcBorders>
                  <w:vAlign w:val="center"/>
                </w:tcPr>
                <w:p w14:paraId="2EF15628">
                  <w:pPr>
                    <w:pStyle w:val="10"/>
                    <w:ind w:firstLine="0"/>
                    <w:jc w:val="center"/>
                    <w:rPr>
                      <w:b/>
                      <w:bCs w:val="0"/>
                      <w:color w:val="auto"/>
                      <w:sz w:val="21"/>
                      <w:szCs w:val="21"/>
                      <w:highlight w:val="none"/>
                    </w:rPr>
                  </w:pPr>
                  <w:r>
                    <w:rPr>
                      <w:rFonts w:hint="eastAsia"/>
                      <w:b/>
                      <w:bCs w:val="0"/>
                      <w:color w:val="auto"/>
                      <w:sz w:val="21"/>
                      <w:szCs w:val="21"/>
                      <w:highlight w:val="none"/>
                    </w:rPr>
                    <w:t>相对厂址的方位</w:t>
                  </w:r>
                </w:p>
              </w:tc>
              <w:tc>
                <w:tcPr>
                  <w:tcW w:w="1095" w:type="dxa"/>
                  <w:vMerge w:val="restart"/>
                  <w:tcBorders>
                    <w:tl2br w:val="nil"/>
                    <w:tr2bl w:val="nil"/>
                  </w:tcBorders>
                  <w:vAlign w:val="center"/>
                </w:tcPr>
                <w:p w14:paraId="73B1F5EE">
                  <w:pPr>
                    <w:pStyle w:val="10"/>
                    <w:ind w:firstLine="0"/>
                    <w:jc w:val="center"/>
                    <w:rPr>
                      <w:b/>
                      <w:bCs w:val="0"/>
                      <w:color w:val="auto"/>
                      <w:sz w:val="21"/>
                      <w:szCs w:val="21"/>
                      <w:highlight w:val="none"/>
                    </w:rPr>
                  </w:pPr>
                  <w:r>
                    <w:rPr>
                      <w:rFonts w:hint="eastAsia"/>
                      <w:b/>
                      <w:bCs w:val="0"/>
                      <w:color w:val="auto"/>
                      <w:sz w:val="21"/>
                      <w:szCs w:val="21"/>
                      <w:highlight w:val="none"/>
                    </w:rPr>
                    <w:t>相对厂界距离/m</w:t>
                  </w:r>
                </w:p>
              </w:tc>
            </w:tr>
            <w:tr w14:paraId="5D85A5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continue"/>
                  <w:tcBorders>
                    <w:tl2br w:val="nil"/>
                    <w:tr2bl w:val="nil"/>
                  </w:tcBorders>
                  <w:vAlign w:val="center"/>
                </w:tcPr>
                <w:p w14:paraId="6058EC8A">
                  <w:pPr>
                    <w:pStyle w:val="10"/>
                    <w:ind w:firstLine="0"/>
                    <w:jc w:val="center"/>
                    <w:rPr>
                      <w:color w:val="auto"/>
                      <w:highlight w:val="none"/>
                    </w:rPr>
                  </w:pPr>
                </w:p>
              </w:tc>
              <w:tc>
                <w:tcPr>
                  <w:tcW w:w="1237" w:type="dxa"/>
                  <w:tcBorders>
                    <w:tl2br w:val="nil"/>
                    <w:tr2bl w:val="nil"/>
                  </w:tcBorders>
                  <w:vAlign w:val="center"/>
                </w:tcPr>
                <w:p w14:paraId="081E0A4E">
                  <w:pPr>
                    <w:pStyle w:val="10"/>
                    <w:ind w:firstLine="0"/>
                    <w:jc w:val="center"/>
                    <w:rPr>
                      <w:b/>
                      <w:bCs w:val="0"/>
                      <w:color w:val="auto"/>
                      <w:sz w:val="21"/>
                      <w:szCs w:val="21"/>
                      <w:highlight w:val="none"/>
                    </w:rPr>
                  </w:pPr>
                  <w:r>
                    <w:rPr>
                      <w:rFonts w:hint="eastAsia"/>
                      <w:b/>
                      <w:bCs w:val="0"/>
                      <w:color w:val="auto"/>
                      <w:sz w:val="21"/>
                      <w:szCs w:val="21"/>
                      <w:highlight w:val="none"/>
                    </w:rPr>
                    <w:t>X</w:t>
                  </w:r>
                </w:p>
              </w:tc>
              <w:tc>
                <w:tcPr>
                  <w:tcW w:w="1164" w:type="dxa"/>
                  <w:tcBorders>
                    <w:tl2br w:val="nil"/>
                    <w:tr2bl w:val="nil"/>
                  </w:tcBorders>
                  <w:vAlign w:val="center"/>
                </w:tcPr>
                <w:p w14:paraId="44EA83F1">
                  <w:pPr>
                    <w:pStyle w:val="10"/>
                    <w:ind w:firstLine="0"/>
                    <w:jc w:val="center"/>
                    <w:rPr>
                      <w:b/>
                      <w:bCs w:val="0"/>
                      <w:color w:val="auto"/>
                      <w:sz w:val="21"/>
                      <w:szCs w:val="21"/>
                      <w:highlight w:val="none"/>
                    </w:rPr>
                  </w:pPr>
                  <w:r>
                    <w:rPr>
                      <w:rFonts w:hint="eastAsia"/>
                      <w:b/>
                      <w:bCs w:val="0"/>
                      <w:color w:val="auto"/>
                      <w:sz w:val="21"/>
                      <w:szCs w:val="21"/>
                      <w:highlight w:val="none"/>
                    </w:rPr>
                    <w:t>Y</w:t>
                  </w:r>
                </w:p>
              </w:tc>
              <w:tc>
                <w:tcPr>
                  <w:tcW w:w="886" w:type="dxa"/>
                  <w:vMerge w:val="continue"/>
                  <w:tcBorders>
                    <w:tl2br w:val="nil"/>
                    <w:tr2bl w:val="nil"/>
                  </w:tcBorders>
                  <w:vAlign w:val="center"/>
                </w:tcPr>
                <w:p w14:paraId="7FE2F423">
                  <w:pPr>
                    <w:pStyle w:val="10"/>
                    <w:ind w:firstLine="0"/>
                    <w:jc w:val="center"/>
                    <w:rPr>
                      <w:color w:val="auto"/>
                      <w:highlight w:val="none"/>
                    </w:rPr>
                  </w:pPr>
                </w:p>
              </w:tc>
              <w:tc>
                <w:tcPr>
                  <w:tcW w:w="1514" w:type="dxa"/>
                  <w:vMerge w:val="continue"/>
                  <w:tcBorders>
                    <w:tl2br w:val="nil"/>
                    <w:tr2bl w:val="nil"/>
                  </w:tcBorders>
                  <w:vAlign w:val="center"/>
                </w:tcPr>
                <w:p w14:paraId="17F69758">
                  <w:pPr>
                    <w:pStyle w:val="10"/>
                    <w:ind w:firstLine="0"/>
                    <w:jc w:val="center"/>
                    <w:rPr>
                      <w:color w:val="auto"/>
                      <w:highlight w:val="none"/>
                    </w:rPr>
                  </w:pPr>
                </w:p>
              </w:tc>
              <w:tc>
                <w:tcPr>
                  <w:tcW w:w="1076" w:type="dxa"/>
                  <w:vMerge w:val="continue"/>
                  <w:tcBorders>
                    <w:tl2br w:val="nil"/>
                    <w:tr2bl w:val="nil"/>
                  </w:tcBorders>
                  <w:vAlign w:val="center"/>
                </w:tcPr>
                <w:p w14:paraId="7B59DA6C">
                  <w:pPr>
                    <w:pStyle w:val="10"/>
                    <w:ind w:firstLine="0"/>
                    <w:jc w:val="center"/>
                    <w:rPr>
                      <w:color w:val="auto"/>
                      <w:highlight w:val="none"/>
                    </w:rPr>
                  </w:pPr>
                </w:p>
              </w:tc>
              <w:tc>
                <w:tcPr>
                  <w:tcW w:w="1095" w:type="dxa"/>
                  <w:vMerge w:val="continue"/>
                  <w:tcBorders>
                    <w:tl2br w:val="nil"/>
                    <w:tr2bl w:val="nil"/>
                  </w:tcBorders>
                  <w:vAlign w:val="center"/>
                </w:tcPr>
                <w:p w14:paraId="2E4D777D">
                  <w:pPr>
                    <w:pStyle w:val="10"/>
                    <w:ind w:firstLine="0"/>
                    <w:jc w:val="center"/>
                    <w:rPr>
                      <w:color w:val="auto"/>
                      <w:highlight w:val="none"/>
                    </w:rPr>
                  </w:pPr>
                </w:p>
              </w:tc>
            </w:tr>
            <w:tr w14:paraId="48D73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tcBorders>
                    <w:tl2br w:val="nil"/>
                    <w:tr2bl w:val="nil"/>
                  </w:tcBorders>
                  <w:vAlign w:val="center"/>
                </w:tcPr>
                <w:p w14:paraId="6C5131AB">
                  <w:pPr>
                    <w:adjustRightInd w:val="0"/>
                    <w:snapToGrid w:val="0"/>
                    <w:jc w:val="center"/>
                    <w:rPr>
                      <w:color w:val="auto"/>
                      <w:highlight w:val="none"/>
                    </w:rPr>
                  </w:pPr>
                  <w:r>
                    <w:rPr>
                      <w:rFonts w:hint="eastAsia"/>
                      <w:color w:val="auto"/>
                      <w:highlight w:val="none"/>
                      <w:lang w:val="en-US" w:eastAsia="zh-CN"/>
                    </w:rPr>
                    <w:t>01</w:t>
                  </w:r>
                  <w:r>
                    <w:rPr>
                      <w:color w:val="auto"/>
                      <w:highlight w:val="none"/>
                    </w:rPr>
                    <w:t>项目地下风向</w:t>
                  </w:r>
                </w:p>
              </w:tc>
              <w:tc>
                <w:tcPr>
                  <w:tcW w:w="1237" w:type="dxa"/>
                  <w:tcBorders>
                    <w:tl2br w:val="nil"/>
                    <w:tr2bl w:val="nil"/>
                  </w:tcBorders>
                  <w:vAlign w:val="center"/>
                </w:tcPr>
                <w:p w14:paraId="226485F2">
                  <w:pPr>
                    <w:jc w:val="center"/>
                    <w:rPr>
                      <w:rFonts w:hint="default" w:eastAsia="宋体"/>
                      <w:color w:val="auto"/>
                      <w:highlight w:val="none"/>
                      <w:lang w:val="en-US" w:eastAsia="zh-CN"/>
                    </w:rPr>
                  </w:pPr>
                  <w:r>
                    <w:rPr>
                      <w:rFonts w:hint="eastAsia"/>
                      <w:color w:val="auto"/>
                      <w:highlight w:val="none"/>
                      <w:lang w:val="en-US" w:eastAsia="zh-CN"/>
                    </w:rPr>
                    <w:t>732223</w:t>
                  </w:r>
                </w:p>
              </w:tc>
              <w:tc>
                <w:tcPr>
                  <w:tcW w:w="1164" w:type="dxa"/>
                  <w:tcBorders>
                    <w:tl2br w:val="nil"/>
                    <w:tr2bl w:val="nil"/>
                  </w:tcBorders>
                  <w:vAlign w:val="center"/>
                </w:tcPr>
                <w:p w14:paraId="5D07B74E">
                  <w:pPr>
                    <w:jc w:val="center"/>
                    <w:rPr>
                      <w:rFonts w:hint="default" w:eastAsia="宋体"/>
                      <w:color w:val="auto"/>
                      <w:highlight w:val="none"/>
                      <w:lang w:val="en-US" w:eastAsia="zh-CN"/>
                    </w:rPr>
                  </w:pPr>
                  <w:r>
                    <w:rPr>
                      <w:rFonts w:hint="eastAsia"/>
                      <w:color w:val="auto"/>
                      <w:highlight w:val="none"/>
                      <w:lang w:val="en-US" w:eastAsia="zh-CN"/>
                    </w:rPr>
                    <w:t>3677889</w:t>
                  </w:r>
                </w:p>
              </w:tc>
              <w:tc>
                <w:tcPr>
                  <w:tcW w:w="886" w:type="dxa"/>
                  <w:tcBorders>
                    <w:tl2br w:val="nil"/>
                    <w:tr2bl w:val="nil"/>
                  </w:tcBorders>
                  <w:vAlign w:val="center"/>
                </w:tcPr>
                <w:p w14:paraId="1947B6E3">
                  <w:pPr>
                    <w:pStyle w:val="10"/>
                    <w:ind w:firstLine="0"/>
                    <w:jc w:val="center"/>
                    <w:rPr>
                      <w:bCs w:val="0"/>
                      <w:color w:val="auto"/>
                      <w:sz w:val="21"/>
                      <w:szCs w:val="24"/>
                      <w:highlight w:val="none"/>
                    </w:rPr>
                  </w:pPr>
                  <w:r>
                    <w:rPr>
                      <w:rFonts w:hint="eastAsia"/>
                      <w:bCs w:val="0"/>
                      <w:color w:val="auto"/>
                      <w:sz w:val="21"/>
                      <w:szCs w:val="24"/>
                      <w:highlight w:val="none"/>
                    </w:rPr>
                    <w:t>TSP</w:t>
                  </w:r>
                </w:p>
              </w:tc>
              <w:tc>
                <w:tcPr>
                  <w:tcW w:w="1514" w:type="dxa"/>
                  <w:tcBorders>
                    <w:tl2br w:val="nil"/>
                    <w:tr2bl w:val="nil"/>
                  </w:tcBorders>
                  <w:vAlign w:val="center"/>
                </w:tcPr>
                <w:p w14:paraId="0B6FC240">
                  <w:pPr>
                    <w:pStyle w:val="10"/>
                    <w:ind w:firstLine="0"/>
                    <w:jc w:val="center"/>
                    <w:rPr>
                      <w:rFonts w:hint="default" w:eastAsia="宋体"/>
                      <w:bCs w:val="0"/>
                      <w:color w:val="auto"/>
                      <w:sz w:val="21"/>
                      <w:szCs w:val="24"/>
                      <w:highlight w:val="none"/>
                      <w:lang w:val="en-US" w:eastAsia="zh-CN"/>
                    </w:rPr>
                  </w:pPr>
                  <w:r>
                    <w:rPr>
                      <w:rFonts w:hint="eastAsia"/>
                      <w:bCs w:val="0"/>
                      <w:color w:val="auto"/>
                      <w:sz w:val="21"/>
                      <w:szCs w:val="24"/>
                      <w:highlight w:val="none"/>
                      <w:lang w:val="en-US" w:eastAsia="zh-CN"/>
                    </w:rPr>
                    <w:t>2025.1.6-1.8</w:t>
                  </w:r>
                </w:p>
              </w:tc>
              <w:tc>
                <w:tcPr>
                  <w:tcW w:w="1076" w:type="dxa"/>
                  <w:tcBorders>
                    <w:tl2br w:val="nil"/>
                    <w:tr2bl w:val="nil"/>
                  </w:tcBorders>
                  <w:vAlign w:val="center"/>
                </w:tcPr>
                <w:p w14:paraId="33A52C6B">
                  <w:pPr>
                    <w:pStyle w:val="10"/>
                    <w:ind w:firstLine="0"/>
                    <w:jc w:val="center"/>
                    <w:rPr>
                      <w:bCs w:val="0"/>
                      <w:color w:val="auto"/>
                      <w:sz w:val="21"/>
                      <w:szCs w:val="24"/>
                      <w:highlight w:val="none"/>
                    </w:rPr>
                  </w:pPr>
                  <w:r>
                    <w:rPr>
                      <w:rFonts w:hint="eastAsia"/>
                      <w:bCs w:val="0"/>
                      <w:color w:val="auto"/>
                      <w:sz w:val="21"/>
                      <w:szCs w:val="21"/>
                      <w:highlight w:val="none"/>
                      <w:lang w:eastAsia="zh-CN"/>
                    </w:rPr>
                    <w:t>西</w:t>
                  </w:r>
                  <w:r>
                    <w:rPr>
                      <w:color w:val="auto"/>
                      <w:sz w:val="21"/>
                      <w:szCs w:val="21"/>
                      <w:highlight w:val="none"/>
                    </w:rPr>
                    <w:t>侧</w:t>
                  </w:r>
                </w:p>
              </w:tc>
              <w:tc>
                <w:tcPr>
                  <w:tcW w:w="1095" w:type="dxa"/>
                  <w:tcBorders>
                    <w:tl2br w:val="nil"/>
                    <w:tr2bl w:val="nil"/>
                  </w:tcBorders>
                  <w:vAlign w:val="center"/>
                </w:tcPr>
                <w:p w14:paraId="78EF618C">
                  <w:pPr>
                    <w:pStyle w:val="10"/>
                    <w:ind w:firstLine="0"/>
                    <w:jc w:val="center"/>
                    <w:rPr>
                      <w:rFonts w:hint="default" w:eastAsia="宋体"/>
                      <w:bCs w:val="0"/>
                      <w:color w:val="auto"/>
                      <w:sz w:val="21"/>
                      <w:szCs w:val="24"/>
                      <w:highlight w:val="none"/>
                      <w:lang w:val="en-US" w:eastAsia="zh-CN"/>
                    </w:rPr>
                  </w:pPr>
                  <w:r>
                    <w:rPr>
                      <w:rFonts w:hint="eastAsia"/>
                      <w:bCs w:val="0"/>
                      <w:color w:val="auto"/>
                      <w:sz w:val="21"/>
                      <w:szCs w:val="24"/>
                      <w:highlight w:val="none"/>
                      <w:lang w:val="en-US" w:eastAsia="zh-CN"/>
                    </w:rPr>
                    <w:t>100</w:t>
                  </w:r>
                </w:p>
              </w:tc>
            </w:tr>
          </w:tbl>
          <w:p w14:paraId="35283FE0">
            <w:pPr>
              <w:tabs>
                <w:tab w:val="left" w:leader="middleDot" w:pos="8399"/>
              </w:tabs>
              <w:jc w:val="center"/>
              <w:rPr>
                <w:b/>
                <w:bCs/>
                <w:color w:val="auto"/>
                <w:highlight w:val="none"/>
              </w:rPr>
            </w:pPr>
            <w:r>
              <w:rPr>
                <w:b/>
                <w:bCs/>
                <w:color w:val="auto"/>
                <w:highlight w:val="none"/>
              </w:rPr>
              <w:t>表</w:t>
            </w:r>
            <w:r>
              <w:rPr>
                <w:rFonts w:hint="eastAsia"/>
                <w:b/>
                <w:bCs/>
                <w:color w:val="auto"/>
                <w:highlight w:val="none"/>
              </w:rPr>
              <w:t>3-3</w:t>
            </w:r>
            <w:r>
              <w:rPr>
                <w:b/>
                <w:bCs/>
                <w:color w:val="auto"/>
                <w:highlight w:val="none"/>
              </w:rPr>
              <w:t xml:space="preserve">  </w:t>
            </w:r>
            <w:r>
              <w:rPr>
                <w:rFonts w:hint="eastAsia"/>
                <w:b/>
                <w:bCs/>
                <w:color w:val="auto"/>
                <w:highlight w:val="none"/>
                <w:lang w:eastAsia="zh-CN"/>
              </w:rPr>
              <w:t>特征</w:t>
            </w:r>
            <w:r>
              <w:rPr>
                <w:rFonts w:hint="eastAsia"/>
                <w:b/>
                <w:bCs/>
                <w:color w:val="auto"/>
                <w:highlight w:val="none"/>
              </w:rPr>
              <w:t>污染物</w:t>
            </w:r>
            <w:r>
              <w:rPr>
                <w:b/>
                <w:bCs/>
                <w:color w:val="auto"/>
                <w:highlight w:val="none"/>
              </w:rPr>
              <w:t>现状监测结果</w:t>
            </w:r>
          </w:p>
          <w:tbl>
            <w:tblPr>
              <w:tblStyle w:val="36"/>
              <w:tblW w:w="809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865"/>
              <w:gridCol w:w="670"/>
              <w:gridCol w:w="1293"/>
              <w:gridCol w:w="1474"/>
              <w:gridCol w:w="1217"/>
              <w:gridCol w:w="722"/>
              <w:gridCol w:w="756"/>
            </w:tblGrid>
            <w:tr w14:paraId="4DF586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6C5A26F4">
                  <w:pPr>
                    <w:pStyle w:val="10"/>
                    <w:ind w:firstLine="0"/>
                    <w:jc w:val="center"/>
                    <w:rPr>
                      <w:b/>
                      <w:color w:val="auto"/>
                      <w:sz w:val="21"/>
                      <w:szCs w:val="21"/>
                      <w:highlight w:val="none"/>
                    </w:rPr>
                  </w:pPr>
                  <w:r>
                    <w:rPr>
                      <w:b/>
                      <w:color w:val="auto"/>
                      <w:sz w:val="21"/>
                      <w:szCs w:val="21"/>
                      <w:highlight w:val="none"/>
                    </w:rPr>
                    <w:t>监测点</w:t>
                  </w:r>
                </w:p>
              </w:tc>
              <w:tc>
                <w:tcPr>
                  <w:tcW w:w="865" w:type="dxa"/>
                  <w:tcBorders>
                    <w:tl2br w:val="nil"/>
                    <w:tr2bl w:val="nil"/>
                  </w:tcBorders>
                  <w:vAlign w:val="center"/>
                </w:tcPr>
                <w:p w14:paraId="624566B8">
                  <w:pPr>
                    <w:pStyle w:val="10"/>
                    <w:ind w:firstLine="0"/>
                    <w:jc w:val="center"/>
                    <w:rPr>
                      <w:b/>
                      <w:color w:val="auto"/>
                      <w:sz w:val="21"/>
                      <w:szCs w:val="21"/>
                      <w:highlight w:val="none"/>
                    </w:rPr>
                  </w:pPr>
                  <w:r>
                    <w:rPr>
                      <w:b/>
                      <w:color w:val="auto"/>
                      <w:sz w:val="21"/>
                      <w:szCs w:val="21"/>
                      <w:highlight w:val="none"/>
                    </w:rPr>
                    <w:t>污染物</w:t>
                  </w:r>
                </w:p>
              </w:tc>
              <w:tc>
                <w:tcPr>
                  <w:tcW w:w="670" w:type="dxa"/>
                  <w:tcBorders>
                    <w:tl2br w:val="nil"/>
                    <w:tr2bl w:val="nil"/>
                  </w:tcBorders>
                  <w:vAlign w:val="center"/>
                </w:tcPr>
                <w:p w14:paraId="64D18502">
                  <w:pPr>
                    <w:pStyle w:val="10"/>
                    <w:ind w:firstLine="0"/>
                    <w:jc w:val="center"/>
                    <w:rPr>
                      <w:b/>
                      <w:color w:val="auto"/>
                      <w:sz w:val="21"/>
                      <w:szCs w:val="21"/>
                      <w:highlight w:val="none"/>
                    </w:rPr>
                  </w:pPr>
                  <w:r>
                    <w:rPr>
                      <w:b/>
                      <w:color w:val="auto"/>
                      <w:sz w:val="21"/>
                      <w:szCs w:val="21"/>
                      <w:highlight w:val="none"/>
                    </w:rPr>
                    <w:t>平均时间</w:t>
                  </w:r>
                </w:p>
              </w:tc>
              <w:tc>
                <w:tcPr>
                  <w:tcW w:w="1293" w:type="dxa"/>
                  <w:tcBorders>
                    <w:tl2br w:val="nil"/>
                    <w:tr2bl w:val="nil"/>
                  </w:tcBorders>
                  <w:vAlign w:val="center"/>
                </w:tcPr>
                <w:p w14:paraId="002DDCDA">
                  <w:pPr>
                    <w:pStyle w:val="10"/>
                    <w:ind w:firstLine="0"/>
                    <w:jc w:val="center"/>
                    <w:rPr>
                      <w:b/>
                      <w:color w:val="auto"/>
                      <w:sz w:val="21"/>
                      <w:szCs w:val="21"/>
                      <w:highlight w:val="none"/>
                    </w:rPr>
                  </w:pPr>
                  <w:r>
                    <w:rPr>
                      <w:b/>
                      <w:color w:val="auto"/>
                      <w:sz w:val="21"/>
                      <w:szCs w:val="21"/>
                      <w:highlight w:val="none"/>
                    </w:rPr>
                    <w:t>评价标准（mg/m</w:t>
                  </w:r>
                  <w:r>
                    <w:rPr>
                      <w:b/>
                      <w:color w:val="auto"/>
                      <w:sz w:val="21"/>
                      <w:szCs w:val="21"/>
                      <w:highlight w:val="none"/>
                      <w:vertAlign w:val="superscript"/>
                    </w:rPr>
                    <w:t>3</w:t>
                  </w:r>
                  <w:r>
                    <w:rPr>
                      <w:b/>
                      <w:color w:val="auto"/>
                      <w:sz w:val="21"/>
                      <w:szCs w:val="21"/>
                      <w:highlight w:val="none"/>
                    </w:rPr>
                    <w:t>）</w:t>
                  </w:r>
                </w:p>
              </w:tc>
              <w:tc>
                <w:tcPr>
                  <w:tcW w:w="1474" w:type="dxa"/>
                  <w:tcBorders>
                    <w:tl2br w:val="nil"/>
                    <w:tr2bl w:val="nil"/>
                  </w:tcBorders>
                  <w:vAlign w:val="center"/>
                </w:tcPr>
                <w:p w14:paraId="7544FA7B">
                  <w:pPr>
                    <w:pStyle w:val="10"/>
                    <w:ind w:firstLine="0"/>
                    <w:jc w:val="center"/>
                    <w:rPr>
                      <w:b/>
                      <w:color w:val="auto"/>
                      <w:sz w:val="21"/>
                      <w:szCs w:val="21"/>
                      <w:highlight w:val="none"/>
                    </w:rPr>
                  </w:pPr>
                  <w:r>
                    <w:rPr>
                      <w:b/>
                      <w:color w:val="auto"/>
                      <w:sz w:val="21"/>
                      <w:szCs w:val="21"/>
                      <w:highlight w:val="none"/>
                    </w:rPr>
                    <w:t>监测浓度范围（mg/m</w:t>
                  </w:r>
                  <w:r>
                    <w:rPr>
                      <w:b/>
                      <w:color w:val="auto"/>
                      <w:sz w:val="21"/>
                      <w:szCs w:val="21"/>
                      <w:highlight w:val="none"/>
                      <w:vertAlign w:val="superscript"/>
                    </w:rPr>
                    <w:t>3</w:t>
                  </w:r>
                  <w:r>
                    <w:rPr>
                      <w:b/>
                      <w:color w:val="auto"/>
                      <w:sz w:val="21"/>
                      <w:szCs w:val="21"/>
                      <w:highlight w:val="none"/>
                    </w:rPr>
                    <w:t>）</w:t>
                  </w:r>
                </w:p>
              </w:tc>
              <w:tc>
                <w:tcPr>
                  <w:tcW w:w="1217" w:type="dxa"/>
                  <w:tcBorders>
                    <w:tl2br w:val="nil"/>
                    <w:tr2bl w:val="nil"/>
                  </w:tcBorders>
                  <w:vAlign w:val="center"/>
                </w:tcPr>
                <w:p w14:paraId="0F486108">
                  <w:pPr>
                    <w:pStyle w:val="10"/>
                    <w:ind w:firstLine="0"/>
                    <w:jc w:val="center"/>
                    <w:rPr>
                      <w:b/>
                      <w:color w:val="auto"/>
                      <w:sz w:val="21"/>
                      <w:szCs w:val="21"/>
                      <w:highlight w:val="none"/>
                    </w:rPr>
                  </w:pPr>
                  <w:r>
                    <w:rPr>
                      <w:b/>
                      <w:color w:val="auto"/>
                      <w:sz w:val="21"/>
                      <w:szCs w:val="21"/>
                      <w:highlight w:val="none"/>
                    </w:rPr>
                    <w:t>最大浓度占标率/%</w:t>
                  </w:r>
                </w:p>
              </w:tc>
              <w:tc>
                <w:tcPr>
                  <w:tcW w:w="722" w:type="dxa"/>
                  <w:tcBorders>
                    <w:tl2br w:val="nil"/>
                    <w:tr2bl w:val="nil"/>
                  </w:tcBorders>
                  <w:vAlign w:val="center"/>
                </w:tcPr>
                <w:p w14:paraId="1BAB3B26">
                  <w:pPr>
                    <w:pStyle w:val="10"/>
                    <w:ind w:firstLine="0"/>
                    <w:jc w:val="center"/>
                    <w:rPr>
                      <w:b/>
                      <w:color w:val="auto"/>
                      <w:sz w:val="21"/>
                      <w:szCs w:val="21"/>
                      <w:highlight w:val="none"/>
                    </w:rPr>
                  </w:pPr>
                  <w:r>
                    <w:rPr>
                      <w:b/>
                      <w:color w:val="auto"/>
                      <w:sz w:val="21"/>
                      <w:szCs w:val="21"/>
                      <w:highlight w:val="none"/>
                    </w:rPr>
                    <w:t>超标率/%</w:t>
                  </w:r>
                </w:p>
              </w:tc>
              <w:tc>
                <w:tcPr>
                  <w:tcW w:w="756" w:type="dxa"/>
                  <w:tcBorders>
                    <w:tl2br w:val="nil"/>
                    <w:tr2bl w:val="nil"/>
                  </w:tcBorders>
                  <w:vAlign w:val="center"/>
                </w:tcPr>
                <w:p w14:paraId="7345BFC5">
                  <w:pPr>
                    <w:pStyle w:val="10"/>
                    <w:ind w:firstLine="0"/>
                    <w:jc w:val="center"/>
                    <w:rPr>
                      <w:b/>
                      <w:color w:val="auto"/>
                      <w:sz w:val="21"/>
                      <w:szCs w:val="21"/>
                      <w:highlight w:val="none"/>
                    </w:rPr>
                  </w:pPr>
                  <w:r>
                    <w:rPr>
                      <w:b/>
                      <w:color w:val="auto"/>
                      <w:sz w:val="21"/>
                      <w:szCs w:val="21"/>
                      <w:highlight w:val="none"/>
                    </w:rPr>
                    <w:t>达标情况</w:t>
                  </w:r>
                </w:p>
              </w:tc>
            </w:tr>
            <w:tr w14:paraId="45027B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2F1A0B9A">
                  <w:pPr>
                    <w:adjustRightInd w:val="0"/>
                    <w:snapToGrid w:val="0"/>
                    <w:jc w:val="center"/>
                    <w:rPr>
                      <w:color w:val="auto"/>
                      <w:highlight w:val="none"/>
                    </w:rPr>
                  </w:pPr>
                  <w:r>
                    <w:rPr>
                      <w:rFonts w:hint="eastAsia"/>
                      <w:color w:val="auto"/>
                      <w:highlight w:val="none"/>
                      <w:lang w:val="en-US" w:eastAsia="zh-CN"/>
                    </w:rPr>
                    <w:t>01</w:t>
                  </w:r>
                  <w:r>
                    <w:rPr>
                      <w:color w:val="auto"/>
                      <w:highlight w:val="none"/>
                    </w:rPr>
                    <w:t>项目地下风向</w:t>
                  </w:r>
                </w:p>
              </w:tc>
              <w:tc>
                <w:tcPr>
                  <w:tcW w:w="865" w:type="dxa"/>
                  <w:tcBorders>
                    <w:tl2br w:val="nil"/>
                    <w:tr2bl w:val="nil"/>
                  </w:tcBorders>
                  <w:vAlign w:val="center"/>
                </w:tcPr>
                <w:p w14:paraId="60B129CC">
                  <w:pPr>
                    <w:pStyle w:val="124"/>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TSP</w:t>
                  </w:r>
                </w:p>
              </w:tc>
              <w:tc>
                <w:tcPr>
                  <w:tcW w:w="670" w:type="dxa"/>
                  <w:tcBorders>
                    <w:tl2br w:val="nil"/>
                    <w:tr2bl w:val="nil"/>
                  </w:tcBorders>
                  <w:vAlign w:val="center"/>
                </w:tcPr>
                <w:p w14:paraId="3E66DE71">
                  <w:pPr>
                    <w:jc w:val="center"/>
                    <w:rPr>
                      <w:color w:val="auto"/>
                      <w:highlight w:val="none"/>
                    </w:rPr>
                  </w:pPr>
                  <w:r>
                    <w:rPr>
                      <w:color w:val="auto"/>
                      <w:highlight w:val="none"/>
                    </w:rPr>
                    <w:t>24h</w:t>
                  </w:r>
                </w:p>
              </w:tc>
              <w:tc>
                <w:tcPr>
                  <w:tcW w:w="1293" w:type="dxa"/>
                  <w:tcBorders>
                    <w:tl2br w:val="nil"/>
                    <w:tr2bl w:val="nil"/>
                  </w:tcBorders>
                  <w:vAlign w:val="center"/>
                </w:tcPr>
                <w:p w14:paraId="5886104E">
                  <w:pPr>
                    <w:pStyle w:val="10"/>
                    <w:ind w:firstLine="0"/>
                    <w:jc w:val="center"/>
                    <w:rPr>
                      <w:color w:val="auto"/>
                      <w:sz w:val="21"/>
                      <w:szCs w:val="24"/>
                      <w:highlight w:val="none"/>
                    </w:rPr>
                  </w:pPr>
                  <w:r>
                    <w:rPr>
                      <w:color w:val="auto"/>
                      <w:sz w:val="21"/>
                      <w:szCs w:val="24"/>
                      <w:highlight w:val="none"/>
                    </w:rPr>
                    <w:t>0.3</w:t>
                  </w:r>
                </w:p>
              </w:tc>
              <w:tc>
                <w:tcPr>
                  <w:tcW w:w="1474" w:type="dxa"/>
                  <w:tcBorders>
                    <w:tl2br w:val="nil"/>
                    <w:tr2bl w:val="nil"/>
                  </w:tcBorders>
                  <w:vAlign w:val="center"/>
                </w:tcPr>
                <w:p w14:paraId="219DD3B2">
                  <w:pPr>
                    <w:pStyle w:val="10"/>
                    <w:ind w:firstLine="0"/>
                    <w:jc w:val="center"/>
                    <w:rPr>
                      <w:rFonts w:hint="default" w:eastAsia="宋体"/>
                      <w:color w:val="auto"/>
                      <w:sz w:val="21"/>
                      <w:szCs w:val="24"/>
                      <w:highlight w:val="none"/>
                      <w:lang w:val="en-US" w:eastAsia="zh-CN"/>
                    </w:rPr>
                  </w:pPr>
                  <w:r>
                    <w:rPr>
                      <w:color w:val="auto"/>
                      <w:sz w:val="21"/>
                      <w:szCs w:val="24"/>
                      <w:highlight w:val="none"/>
                    </w:rPr>
                    <w:t>0.1</w:t>
                  </w:r>
                  <w:r>
                    <w:rPr>
                      <w:rFonts w:hint="eastAsia"/>
                      <w:color w:val="auto"/>
                      <w:sz w:val="21"/>
                      <w:szCs w:val="24"/>
                      <w:highlight w:val="none"/>
                      <w:lang w:val="en-US" w:eastAsia="zh-CN"/>
                    </w:rPr>
                    <w:t>03</w:t>
                  </w:r>
                  <w:r>
                    <w:rPr>
                      <w:rFonts w:hint="eastAsia"/>
                      <w:color w:val="auto"/>
                      <w:sz w:val="21"/>
                      <w:szCs w:val="24"/>
                      <w:highlight w:val="none"/>
                    </w:rPr>
                    <w:t>~0.</w:t>
                  </w:r>
                  <w:r>
                    <w:rPr>
                      <w:rFonts w:hint="eastAsia"/>
                      <w:color w:val="auto"/>
                      <w:sz w:val="21"/>
                      <w:szCs w:val="24"/>
                      <w:highlight w:val="none"/>
                      <w:lang w:val="en-US" w:eastAsia="zh-CN"/>
                    </w:rPr>
                    <w:t>108</w:t>
                  </w:r>
                </w:p>
              </w:tc>
              <w:tc>
                <w:tcPr>
                  <w:tcW w:w="1217" w:type="dxa"/>
                  <w:tcBorders>
                    <w:tl2br w:val="nil"/>
                    <w:tr2bl w:val="nil"/>
                  </w:tcBorders>
                  <w:vAlign w:val="center"/>
                </w:tcPr>
                <w:p w14:paraId="7244BD50">
                  <w:pPr>
                    <w:pStyle w:val="10"/>
                    <w:ind w:firstLine="0"/>
                    <w:jc w:val="center"/>
                    <w:rPr>
                      <w:rFonts w:hint="default" w:eastAsia="宋体"/>
                      <w:color w:val="auto"/>
                      <w:sz w:val="21"/>
                      <w:szCs w:val="24"/>
                      <w:highlight w:val="none"/>
                      <w:lang w:val="en-US" w:eastAsia="zh-CN"/>
                    </w:rPr>
                  </w:pPr>
                  <w:r>
                    <w:rPr>
                      <w:rFonts w:hint="eastAsia"/>
                      <w:color w:val="auto"/>
                      <w:sz w:val="21"/>
                      <w:szCs w:val="24"/>
                      <w:highlight w:val="none"/>
                      <w:lang w:val="en-US" w:eastAsia="zh-CN"/>
                    </w:rPr>
                    <w:t>36</w:t>
                  </w:r>
                </w:p>
              </w:tc>
              <w:tc>
                <w:tcPr>
                  <w:tcW w:w="722" w:type="dxa"/>
                  <w:tcBorders>
                    <w:tl2br w:val="nil"/>
                    <w:tr2bl w:val="nil"/>
                  </w:tcBorders>
                  <w:vAlign w:val="center"/>
                </w:tcPr>
                <w:p w14:paraId="7CD8436A">
                  <w:pPr>
                    <w:pStyle w:val="10"/>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72131066">
                  <w:pPr>
                    <w:pStyle w:val="10"/>
                    <w:ind w:firstLine="0"/>
                    <w:jc w:val="center"/>
                    <w:rPr>
                      <w:color w:val="auto"/>
                      <w:sz w:val="21"/>
                      <w:szCs w:val="24"/>
                      <w:highlight w:val="none"/>
                    </w:rPr>
                  </w:pPr>
                  <w:r>
                    <w:rPr>
                      <w:rFonts w:hint="eastAsia"/>
                      <w:color w:val="auto"/>
                      <w:sz w:val="21"/>
                      <w:szCs w:val="24"/>
                      <w:highlight w:val="none"/>
                    </w:rPr>
                    <w:t>达标</w:t>
                  </w:r>
                </w:p>
              </w:tc>
            </w:tr>
          </w:tbl>
          <w:p w14:paraId="2A6CE0F4">
            <w:pPr>
              <w:pStyle w:val="46"/>
              <w:rPr>
                <w:rFonts w:ascii="Times New Roman" w:hAnsi="Times New Roman"/>
                <w:color w:val="auto"/>
                <w:highlight w:val="none"/>
              </w:rPr>
            </w:pPr>
            <w:r>
              <w:rPr>
                <w:rFonts w:ascii="Times New Roman" w:hAnsi="Times New Roman"/>
                <w:color w:val="auto"/>
                <w:highlight w:val="none"/>
              </w:rPr>
              <w:t>根据监测结果可知，项目区域TSP浓度满足《环境空气质量标准》</w:t>
            </w:r>
            <w:r>
              <w:rPr>
                <w:rFonts w:hint="eastAsia" w:ascii="Times New Roman" w:hAnsi="Times New Roman"/>
                <w:color w:val="auto"/>
                <w:highlight w:val="none"/>
              </w:rPr>
              <w:t>（</w:t>
            </w:r>
            <w:r>
              <w:rPr>
                <w:rFonts w:ascii="Times New Roman" w:hAnsi="Times New Roman"/>
                <w:color w:val="auto"/>
                <w:highlight w:val="none"/>
              </w:rPr>
              <w:t>GB3095­2012</w:t>
            </w:r>
            <w:r>
              <w:rPr>
                <w:rFonts w:hint="eastAsia" w:ascii="Times New Roman" w:hAnsi="Times New Roman"/>
                <w:color w:val="auto"/>
                <w:highlight w:val="none"/>
              </w:rPr>
              <w:t>）</w:t>
            </w:r>
            <w:r>
              <w:rPr>
                <w:rFonts w:ascii="Times New Roman" w:hAnsi="Times New Roman"/>
                <w:color w:val="auto"/>
                <w:highlight w:val="none"/>
              </w:rPr>
              <w:t>的二级标准限值要求。</w:t>
            </w:r>
          </w:p>
          <w:p w14:paraId="4DDB063A">
            <w:pPr>
              <w:spacing w:line="360" w:lineRule="auto"/>
              <w:ind w:firstLine="482" w:firstLineChars="200"/>
              <w:rPr>
                <w:b/>
                <w:bCs/>
                <w:color w:val="auto"/>
                <w:sz w:val="24"/>
                <w:highlight w:val="none"/>
              </w:rPr>
            </w:pPr>
            <w:r>
              <w:rPr>
                <w:rFonts w:hint="eastAsia"/>
                <w:b/>
                <w:bCs/>
                <w:color w:val="auto"/>
                <w:sz w:val="24"/>
                <w:highlight w:val="none"/>
              </w:rPr>
              <w:t>（二）地表水环境质量现状</w:t>
            </w:r>
          </w:p>
          <w:p w14:paraId="36846961">
            <w:pPr>
              <w:spacing w:line="360" w:lineRule="auto"/>
              <w:ind w:firstLine="480" w:firstLineChars="200"/>
              <w:rPr>
                <w:color w:val="auto"/>
                <w:sz w:val="24"/>
                <w:highlight w:val="none"/>
              </w:rPr>
            </w:pPr>
            <w:r>
              <w:rPr>
                <w:rFonts w:hint="eastAsia"/>
                <w:color w:val="auto"/>
                <w:kern w:val="0"/>
                <w:sz w:val="24"/>
                <w:highlight w:val="none"/>
                <w:lang w:eastAsia="zh-CN"/>
              </w:rPr>
              <w:t>本项目最近地表水体为汉江</w:t>
            </w:r>
            <w:r>
              <w:rPr>
                <w:rFonts w:hint="eastAsia"/>
                <w:color w:val="auto"/>
                <w:kern w:val="0"/>
                <w:sz w:val="24"/>
                <w:highlight w:val="none"/>
              </w:rPr>
              <w:t>，</w:t>
            </w:r>
            <w:r>
              <w:rPr>
                <w:color w:val="auto"/>
                <w:sz w:val="24"/>
                <w:highlight w:val="none"/>
              </w:rPr>
              <w:t>根据</w:t>
            </w:r>
            <w:r>
              <w:rPr>
                <w:rFonts w:hint="eastAsia"/>
                <w:color w:val="auto"/>
                <w:sz w:val="24"/>
                <w:highlight w:val="none"/>
              </w:rPr>
              <w:t>汉中市生态环境局</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rPr>
              <w:t>第</w:t>
            </w:r>
            <w:r>
              <w:rPr>
                <w:rFonts w:hint="eastAsia"/>
                <w:color w:val="auto"/>
                <w:sz w:val="24"/>
                <w:highlight w:val="none"/>
                <w:lang w:val="en-US" w:eastAsia="zh-CN"/>
              </w:rPr>
              <w:t>11</w:t>
            </w:r>
            <w:r>
              <w:rPr>
                <w:rFonts w:hint="eastAsia"/>
                <w:color w:val="auto"/>
                <w:sz w:val="24"/>
                <w:highlight w:val="none"/>
              </w:rPr>
              <w:t>期</w:t>
            </w:r>
            <w:r>
              <w:rPr>
                <w:color w:val="auto"/>
                <w:sz w:val="24"/>
                <w:highlight w:val="none"/>
              </w:rPr>
              <w:t>环境质量通报可知，</w:t>
            </w:r>
            <w:r>
              <w:rPr>
                <w:rFonts w:hint="eastAsia"/>
                <w:color w:val="auto"/>
                <w:sz w:val="24"/>
                <w:highlight w:val="none"/>
                <w:lang w:eastAsia="zh-CN"/>
              </w:rPr>
              <w:t>旧汉江大桥和</w:t>
            </w:r>
            <w:r>
              <w:rPr>
                <w:rFonts w:hint="eastAsia"/>
                <w:color w:val="auto"/>
                <w:sz w:val="24"/>
                <w:highlight w:val="none"/>
              </w:rPr>
              <w:t>蒙家渡监测</w:t>
            </w:r>
            <w:r>
              <w:rPr>
                <w:color w:val="auto"/>
                <w:sz w:val="24"/>
                <w:highlight w:val="none"/>
              </w:rPr>
              <w:t>断面处</w:t>
            </w:r>
            <w:r>
              <w:rPr>
                <w:rFonts w:hint="eastAsia"/>
                <w:color w:val="auto"/>
                <w:sz w:val="24"/>
                <w:highlight w:val="none"/>
              </w:rPr>
              <w:t>水质类别</w:t>
            </w:r>
            <w:r>
              <w:rPr>
                <w:rFonts w:hint="eastAsia"/>
                <w:color w:val="auto"/>
                <w:sz w:val="24"/>
                <w:highlight w:val="none"/>
                <w:lang w:eastAsia="zh-CN"/>
              </w:rPr>
              <w:t>均</w:t>
            </w:r>
            <w:r>
              <w:rPr>
                <w:rFonts w:hint="eastAsia"/>
                <w:color w:val="auto"/>
                <w:sz w:val="24"/>
                <w:highlight w:val="none"/>
              </w:rPr>
              <w:t>为</w:t>
            </w:r>
            <w:r>
              <w:rPr>
                <w:rFonts w:hint="eastAsia" w:ascii="宋体" w:hAnsi="宋体" w:eastAsia="宋体" w:cs="宋体"/>
                <w:color w:val="auto"/>
                <w:sz w:val="24"/>
                <w:highlight w:val="none"/>
              </w:rPr>
              <w:t>Ⅱ</w:t>
            </w:r>
            <w:r>
              <w:rPr>
                <w:rFonts w:hint="eastAsia"/>
                <w:color w:val="auto"/>
                <w:sz w:val="24"/>
                <w:highlight w:val="none"/>
              </w:rPr>
              <w:t>类</w:t>
            </w:r>
            <w:r>
              <w:rPr>
                <w:color w:val="auto"/>
                <w:sz w:val="24"/>
                <w:highlight w:val="none"/>
              </w:rPr>
              <w:t>，</w:t>
            </w:r>
            <w:r>
              <w:rPr>
                <w:rFonts w:hint="eastAsia"/>
                <w:color w:val="auto"/>
                <w:sz w:val="24"/>
                <w:highlight w:val="none"/>
              </w:rPr>
              <w:t>本项目</w:t>
            </w:r>
            <w:r>
              <w:rPr>
                <w:color w:val="auto"/>
                <w:sz w:val="24"/>
                <w:highlight w:val="none"/>
              </w:rPr>
              <w:t>位于</w:t>
            </w:r>
            <w:r>
              <w:rPr>
                <w:rFonts w:hint="eastAsia"/>
                <w:color w:val="auto"/>
                <w:sz w:val="24"/>
                <w:highlight w:val="none"/>
                <w:lang w:eastAsia="zh-CN"/>
              </w:rPr>
              <w:t>两个</w:t>
            </w:r>
            <w:r>
              <w:rPr>
                <w:color w:val="auto"/>
                <w:sz w:val="24"/>
                <w:highlight w:val="none"/>
              </w:rPr>
              <w:t>监测断面</w:t>
            </w:r>
            <w:r>
              <w:rPr>
                <w:rFonts w:hint="eastAsia"/>
                <w:color w:val="auto"/>
                <w:sz w:val="24"/>
                <w:highlight w:val="none"/>
                <w:lang w:eastAsia="zh-CN"/>
              </w:rPr>
              <w:t>之间。</w:t>
            </w:r>
            <w:r>
              <w:rPr>
                <w:color w:val="auto"/>
                <w:sz w:val="24"/>
                <w:highlight w:val="none"/>
              </w:rPr>
              <w:t>通过类比分析，</w:t>
            </w:r>
            <w:r>
              <w:rPr>
                <w:rFonts w:hint="eastAsia"/>
                <w:color w:val="auto"/>
                <w:sz w:val="24"/>
                <w:highlight w:val="none"/>
              </w:rPr>
              <w:t>项目所在区域</w:t>
            </w:r>
            <w:r>
              <w:rPr>
                <w:color w:val="auto"/>
                <w:sz w:val="24"/>
                <w:highlight w:val="none"/>
              </w:rPr>
              <w:t>水质满足《地表水环境质量标准》（GB3838-2002）Ⅱ类水质要求。</w:t>
            </w:r>
          </w:p>
          <w:p w14:paraId="63CAECBB">
            <w:pPr>
              <w:spacing w:line="360" w:lineRule="auto"/>
              <w:ind w:firstLine="482" w:firstLineChars="200"/>
              <w:rPr>
                <w:b/>
                <w:bCs/>
                <w:color w:val="auto"/>
                <w:sz w:val="24"/>
                <w:highlight w:val="none"/>
              </w:rPr>
            </w:pPr>
            <w:r>
              <w:rPr>
                <w:rFonts w:hint="eastAsia"/>
                <w:b/>
                <w:bCs/>
                <w:color w:val="auto"/>
                <w:sz w:val="24"/>
                <w:highlight w:val="none"/>
              </w:rPr>
              <w:t>（三）声环境质量现状</w:t>
            </w:r>
          </w:p>
          <w:p w14:paraId="6B984315">
            <w:pPr>
              <w:pStyle w:val="45"/>
              <w:spacing w:line="360" w:lineRule="auto"/>
              <w:ind w:firstLine="480" w:firstLineChars="200"/>
              <w:rPr>
                <w:rFonts w:hint="eastAsia"/>
                <w:color w:val="auto"/>
                <w:highlight w:val="none"/>
              </w:rPr>
            </w:pPr>
            <w:r>
              <w:rPr>
                <w:rFonts w:hint="eastAsia"/>
                <w:color w:val="auto"/>
                <w:highlight w:val="none"/>
              </w:rPr>
              <w:t>本项目</w:t>
            </w:r>
            <w:r>
              <w:rPr>
                <w:rFonts w:hint="eastAsia" w:ascii="Times New Roman" w:cs="Times New Roman"/>
                <w:color w:val="auto"/>
                <w:kern w:val="2"/>
                <w:highlight w:val="none"/>
              </w:rPr>
              <w:t>50m</w:t>
            </w:r>
            <w:r>
              <w:rPr>
                <w:rFonts w:hint="eastAsia"/>
                <w:color w:val="auto"/>
                <w:highlight w:val="none"/>
              </w:rPr>
              <w:t>范围内无声环境保护目标，故本次不进行声环境质量现状监测。</w:t>
            </w:r>
          </w:p>
          <w:p w14:paraId="58977FFB">
            <w:pPr>
              <w:spacing w:line="360" w:lineRule="auto"/>
              <w:ind w:firstLine="482" w:firstLineChars="200"/>
              <w:rPr>
                <w:b/>
                <w:bCs/>
                <w:color w:val="auto"/>
                <w:sz w:val="24"/>
                <w:highlight w:val="none"/>
              </w:rPr>
            </w:pPr>
            <w:r>
              <w:rPr>
                <w:rFonts w:hint="eastAsia"/>
                <w:b/>
                <w:bCs/>
                <w:color w:val="auto"/>
                <w:sz w:val="24"/>
                <w:highlight w:val="none"/>
              </w:rPr>
              <w:t>（四）生态环境质量现状</w:t>
            </w:r>
          </w:p>
          <w:p w14:paraId="23974AB1">
            <w:pPr>
              <w:autoSpaceDE w:val="0"/>
              <w:autoSpaceDN w:val="0"/>
              <w:adjustRightInd w:val="0"/>
              <w:snapToGrid w:val="0"/>
              <w:spacing w:line="360" w:lineRule="auto"/>
              <w:ind w:firstLine="480" w:firstLineChars="200"/>
              <w:jc w:val="left"/>
              <w:rPr>
                <w:color w:val="auto"/>
                <w:highlight w:val="none"/>
              </w:rPr>
            </w:pPr>
            <w:r>
              <w:rPr>
                <w:rFonts w:hint="eastAsia"/>
                <w:color w:val="auto"/>
                <w:sz w:val="24"/>
                <w:highlight w:val="none"/>
              </w:rPr>
              <w:t>本项目位于产业园区</w:t>
            </w:r>
            <w:r>
              <w:rPr>
                <w:rFonts w:hint="eastAsia"/>
                <w:color w:val="auto"/>
                <w:sz w:val="24"/>
                <w:highlight w:val="none"/>
                <w:lang w:eastAsia="zh-CN"/>
              </w:rPr>
              <w:t>内</w:t>
            </w:r>
            <w:r>
              <w:rPr>
                <w:rFonts w:hint="eastAsia"/>
                <w:color w:val="auto"/>
                <w:sz w:val="24"/>
                <w:highlight w:val="none"/>
              </w:rPr>
              <w:t>，</w:t>
            </w:r>
            <w:r>
              <w:rPr>
                <w:rFonts w:hint="eastAsia"/>
                <w:color w:val="auto"/>
                <w:sz w:val="24"/>
                <w:highlight w:val="none"/>
                <w:lang w:eastAsia="zh-CN"/>
              </w:rPr>
              <w:t>利用现有厂区生产车间闲置区域进行建设，无新增占地。现有厂区用地为工业用地，</w:t>
            </w:r>
            <w:r>
              <w:rPr>
                <w:rFonts w:hint="eastAsia"/>
                <w:color w:val="auto"/>
                <w:sz w:val="24"/>
                <w:highlight w:val="none"/>
              </w:rPr>
              <w:t>用地范围内无生态环境保护目标。</w:t>
            </w:r>
          </w:p>
        </w:tc>
      </w:tr>
      <w:tr w14:paraId="6EE26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1" w:hRule="atLeast"/>
          <w:jc w:val="center"/>
        </w:trPr>
        <w:tc>
          <w:tcPr>
            <w:tcW w:w="678" w:type="dxa"/>
            <w:vAlign w:val="center"/>
          </w:tcPr>
          <w:p w14:paraId="04B2A3FC">
            <w:pPr>
              <w:adjustRightInd w:val="0"/>
              <w:snapToGrid w:val="0"/>
              <w:jc w:val="center"/>
              <w:rPr>
                <w:rFonts w:hint="eastAsia" w:ascii="宋体" w:hAnsi="宋体" w:cs="宋体"/>
                <w:color w:val="auto"/>
                <w:kern w:val="0"/>
                <w:sz w:val="24"/>
                <w:highlight w:val="none"/>
              </w:rPr>
            </w:pPr>
          </w:p>
          <w:p w14:paraId="002C7526">
            <w:pPr>
              <w:adjustRightInd w:val="0"/>
              <w:snapToGrid w:val="0"/>
              <w:jc w:val="center"/>
              <w:rPr>
                <w:rFonts w:hint="eastAsia" w:ascii="宋体" w:hAnsi="宋体" w:cs="宋体"/>
                <w:color w:val="auto"/>
                <w:kern w:val="0"/>
                <w:sz w:val="24"/>
                <w:highlight w:val="none"/>
              </w:rPr>
            </w:pPr>
          </w:p>
          <w:p w14:paraId="2710735C">
            <w:pPr>
              <w:adjustRightInd w:val="0"/>
              <w:snapToGrid w:val="0"/>
              <w:jc w:val="center"/>
              <w:rPr>
                <w:rFonts w:hint="eastAsia" w:ascii="宋体" w:hAnsi="宋体" w:cs="宋体"/>
                <w:color w:val="auto"/>
                <w:kern w:val="0"/>
                <w:sz w:val="24"/>
                <w:highlight w:val="none"/>
              </w:rPr>
            </w:pPr>
          </w:p>
          <w:p w14:paraId="177AB565">
            <w:pPr>
              <w:adjustRightInd w:val="0"/>
              <w:snapToGrid w:val="0"/>
              <w:jc w:val="center"/>
              <w:rPr>
                <w:rFonts w:hint="eastAsia" w:ascii="宋体" w:hAnsi="宋体" w:cs="宋体"/>
                <w:color w:val="auto"/>
                <w:kern w:val="0"/>
                <w:sz w:val="24"/>
                <w:highlight w:val="none"/>
              </w:rPr>
            </w:pPr>
          </w:p>
          <w:p w14:paraId="1FDF0BC6">
            <w:pPr>
              <w:adjustRightInd w:val="0"/>
              <w:snapToGrid w:val="0"/>
              <w:jc w:val="center"/>
              <w:rPr>
                <w:rFonts w:hint="eastAsia" w:ascii="宋体" w:hAnsi="宋体" w:cs="宋体"/>
                <w:color w:val="auto"/>
                <w:kern w:val="0"/>
                <w:sz w:val="24"/>
                <w:highlight w:val="none"/>
              </w:rPr>
            </w:pPr>
          </w:p>
          <w:p w14:paraId="18D8B927">
            <w:pPr>
              <w:adjustRightInd w:val="0"/>
              <w:snapToGrid w:val="0"/>
              <w:jc w:val="center"/>
              <w:rPr>
                <w:rFonts w:hint="eastAsia" w:ascii="宋体" w:hAnsi="宋体" w:cs="宋体"/>
                <w:color w:val="auto"/>
                <w:kern w:val="0"/>
                <w:sz w:val="24"/>
                <w:highlight w:val="none"/>
              </w:rPr>
            </w:pPr>
          </w:p>
          <w:p w14:paraId="7534473E">
            <w:pPr>
              <w:adjustRightInd w:val="0"/>
              <w:snapToGrid w:val="0"/>
              <w:jc w:val="center"/>
              <w:rPr>
                <w:rFonts w:hint="eastAsia" w:ascii="宋体" w:hAnsi="宋体" w:cs="宋体"/>
                <w:color w:val="auto"/>
                <w:kern w:val="0"/>
                <w:sz w:val="24"/>
                <w:highlight w:val="none"/>
              </w:rPr>
            </w:pPr>
          </w:p>
          <w:p w14:paraId="384165AB">
            <w:pPr>
              <w:adjustRightInd w:val="0"/>
              <w:snapToGrid w:val="0"/>
              <w:jc w:val="center"/>
              <w:rPr>
                <w:rFonts w:hint="eastAsia" w:ascii="宋体" w:hAnsi="宋体" w:cs="宋体"/>
                <w:color w:val="auto"/>
                <w:kern w:val="0"/>
                <w:sz w:val="24"/>
                <w:highlight w:val="none"/>
              </w:rPr>
            </w:pPr>
          </w:p>
          <w:p w14:paraId="02F8B7D1">
            <w:pPr>
              <w:adjustRightInd w:val="0"/>
              <w:snapToGrid w:val="0"/>
              <w:jc w:val="center"/>
              <w:rPr>
                <w:rFonts w:hint="eastAsia" w:ascii="宋体" w:hAnsi="宋体" w:cs="宋体"/>
                <w:color w:val="auto"/>
                <w:kern w:val="0"/>
                <w:sz w:val="24"/>
                <w:highlight w:val="none"/>
              </w:rPr>
            </w:pPr>
          </w:p>
          <w:p w14:paraId="07A4EAA3">
            <w:pPr>
              <w:adjustRightInd w:val="0"/>
              <w:snapToGrid w:val="0"/>
              <w:jc w:val="center"/>
              <w:rPr>
                <w:rFonts w:hint="eastAsia" w:ascii="宋体" w:hAnsi="宋体" w:cs="宋体"/>
                <w:color w:val="auto"/>
                <w:kern w:val="0"/>
                <w:sz w:val="24"/>
                <w:highlight w:val="none"/>
              </w:rPr>
            </w:pPr>
          </w:p>
          <w:p w14:paraId="5D966F57">
            <w:pPr>
              <w:adjustRightInd w:val="0"/>
              <w:snapToGrid w:val="0"/>
              <w:jc w:val="center"/>
              <w:rPr>
                <w:rFonts w:hint="eastAsia" w:ascii="宋体" w:hAnsi="宋体" w:cs="宋体"/>
                <w:color w:val="auto"/>
                <w:kern w:val="0"/>
                <w:sz w:val="24"/>
                <w:highlight w:val="none"/>
              </w:rPr>
            </w:pPr>
          </w:p>
          <w:p w14:paraId="043F9ADD">
            <w:pPr>
              <w:adjustRightInd w:val="0"/>
              <w:snapToGrid w:val="0"/>
              <w:jc w:val="center"/>
              <w:rPr>
                <w:rFonts w:hint="eastAsia" w:ascii="宋体" w:hAnsi="宋体" w:cs="宋体"/>
                <w:color w:val="auto"/>
                <w:kern w:val="0"/>
                <w:sz w:val="24"/>
                <w:highlight w:val="none"/>
              </w:rPr>
            </w:pPr>
          </w:p>
          <w:p w14:paraId="1C4456CF">
            <w:pPr>
              <w:adjustRightInd w:val="0"/>
              <w:snapToGrid w:val="0"/>
              <w:jc w:val="center"/>
              <w:rPr>
                <w:rFonts w:hint="eastAsia" w:ascii="宋体" w:hAnsi="宋体" w:cs="宋体"/>
                <w:color w:val="auto"/>
                <w:kern w:val="0"/>
                <w:sz w:val="24"/>
                <w:highlight w:val="none"/>
              </w:rPr>
            </w:pPr>
          </w:p>
          <w:p w14:paraId="195631BE">
            <w:pPr>
              <w:adjustRightInd w:val="0"/>
              <w:snapToGrid w:val="0"/>
              <w:jc w:val="center"/>
              <w:rPr>
                <w:rFonts w:hint="eastAsia" w:ascii="宋体" w:hAnsi="宋体" w:cs="宋体"/>
                <w:color w:val="auto"/>
                <w:kern w:val="0"/>
                <w:sz w:val="24"/>
                <w:highlight w:val="none"/>
              </w:rPr>
            </w:pPr>
          </w:p>
          <w:p w14:paraId="3BD13D26">
            <w:pPr>
              <w:adjustRightInd w:val="0"/>
              <w:snapToGrid w:val="0"/>
              <w:jc w:val="center"/>
              <w:rPr>
                <w:rFonts w:hint="eastAsia" w:ascii="宋体" w:hAnsi="宋体" w:cs="宋体"/>
                <w:color w:val="auto"/>
                <w:kern w:val="0"/>
                <w:sz w:val="24"/>
                <w:highlight w:val="none"/>
              </w:rPr>
            </w:pPr>
          </w:p>
          <w:p w14:paraId="721BEA37">
            <w:pPr>
              <w:adjustRightInd w:val="0"/>
              <w:snapToGrid w:val="0"/>
              <w:jc w:val="center"/>
              <w:rPr>
                <w:rFonts w:hint="eastAsia" w:ascii="宋体" w:hAnsi="宋体" w:cs="宋体"/>
                <w:color w:val="auto"/>
                <w:kern w:val="0"/>
                <w:sz w:val="24"/>
                <w:highlight w:val="none"/>
              </w:rPr>
            </w:pPr>
          </w:p>
          <w:p w14:paraId="740EAAE9">
            <w:pPr>
              <w:adjustRightInd w:val="0"/>
              <w:snapToGrid w:val="0"/>
              <w:jc w:val="center"/>
              <w:rPr>
                <w:rFonts w:hint="eastAsia" w:ascii="宋体" w:hAnsi="宋体" w:cs="宋体"/>
                <w:color w:val="auto"/>
                <w:kern w:val="0"/>
                <w:sz w:val="24"/>
                <w:highlight w:val="none"/>
              </w:rPr>
            </w:pPr>
          </w:p>
          <w:p w14:paraId="78E2CEAD">
            <w:pPr>
              <w:adjustRightInd w:val="0"/>
              <w:snapToGrid w:val="0"/>
              <w:jc w:val="center"/>
              <w:rPr>
                <w:rFonts w:hint="eastAsia" w:ascii="宋体" w:hAnsi="宋体" w:cs="宋体"/>
                <w:color w:val="auto"/>
                <w:kern w:val="0"/>
                <w:sz w:val="24"/>
                <w:highlight w:val="none"/>
              </w:rPr>
            </w:pPr>
          </w:p>
          <w:p w14:paraId="7E5A9520">
            <w:pPr>
              <w:adjustRightInd w:val="0"/>
              <w:snapToGrid w:val="0"/>
              <w:jc w:val="center"/>
              <w:rPr>
                <w:rFonts w:hint="eastAsia" w:ascii="宋体" w:hAnsi="宋体" w:cs="宋体"/>
                <w:color w:val="auto"/>
                <w:kern w:val="0"/>
                <w:sz w:val="24"/>
                <w:highlight w:val="none"/>
              </w:rPr>
            </w:pPr>
          </w:p>
          <w:p w14:paraId="5A5EC736">
            <w:pPr>
              <w:adjustRightInd w:val="0"/>
              <w:snapToGrid w:val="0"/>
              <w:jc w:val="center"/>
              <w:rPr>
                <w:rFonts w:hint="eastAsia" w:ascii="宋体" w:hAnsi="宋体" w:cs="宋体"/>
                <w:color w:val="auto"/>
                <w:kern w:val="0"/>
                <w:sz w:val="24"/>
                <w:highlight w:val="none"/>
              </w:rPr>
            </w:pPr>
          </w:p>
          <w:p w14:paraId="64AD805C">
            <w:pPr>
              <w:adjustRightInd w:val="0"/>
              <w:snapToGrid w:val="0"/>
              <w:jc w:val="center"/>
              <w:rPr>
                <w:rFonts w:hint="eastAsia" w:ascii="宋体" w:hAnsi="宋体" w:cs="宋体"/>
                <w:color w:val="auto"/>
                <w:kern w:val="0"/>
                <w:sz w:val="24"/>
                <w:highlight w:val="none"/>
              </w:rPr>
            </w:pPr>
          </w:p>
          <w:p w14:paraId="6BAED73C">
            <w:pPr>
              <w:adjustRightInd w:val="0"/>
              <w:snapToGrid w:val="0"/>
              <w:jc w:val="center"/>
              <w:rPr>
                <w:rFonts w:hint="eastAsia" w:ascii="宋体" w:hAnsi="宋体" w:cs="宋体"/>
                <w:color w:val="auto"/>
                <w:kern w:val="0"/>
                <w:sz w:val="24"/>
                <w:highlight w:val="none"/>
              </w:rPr>
            </w:pPr>
          </w:p>
          <w:p w14:paraId="11A05C61">
            <w:pPr>
              <w:adjustRightInd w:val="0"/>
              <w:snapToGrid w:val="0"/>
              <w:jc w:val="center"/>
              <w:rPr>
                <w:rFonts w:hint="eastAsia" w:ascii="宋体" w:hAnsi="宋体" w:cs="宋体"/>
                <w:color w:val="auto"/>
                <w:kern w:val="0"/>
                <w:sz w:val="24"/>
                <w:highlight w:val="none"/>
              </w:rPr>
            </w:pPr>
          </w:p>
          <w:p w14:paraId="34BE127C">
            <w:pPr>
              <w:adjustRightInd w:val="0"/>
              <w:snapToGrid w:val="0"/>
              <w:jc w:val="center"/>
              <w:rPr>
                <w:rFonts w:hint="eastAsia" w:ascii="宋体" w:hAnsi="宋体" w:cs="宋体"/>
                <w:color w:val="auto"/>
                <w:kern w:val="0"/>
                <w:sz w:val="24"/>
                <w:highlight w:val="none"/>
              </w:rPr>
            </w:pPr>
          </w:p>
          <w:p w14:paraId="7B229D3D">
            <w:pPr>
              <w:adjustRightInd w:val="0"/>
              <w:snapToGrid w:val="0"/>
              <w:jc w:val="center"/>
              <w:rPr>
                <w:rFonts w:hint="eastAsia" w:ascii="宋体" w:hAnsi="宋体" w:cs="宋体"/>
                <w:color w:val="auto"/>
                <w:kern w:val="0"/>
                <w:sz w:val="24"/>
                <w:highlight w:val="none"/>
              </w:rPr>
            </w:pPr>
          </w:p>
          <w:p w14:paraId="2A7F63BA">
            <w:pPr>
              <w:adjustRightInd w:val="0"/>
              <w:snapToGrid w:val="0"/>
              <w:jc w:val="center"/>
              <w:rPr>
                <w:rFonts w:hint="eastAsia" w:ascii="宋体" w:hAnsi="宋体" w:cs="宋体"/>
                <w:color w:val="auto"/>
                <w:kern w:val="0"/>
                <w:sz w:val="24"/>
                <w:highlight w:val="none"/>
              </w:rPr>
            </w:pPr>
          </w:p>
          <w:p w14:paraId="670DD67F">
            <w:pPr>
              <w:adjustRightInd w:val="0"/>
              <w:snapToGrid w:val="0"/>
              <w:jc w:val="center"/>
              <w:rPr>
                <w:rFonts w:hint="eastAsia" w:ascii="宋体" w:hAnsi="宋体" w:cs="宋体"/>
                <w:color w:val="auto"/>
                <w:kern w:val="0"/>
                <w:sz w:val="24"/>
                <w:highlight w:val="none"/>
              </w:rPr>
            </w:pPr>
          </w:p>
          <w:p w14:paraId="4452984B">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14:paraId="61BA4626">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14:paraId="6BC69651">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目标</w:t>
            </w:r>
          </w:p>
          <w:p w14:paraId="23DF46D6">
            <w:pPr>
              <w:adjustRightInd w:val="0"/>
              <w:snapToGrid w:val="0"/>
              <w:rPr>
                <w:rFonts w:ascii="宋体" w:hAnsi="宋体" w:cs="宋体"/>
                <w:color w:val="auto"/>
                <w:kern w:val="0"/>
                <w:szCs w:val="21"/>
                <w:highlight w:val="none"/>
              </w:rPr>
            </w:pPr>
          </w:p>
        </w:tc>
        <w:tc>
          <w:tcPr>
            <w:tcW w:w="8312" w:type="dxa"/>
          </w:tcPr>
          <w:p w14:paraId="69B6A198">
            <w:pPr>
              <w:adjustRightInd w:val="0"/>
              <w:snapToGrid w:val="0"/>
              <w:spacing w:line="360" w:lineRule="auto"/>
              <w:ind w:firstLine="482" w:firstLineChars="200"/>
              <w:jc w:val="left"/>
              <w:rPr>
                <w:color w:val="auto"/>
                <w:highlight w:val="none"/>
              </w:rPr>
            </w:pPr>
            <w:r>
              <w:rPr>
                <w:rFonts w:hint="eastAsia"/>
                <w:b/>
                <w:bCs/>
                <w:color w:val="auto"/>
                <w:sz w:val="24"/>
                <w:highlight w:val="none"/>
              </w:rPr>
              <w:t>一、大气环境保护目标：</w:t>
            </w:r>
          </w:p>
          <w:p w14:paraId="126F6862">
            <w:pPr>
              <w:pStyle w:val="2"/>
              <w:spacing w:line="360" w:lineRule="auto"/>
              <w:ind w:firstLine="480" w:firstLineChars="200"/>
              <w:rPr>
                <w:color w:val="auto"/>
                <w:highlight w:val="none"/>
              </w:rPr>
            </w:pPr>
            <w:r>
              <w:rPr>
                <w:rFonts w:hint="eastAsia"/>
                <w:color w:val="auto"/>
                <w:highlight w:val="none"/>
              </w:rPr>
              <w:t>本</w:t>
            </w:r>
            <w:r>
              <w:rPr>
                <w:rFonts w:hint="eastAsia"/>
                <w:color w:val="auto"/>
                <w:highlight w:val="none"/>
                <w:lang w:eastAsia="zh-CN"/>
              </w:rPr>
              <w:t>次变动在原厂区内进行，不新增占地。经调查，现有厂区</w:t>
            </w:r>
            <w:r>
              <w:rPr>
                <w:rFonts w:hint="eastAsia"/>
                <w:color w:val="auto"/>
                <w:highlight w:val="none"/>
              </w:rPr>
              <w:t>周边</w:t>
            </w:r>
            <w:r>
              <w:rPr>
                <w:rFonts w:hint="eastAsia" w:ascii="Times New Roman" w:hAnsi="Times New Roman" w:cs="Times New Roman"/>
                <w:color w:val="auto"/>
                <w:highlight w:val="none"/>
              </w:rPr>
              <w:t>500m</w:t>
            </w:r>
            <w:r>
              <w:rPr>
                <w:rFonts w:hint="eastAsia"/>
                <w:color w:val="auto"/>
                <w:highlight w:val="none"/>
              </w:rPr>
              <w:t>范围内无自然保护区、风景名胜区等敏感区，主要分布有</w:t>
            </w:r>
            <w:r>
              <w:rPr>
                <w:rFonts w:hint="eastAsia"/>
                <w:color w:val="auto"/>
                <w:highlight w:val="none"/>
                <w:lang w:eastAsia="zh-CN"/>
              </w:rPr>
              <w:t>园区企业及戚氏村住户</w:t>
            </w:r>
            <w:r>
              <w:rPr>
                <w:rFonts w:hint="eastAsia"/>
                <w:color w:val="auto"/>
                <w:highlight w:val="none"/>
              </w:rPr>
              <w:t>，</w:t>
            </w:r>
            <w:r>
              <w:rPr>
                <w:color w:val="auto"/>
                <w:highlight w:val="none"/>
              </w:rPr>
              <w:t>项目外环境关系相对简单</w:t>
            </w:r>
            <w:r>
              <w:rPr>
                <w:rFonts w:hint="eastAsia"/>
                <w:color w:val="auto"/>
                <w:highlight w:val="none"/>
              </w:rPr>
              <w:t>，具体分布情况如下：</w:t>
            </w:r>
          </w:p>
          <w:p w14:paraId="411CDA69">
            <w:pPr>
              <w:adjustRightInd w:val="0"/>
              <w:snapToGrid w:val="0"/>
              <w:spacing w:line="360" w:lineRule="auto"/>
              <w:ind w:firstLine="480" w:firstLineChars="200"/>
              <w:rPr>
                <w:color w:val="auto"/>
                <w:sz w:val="24"/>
                <w:highlight w:val="none"/>
              </w:rPr>
            </w:pPr>
            <w:r>
              <w:rPr>
                <w:rFonts w:hint="eastAsia"/>
                <w:color w:val="auto"/>
                <w:sz w:val="24"/>
                <w:highlight w:val="none"/>
              </w:rPr>
              <w:t>北</w:t>
            </w:r>
            <w:r>
              <w:rPr>
                <w:color w:val="auto"/>
                <w:sz w:val="24"/>
                <w:highlight w:val="none"/>
              </w:rPr>
              <w:t>侧：</w:t>
            </w:r>
            <w:r>
              <w:rPr>
                <w:rFonts w:hint="eastAsia"/>
                <w:color w:val="auto"/>
                <w:sz w:val="24"/>
                <w:highlight w:val="none"/>
                <w:lang w:eastAsia="zh-CN"/>
              </w:rPr>
              <w:t>厂界北侧</w:t>
            </w:r>
            <w:r>
              <w:rPr>
                <w:rFonts w:hint="eastAsia"/>
                <w:color w:val="auto"/>
                <w:sz w:val="24"/>
                <w:highlight w:val="none"/>
                <w:lang w:val="en-US" w:eastAsia="zh-CN"/>
              </w:rPr>
              <w:t>10m处为陕西人和矿业集团公司</w:t>
            </w:r>
            <w:r>
              <w:rPr>
                <w:rFonts w:hint="eastAsia"/>
                <w:color w:val="auto"/>
                <w:sz w:val="24"/>
                <w:highlight w:val="none"/>
                <w:lang w:eastAsia="zh-CN"/>
              </w:rPr>
              <w:t>、</w:t>
            </w:r>
            <w:r>
              <w:rPr>
                <w:rFonts w:hint="eastAsia"/>
                <w:color w:val="auto"/>
                <w:sz w:val="24"/>
                <w:highlight w:val="none"/>
                <w:lang w:val="en-US" w:eastAsia="zh-CN"/>
              </w:rPr>
              <w:t>155m处为戚氏供电营业厅、410m处为戚氏初级中学，东北侧340m处为戚氏中心小学、460m处为戚氏村住户。</w:t>
            </w:r>
          </w:p>
          <w:p w14:paraId="46A380F8">
            <w:pPr>
              <w:adjustRightInd w:val="0"/>
              <w:snapToGrid w:val="0"/>
              <w:spacing w:line="360" w:lineRule="auto"/>
              <w:ind w:firstLine="480" w:firstLineChars="200"/>
              <w:rPr>
                <w:color w:val="auto"/>
                <w:sz w:val="24"/>
                <w:highlight w:val="none"/>
              </w:rPr>
            </w:pPr>
            <w:r>
              <w:rPr>
                <w:rFonts w:hint="eastAsia"/>
                <w:color w:val="auto"/>
                <w:sz w:val="24"/>
                <w:highlight w:val="none"/>
              </w:rPr>
              <w:t>东</w:t>
            </w:r>
            <w:r>
              <w:rPr>
                <w:color w:val="auto"/>
                <w:sz w:val="24"/>
                <w:highlight w:val="none"/>
              </w:rPr>
              <w:t>侧：</w:t>
            </w:r>
            <w:r>
              <w:rPr>
                <w:rFonts w:hint="eastAsia"/>
                <w:color w:val="auto"/>
                <w:sz w:val="24"/>
                <w:highlight w:val="none"/>
                <w:lang w:eastAsia="zh-CN"/>
              </w:rPr>
              <w:t>厂界东</w:t>
            </w:r>
            <w:r>
              <w:rPr>
                <w:rFonts w:hint="eastAsia"/>
                <w:color w:val="auto"/>
                <w:sz w:val="24"/>
                <w:highlight w:val="none"/>
              </w:rPr>
              <w:t>侧</w:t>
            </w:r>
            <w:r>
              <w:rPr>
                <w:rFonts w:hint="eastAsia"/>
                <w:color w:val="auto"/>
                <w:sz w:val="24"/>
                <w:highlight w:val="none"/>
                <w:lang w:val="en-US" w:eastAsia="zh-CN"/>
              </w:rPr>
              <w:t>10</w:t>
            </w:r>
            <w:r>
              <w:rPr>
                <w:rFonts w:hint="eastAsia"/>
                <w:color w:val="auto"/>
                <w:sz w:val="24"/>
                <w:highlight w:val="none"/>
              </w:rPr>
              <w:t>0m处为</w:t>
            </w:r>
            <w:r>
              <w:rPr>
                <w:rFonts w:hint="eastAsia"/>
                <w:color w:val="auto"/>
                <w:sz w:val="24"/>
                <w:highlight w:val="none"/>
                <w:lang w:eastAsia="zh-CN"/>
              </w:rPr>
              <w:t>洋县殡葬管理所</w:t>
            </w:r>
            <w:r>
              <w:rPr>
                <w:rFonts w:hint="eastAsia"/>
                <w:color w:val="auto"/>
                <w:sz w:val="24"/>
                <w:highlight w:val="none"/>
              </w:rPr>
              <w:t>。</w:t>
            </w:r>
          </w:p>
          <w:p w14:paraId="729FFACD">
            <w:pPr>
              <w:pStyle w:val="10"/>
              <w:spacing w:line="360" w:lineRule="auto"/>
              <w:ind w:firstLine="480" w:firstLineChars="200"/>
              <w:rPr>
                <w:color w:val="auto"/>
                <w:highlight w:val="none"/>
              </w:rPr>
            </w:pPr>
            <w:r>
              <w:rPr>
                <w:rFonts w:hint="eastAsia"/>
                <w:color w:val="auto"/>
                <w:highlight w:val="none"/>
              </w:rPr>
              <w:t>西侧：厂界西侧</w:t>
            </w:r>
            <w:r>
              <w:rPr>
                <w:rFonts w:hint="eastAsia"/>
                <w:color w:val="auto"/>
                <w:highlight w:val="none"/>
                <w:lang w:val="en-US" w:eastAsia="zh-CN"/>
              </w:rPr>
              <w:t>8</w:t>
            </w:r>
            <w:r>
              <w:rPr>
                <w:rFonts w:hint="eastAsia"/>
                <w:color w:val="auto"/>
                <w:highlight w:val="none"/>
              </w:rPr>
              <w:t>m处为</w:t>
            </w:r>
            <w:r>
              <w:rPr>
                <w:rFonts w:hint="eastAsia"/>
                <w:color w:val="auto"/>
                <w:highlight w:val="none"/>
                <w:lang w:eastAsia="zh-CN"/>
              </w:rPr>
              <w:t>振邦化工、</w:t>
            </w:r>
            <w:r>
              <w:rPr>
                <w:rFonts w:hint="eastAsia"/>
                <w:color w:val="auto"/>
                <w:highlight w:val="none"/>
                <w:lang w:val="en-US" w:eastAsia="zh-CN"/>
              </w:rPr>
              <w:t>75</w:t>
            </w:r>
            <w:r>
              <w:rPr>
                <w:rFonts w:hint="eastAsia"/>
                <w:color w:val="auto"/>
                <w:highlight w:val="none"/>
              </w:rPr>
              <w:t>m处为</w:t>
            </w:r>
            <w:r>
              <w:rPr>
                <w:rFonts w:hint="eastAsia"/>
                <w:color w:val="auto"/>
                <w:sz w:val="24"/>
                <w:highlight w:val="none"/>
                <w:lang w:val="en-US" w:eastAsia="zh-CN"/>
              </w:rPr>
              <w:t>戚氏村住户</w:t>
            </w:r>
            <w:r>
              <w:rPr>
                <w:rFonts w:hint="eastAsia"/>
                <w:color w:val="auto"/>
                <w:highlight w:val="none"/>
              </w:rPr>
              <w:t>。</w:t>
            </w:r>
          </w:p>
          <w:p w14:paraId="04BC2B95">
            <w:pPr>
              <w:pStyle w:val="10"/>
              <w:spacing w:line="360" w:lineRule="auto"/>
              <w:ind w:firstLine="480" w:firstLineChars="200"/>
              <w:rPr>
                <w:rFonts w:hint="default" w:eastAsia="宋体"/>
                <w:color w:val="auto"/>
                <w:highlight w:val="none"/>
                <w:lang w:val="en-US" w:eastAsia="zh-CN"/>
              </w:rPr>
            </w:pPr>
            <w:r>
              <w:rPr>
                <w:rFonts w:hint="eastAsia"/>
                <w:color w:val="auto"/>
                <w:highlight w:val="none"/>
              </w:rPr>
              <w:t>南侧：厂界南侧</w:t>
            </w:r>
            <w:r>
              <w:rPr>
                <w:rFonts w:hint="eastAsia"/>
                <w:color w:val="auto"/>
                <w:highlight w:val="none"/>
                <w:lang w:val="en-US" w:eastAsia="zh-CN"/>
              </w:rPr>
              <w:t>8</w:t>
            </w:r>
            <w:r>
              <w:rPr>
                <w:rFonts w:hint="eastAsia"/>
                <w:color w:val="auto"/>
                <w:highlight w:val="none"/>
              </w:rPr>
              <w:t>m处为</w:t>
            </w:r>
            <w:r>
              <w:rPr>
                <w:rFonts w:hint="eastAsia"/>
                <w:color w:val="auto"/>
                <w:highlight w:val="none"/>
                <w:lang w:eastAsia="zh-CN"/>
              </w:rPr>
              <w:t>陕西元丰宝节能建材有限公司，东南侧</w:t>
            </w:r>
            <w:r>
              <w:rPr>
                <w:rFonts w:hint="eastAsia"/>
                <w:color w:val="auto"/>
                <w:highlight w:val="none"/>
                <w:lang w:val="en-US" w:eastAsia="zh-CN"/>
              </w:rPr>
              <w:t>300m处为汉江。</w:t>
            </w:r>
          </w:p>
          <w:p w14:paraId="716E4B02">
            <w:pPr>
              <w:pStyle w:val="10"/>
              <w:spacing w:line="360" w:lineRule="auto"/>
              <w:ind w:firstLine="480" w:firstLineChars="200"/>
              <w:rPr>
                <w:color w:val="auto"/>
                <w:highlight w:val="none"/>
              </w:rPr>
            </w:pPr>
            <w:r>
              <w:rPr>
                <w:rFonts w:hint="eastAsia"/>
                <w:color w:val="auto"/>
                <w:highlight w:val="none"/>
              </w:rPr>
              <w:t>综上，项目大气环境保护目标（附图</w:t>
            </w:r>
            <w:r>
              <w:rPr>
                <w:rFonts w:hint="eastAsia"/>
                <w:color w:val="auto"/>
                <w:highlight w:val="none"/>
                <w:lang w:val="en-US" w:eastAsia="zh-CN"/>
              </w:rPr>
              <w:t>8</w:t>
            </w:r>
            <w:r>
              <w:rPr>
                <w:rFonts w:hint="eastAsia"/>
                <w:color w:val="auto"/>
                <w:highlight w:val="none"/>
              </w:rPr>
              <w:t>）见下表：</w:t>
            </w:r>
          </w:p>
          <w:p w14:paraId="243B5F79">
            <w:pPr>
              <w:adjustRightInd w:val="0"/>
              <w:snapToGrid w:val="0"/>
              <w:jc w:val="center"/>
              <w:rPr>
                <w:b/>
                <w:bCs/>
                <w:color w:val="auto"/>
                <w:kern w:val="0"/>
                <w:szCs w:val="21"/>
                <w:highlight w:val="none"/>
              </w:rPr>
            </w:pPr>
            <w:bookmarkStart w:id="2" w:name="_Ref287340937"/>
            <w:r>
              <w:rPr>
                <w:rFonts w:hint="eastAsia"/>
                <w:b/>
                <w:bCs/>
                <w:color w:val="auto"/>
                <w:kern w:val="0"/>
                <w:szCs w:val="21"/>
                <w:highlight w:val="none"/>
              </w:rPr>
              <w:t>表</w:t>
            </w:r>
            <w:bookmarkEnd w:id="2"/>
            <w:r>
              <w:rPr>
                <w:rFonts w:hint="eastAsia"/>
                <w:b/>
                <w:bCs/>
                <w:color w:val="auto"/>
                <w:kern w:val="0"/>
                <w:szCs w:val="21"/>
                <w:highlight w:val="none"/>
              </w:rPr>
              <w:t>3-</w:t>
            </w:r>
            <w:r>
              <w:rPr>
                <w:rFonts w:hint="eastAsia"/>
                <w:b/>
                <w:bCs/>
                <w:color w:val="auto"/>
                <w:kern w:val="0"/>
                <w:szCs w:val="21"/>
                <w:highlight w:val="none"/>
                <w:lang w:val="en-US" w:eastAsia="zh-CN"/>
              </w:rPr>
              <w:t>4</w:t>
            </w:r>
            <w:r>
              <w:rPr>
                <w:b/>
                <w:bCs/>
                <w:color w:val="auto"/>
                <w:kern w:val="0"/>
                <w:szCs w:val="21"/>
                <w:highlight w:val="none"/>
              </w:rPr>
              <w:t xml:space="preserve">  项目环境保护目标一览表</w:t>
            </w:r>
          </w:p>
          <w:tbl>
            <w:tblPr>
              <w:tblStyle w:val="36"/>
              <w:tblW w:w="81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4"/>
              <w:gridCol w:w="900"/>
              <w:gridCol w:w="1000"/>
              <w:gridCol w:w="1467"/>
              <w:gridCol w:w="733"/>
              <w:gridCol w:w="1017"/>
              <w:gridCol w:w="900"/>
              <w:gridCol w:w="1423"/>
            </w:tblGrid>
            <w:tr w14:paraId="39115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restart"/>
                  <w:tcBorders>
                    <w:tl2br w:val="nil"/>
                    <w:tr2bl w:val="nil"/>
                  </w:tcBorders>
                  <w:vAlign w:val="center"/>
                </w:tcPr>
                <w:p w14:paraId="5A3FD1FB">
                  <w:pPr>
                    <w:widowControl/>
                    <w:jc w:val="center"/>
                    <w:rPr>
                      <w:color w:val="auto"/>
                      <w:highlight w:val="none"/>
                    </w:rPr>
                  </w:pPr>
                  <w:r>
                    <w:rPr>
                      <w:color w:val="auto"/>
                      <w:highlight w:val="none"/>
                    </w:rPr>
                    <w:t>名称</w:t>
                  </w:r>
                </w:p>
              </w:tc>
              <w:tc>
                <w:tcPr>
                  <w:tcW w:w="1900" w:type="dxa"/>
                  <w:gridSpan w:val="2"/>
                  <w:tcBorders>
                    <w:tl2br w:val="nil"/>
                    <w:tr2bl w:val="nil"/>
                  </w:tcBorders>
                  <w:vAlign w:val="center"/>
                </w:tcPr>
                <w:p w14:paraId="1589595C">
                  <w:pPr>
                    <w:widowControl/>
                    <w:jc w:val="center"/>
                    <w:rPr>
                      <w:color w:val="auto"/>
                      <w:highlight w:val="none"/>
                    </w:rPr>
                  </w:pPr>
                  <w:r>
                    <w:rPr>
                      <w:rFonts w:hint="eastAsia"/>
                      <w:color w:val="auto"/>
                      <w:highlight w:val="none"/>
                    </w:rPr>
                    <w:t>坐标/m</w:t>
                  </w:r>
                </w:p>
              </w:tc>
              <w:tc>
                <w:tcPr>
                  <w:tcW w:w="1467" w:type="dxa"/>
                  <w:vMerge w:val="restart"/>
                  <w:tcBorders>
                    <w:tl2br w:val="nil"/>
                    <w:tr2bl w:val="nil"/>
                  </w:tcBorders>
                  <w:vAlign w:val="center"/>
                </w:tcPr>
                <w:p w14:paraId="2DC2BC95">
                  <w:pPr>
                    <w:widowControl/>
                    <w:jc w:val="center"/>
                    <w:rPr>
                      <w:color w:val="auto"/>
                      <w:highlight w:val="none"/>
                    </w:rPr>
                  </w:pPr>
                  <w:r>
                    <w:rPr>
                      <w:color w:val="auto"/>
                      <w:highlight w:val="none"/>
                    </w:rPr>
                    <w:t>保护对象</w:t>
                  </w:r>
                </w:p>
              </w:tc>
              <w:tc>
                <w:tcPr>
                  <w:tcW w:w="733" w:type="dxa"/>
                  <w:vMerge w:val="restart"/>
                  <w:tcBorders>
                    <w:tl2br w:val="nil"/>
                    <w:tr2bl w:val="nil"/>
                  </w:tcBorders>
                  <w:vAlign w:val="center"/>
                </w:tcPr>
                <w:p w14:paraId="2DFAD00B">
                  <w:pPr>
                    <w:jc w:val="center"/>
                    <w:rPr>
                      <w:color w:val="auto"/>
                      <w:highlight w:val="none"/>
                    </w:rPr>
                  </w:pPr>
                  <w:r>
                    <w:rPr>
                      <w:color w:val="auto"/>
                      <w:highlight w:val="none"/>
                    </w:rPr>
                    <w:t>保护</w:t>
                  </w:r>
                </w:p>
                <w:p w14:paraId="30CF0EE6">
                  <w:pPr>
                    <w:jc w:val="center"/>
                    <w:rPr>
                      <w:color w:val="auto"/>
                      <w:highlight w:val="none"/>
                    </w:rPr>
                  </w:pPr>
                  <w:r>
                    <w:rPr>
                      <w:color w:val="auto"/>
                      <w:highlight w:val="none"/>
                    </w:rPr>
                    <w:t>内容</w:t>
                  </w:r>
                </w:p>
              </w:tc>
              <w:tc>
                <w:tcPr>
                  <w:tcW w:w="1017" w:type="dxa"/>
                  <w:vMerge w:val="restart"/>
                  <w:tcBorders>
                    <w:tl2br w:val="nil"/>
                    <w:tr2bl w:val="nil"/>
                  </w:tcBorders>
                  <w:vAlign w:val="center"/>
                </w:tcPr>
                <w:p w14:paraId="1BE6F148">
                  <w:pPr>
                    <w:jc w:val="center"/>
                    <w:rPr>
                      <w:color w:val="auto"/>
                      <w:highlight w:val="none"/>
                    </w:rPr>
                  </w:pPr>
                  <w:r>
                    <w:rPr>
                      <w:color w:val="auto"/>
                      <w:highlight w:val="none"/>
                    </w:rPr>
                    <w:t>环境</w:t>
                  </w:r>
                </w:p>
                <w:p w14:paraId="4690F214">
                  <w:pPr>
                    <w:jc w:val="center"/>
                    <w:rPr>
                      <w:color w:val="auto"/>
                      <w:highlight w:val="none"/>
                    </w:rPr>
                  </w:pPr>
                  <w:r>
                    <w:rPr>
                      <w:color w:val="auto"/>
                      <w:highlight w:val="none"/>
                    </w:rPr>
                    <w:t>功能</w:t>
                  </w:r>
                </w:p>
              </w:tc>
              <w:tc>
                <w:tcPr>
                  <w:tcW w:w="900" w:type="dxa"/>
                  <w:vMerge w:val="restart"/>
                  <w:tcBorders>
                    <w:tl2br w:val="nil"/>
                    <w:tr2bl w:val="nil"/>
                  </w:tcBorders>
                  <w:vAlign w:val="center"/>
                </w:tcPr>
                <w:p w14:paraId="0136C340">
                  <w:pPr>
                    <w:jc w:val="center"/>
                    <w:rPr>
                      <w:color w:val="auto"/>
                      <w:highlight w:val="none"/>
                    </w:rPr>
                  </w:pPr>
                  <w:r>
                    <w:rPr>
                      <w:color w:val="auto"/>
                      <w:highlight w:val="none"/>
                    </w:rPr>
                    <w:t>相对</w:t>
                  </w:r>
                </w:p>
                <w:p w14:paraId="0263236F">
                  <w:pPr>
                    <w:jc w:val="center"/>
                    <w:rPr>
                      <w:color w:val="auto"/>
                      <w:highlight w:val="none"/>
                    </w:rPr>
                  </w:pPr>
                  <w:r>
                    <w:rPr>
                      <w:color w:val="auto"/>
                      <w:highlight w:val="none"/>
                    </w:rPr>
                    <w:t>方位</w:t>
                  </w:r>
                </w:p>
              </w:tc>
              <w:tc>
                <w:tcPr>
                  <w:tcW w:w="1423" w:type="dxa"/>
                  <w:vMerge w:val="restart"/>
                  <w:tcBorders>
                    <w:tl2br w:val="nil"/>
                    <w:tr2bl w:val="nil"/>
                  </w:tcBorders>
                  <w:vAlign w:val="center"/>
                </w:tcPr>
                <w:p w14:paraId="5D2FAE39">
                  <w:pPr>
                    <w:jc w:val="center"/>
                    <w:rPr>
                      <w:color w:val="auto"/>
                      <w:highlight w:val="none"/>
                    </w:rPr>
                  </w:pPr>
                  <w:r>
                    <w:rPr>
                      <w:color w:val="auto"/>
                      <w:highlight w:val="none"/>
                    </w:rPr>
                    <w:t>相对厂界</w:t>
                  </w:r>
                  <w:r>
                    <w:rPr>
                      <w:rFonts w:hint="eastAsia"/>
                      <w:color w:val="auto"/>
                      <w:highlight w:val="none"/>
                    </w:rPr>
                    <w:t>最近</w:t>
                  </w:r>
                  <w:r>
                    <w:rPr>
                      <w:color w:val="auto"/>
                      <w:highlight w:val="none"/>
                    </w:rPr>
                    <w:t>距离（m）</w:t>
                  </w:r>
                </w:p>
              </w:tc>
            </w:tr>
            <w:tr w14:paraId="04246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continue"/>
                  <w:tcBorders>
                    <w:tl2br w:val="nil"/>
                    <w:tr2bl w:val="nil"/>
                  </w:tcBorders>
                  <w:vAlign w:val="center"/>
                </w:tcPr>
                <w:p w14:paraId="1908ACCD">
                  <w:pPr>
                    <w:widowControl/>
                    <w:spacing w:line="240" w:lineRule="exact"/>
                    <w:jc w:val="center"/>
                    <w:rPr>
                      <w:color w:val="auto"/>
                      <w:highlight w:val="none"/>
                    </w:rPr>
                  </w:pPr>
                </w:p>
              </w:tc>
              <w:tc>
                <w:tcPr>
                  <w:tcW w:w="900" w:type="dxa"/>
                  <w:tcBorders>
                    <w:tl2br w:val="nil"/>
                    <w:tr2bl w:val="nil"/>
                  </w:tcBorders>
                  <w:vAlign w:val="center"/>
                </w:tcPr>
                <w:p w14:paraId="07C914E0">
                  <w:pPr>
                    <w:widowControl/>
                    <w:spacing w:line="240" w:lineRule="exact"/>
                    <w:jc w:val="center"/>
                    <w:rPr>
                      <w:color w:val="auto"/>
                      <w:highlight w:val="none"/>
                    </w:rPr>
                  </w:pPr>
                  <w:r>
                    <w:rPr>
                      <w:rFonts w:hint="eastAsia"/>
                      <w:color w:val="auto"/>
                      <w:highlight w:val="none"/>
                    </w:rPr>
                    <w:t>X</w:t>
                  </w:r>
                </w:p>
              </w:tc>
              <w:tc>
                <w:tcPr>
                  <w:tcW w:w="1000" w:type="dxa"/>
                  <w:tcBorders>
                    <w:tl2br w:val="nil"/>
                    <w:tr2bl w:val="nil"/>
                  </w:tcBorders>
                  <w:vAlign w:val="center"/>
                </w:tcPr>
                <w:p w14:paraId="1461E4F2">
                  <w:pPr>
                    <w:widowControl/>
                    <w:spacing w:line="240" w:lineRule="exact"/>
                    <w:jc w:val="center"/>
                    <w:rPr>
                      <w:color w:val="auto"/>
                      <w:highlight w:val="none"/>
                    </w:rPr>
                  </w:pPr>
                  <w:r>
                    <w:rPr>
                      <w:rFonts w:hint="eastAsia"/>
                      <w:color w:val="auto"/>
                      <w:highlight w:val="none"/>
                    </w:rPr>
                    <w:t>Y</w:t>
                  </w:r>
                </w:p>
              </w:tc>
              <w:tc>
                <w:tcPr>
                  <w:tcW w:w="1467" w:type="dxa"/>
                  <w:vMerge w:val="continue"/>
                  <w:tcBorders>
                    <w:tl2br w:val="nil"/>
                    <w:tr2bl w:val="nil"/>
                  </w:tcBorders>
                  <w:vAlign w:val="center"/>
                </w:tcPr>
                <w:p w14:paraId="5319A125">
                  <w:pPr>
                    <w:widowControl/>
                    <w:spacing w:line="240" w:lineRule="exact"/>
                    <w:jc w:val="center"/>
                    <w:rPr>
                      <w:color w:val="auto"/>
                      <w:highlight w:val="none"/>
                    </w:rPr>
                  </w:pPr>
                </w:p>
              </w:tc>
              <w:tc>
                <w:tcPr>
                  <w:tcW w:w="733" w:type="dxa"/>
                  <w:vMerge w:val="continue"/>
                  <w:tcBorders>
                    <w:tl2br w:val="nil"/>
                    <w:tr2bl w:val="nil"/>
                  </w:tcBorders>
                  <w:vAlign w:val="center"/>
                </w:tcPr>
                <w:p w14:paraId="206AD2EF">
                  <w:pPr>
                    <w:spacing w:line="240" w:lineRule="exact"/>
                    <w:jc w:val="center"/>
                    <w:rPr>
                      <w:color w:val="auto"/>
                      <w:highlight w:val="none"/>
                    </w:rPr>
                  </w:pPr>
                </w:p>
              </w:tc>
              <w:tc>
                <w:tcPr>
                  <w:tcW w:w="1017" w:type="dxa"/>
                  <w:vMerge w:val="continue"/>
                  <w:tcBorders>
                    <w:tl2br w:val="nil"/>
                    <w:tr2bl w:val="nil"/>
                  </w:tcBorders>
                  <w:vAlign w:val="center"/>
                </w:tcPr>
                <w:p w14:paraId="692E06E8">
                  <w:pPr>
                    <w:spacing w:line="240" w:lineRule="exact"/>
                    <w:jc w:val="center"/>
                    <w:rPr>
                      <w:color w:val="auto"/>
                      <w:highlight w:val="none"/>
                    </w:rPr>
                  </w:pPr>
                </w:p>
              </w:tc>
              <w:tc>
                <w:tcPr>
                  <w:tcW w:w="900" w:type="dxa"/>
                  <w:vMerge w:val="continue"/>
                  <w:tcBorders>
                    <w:tl2br w:val="nil"/>
                    <w:tr2bl w:val="nil"/>
                  </w:tcBorders>
                  <w:vAlign w:val="center"/>
                </w:tcPr>
                <w:p w14:paraId="46A790AE">
                  <w:pPr>
                    <w:spacing w:line="240" w:lineRule="exact"/>
                    <w:jc w:val="center"/>
                    <w:rPr>
                      <w:color w:val="auto"/>
                      <w:highlight w:val="none"/>
                    </w:rPr>
                  </w:pPr>
                </w:p>
              </w:tc>
              <w:tc>
                <w:tcPr>
                  <w:tcW w:w="1423" w:type="dxa"/>
                  <w:vMerge w:val="continue"/>
                  <w:tcBorders>
                    <w:tl2br w:val="nil"/>
                    <w:tr2bl w:val="nil"/>
                  </w:tcBorders>
                  <w:vAlign w:val="center"/>
                </w:tcPr>
                <w:p w14:paraId="1A587500">
                  <w:pPr>
                    <w:spacing w:line="240" w:lineRule="exact"/>
                    <w:jc w:val="center"/>
                    <w:rPr>
                      <w:color w:val="auto"/>
                      <w:highlight w:val="none"/>
                    </w:rPr>
                  </w:pPr>
                </w:p>
              </w:tc>
            </w:tr>
            <w:tr w14:paraId="4FFD1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6BAAF400">
                  <w:pPr>
                    <w:spacing w:beforeLines="30" w:afterLines="30" w:line="240" w:lineRule="exact"/>
                    <w:jc w:val="center"/>
                    <w:rPr>
                      <w:color w:val="auto"/>
                      <w:highlight w:val="none"/>
                    </w:rPr>
                  </w:pPr>
                  <w:r>
                    <w:rPr>
                      <w:color w:val="auto"/>
                      <w:highlight w:val="none"/>
                    </w:rPr>
                    <w:t>1</w:t>
                  </w:r>
                </w:p>
              </w:tc>
              <w:tc>
                <w:tcPr>
                  <w:tcW w:w="900" w:type="dxa"/>
                  <w:tcBorders>
                    <w:tl2br w:val="nil"/>
                    <w:tr2bl w:val="nil"/>
                  </w:tcBorders>
                  <w:vAlign w:val="center"/>
                </w:tcPr>
                <w:p w14:paraId="66946F3E">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732035</w:t>
                  </w:r>
                </w:p>
              </w:tc>
              <w:tc>
                <w:tcPr>
                  <w:tcW w:w="1000" w:type="dxa"/>
                  <w:tcBorders>
                    <w:tl2br w:val="nil"/>
                    <w:tr2bl w:val="nil"/>
                  </w:tcBorders>
                  <w:vAlign w:val="center"/>
                </w:tcPr>
                <w:p w14:paraId="4F4EBCDB">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3678284</w:t>
                  </w:r>
                </w:p>
              </w:tc>
              <w:tc>
                <w:tcPr>
                  <w:tcW w:w="1467" w:type="dxa"/>
                  <w:tcBorders>
                    <w:tl2br w:val="nil"/>
                    <w:tr2bl w:val="nil"/>
                  </w:tcBorders>
                  <w:vAlign w:val="center"/>
                </w:tcPr>
                <w:p w14:paraId="3D99F676">
                  <w:pPr>
                    <w:widowControl/>
                    <w:jc w:val="center"/>
                    <w:textAlignment w:val="center"/>
                    <w:rPr>
                      <w:color w:val="auto"/>
                      <w:sz w:val="21"/>
                      <w:szCs w:val="21"/>
                      <w:highlight w:val="none"/>
                    </w:rPr>
                  </w:pPr>
                  <w:r>
                    <w:rPr>
                      <w:rFonts w:hint="eastAsia"/>
                      <w:color w:val="auto"/>
                      <w:sz w:val="21"/>
                      <w:szCs w:val="21"/>
                      <w:highlight w:val="none"/>
                      <w:lang w:val="en-US" w:eastAsia="zh-CN"/>
                    </w:rPr>
                    <w:t>戚氏初级中学</w:t>
                  </w:r>
                </w:p>
              </w:tc>
              <w:tc>
                <w:tcPr>
                  <w:tcW w:w="733" w:type="dxa"/>
                  <w:vMerge w:val="restart"/>
                  <w:tcBorders>
                    <w:tl2br w:val="nil"/>
                    <w:tr2bl w:val="nil"/>
                  </w:tcBorders>
                  <w:vAlign w:val="center"/>
                </w:tcPr>
                <w:p w14:paraId="2D0D4A6F">
                  <w:pPr>
                    <w:spacing w:beforeLines="30" w:afterLines="30" w:line="240" w:lineRule="exact"/>
                    <w:jc w:val="center"/>
                    <w:rPr>
                      <w:color w:val="auto"/>
                      <w:highlight w:val="none"/>
                    </w:rPr>
                  </w:pPr>
                  <w:r>
                    <w:rPr>
                      <w:rFonts w:hint="eastAsia"/>
                      <w:color w:val="auto"/>
                      <w:highlight w:val="none"/>
                    </w:rPr>
                    <w:t>居民</w:t>
                  </w:r>
                </w:p>
              </w:tc>
              <w:tc>
                <w:tcPr>
                  <w:tcW w:w="1017" w:type="dxa"/>
                  <w:vMerge w:val="restart"/>
                  <w:tcBorders>
                    <w:tl2br w:val="nil"/>
                    <w:tr2bl w:val="nil"/>
                  </w:tcBorders>
                  <w:vAlign w:val="center"/>
                </w:tcPr>
                <w:p w14:paraId="7FD80AC5">
                  <w:pPr>
                    <w:spacing w:beforeLines="30" w:afterLines="30" w:line="240" w:lineRule="exact"/>
                    <w:jc w:val="center"/>
                    <w:rPr>
                      <w:color w:val="auto"/>
                      <w:highlight w:val="none"/>
                    </w:rPr>
                  </w:pPr>
                  <w:r>
                    <w:rPr>
                      <w:rFonts w:hint="eastAsia"/>
                      <w:color w:val="auto"/>
                      <w:highlight w:val="none"/>
                    </w:rPr>
                    <w:t>环境空气二类区</w:t>
                  </w:r>
                </w:p>
              </w:tc>
              <w:tc>
                <w:tcPr>
                  <w:tcW w:w="900" w:type="dxa"/>
                  <w:tcBorders>
                    <w:tl2br w:val="nil"/>
                    <w:tr2bl w:val="nil"/>
                  </w:tcBorders>
                  <w:vAlign w:val="center"/>
                </w:tcPr>
                <w:p w14:paraId="292153B0">
                  <w:pPr>
                    <w:spacing w:beforeLines="30" w:afterLines="30" w:line="240" w:lineRule="exact"/>
                    <w:jc w:val="center"/>
                    <w:rPr>
                      <w:rFonts w:hint="eastAsia" w:eastAsia="宋体"/>
                      <w:color w:val="auto"/>
                      <w:highlight w:val="none"/>
                      <w:lang w:eastAsia="zh-CN"/>
                    </w:rPr>
                  </w:pPr>
                  <w:r>
                    <w:rPr>
                      <w:rFonts w:hint="eastAsia"/>
                      <w:color w:val="auto"/>
                      <w:highlight w:val="none"/>
                      <w:lang w:val="en-US" w:eastAsia="zh-CN"/>
                    </w:rPr>
                    <w:t>N</w:t>
                  </w:r>
                </w:p>
              </w:tc>
              <w:tc>
                <w:tcPr>
                  <w:tcW w:w="1423" w:type="dxa"/>
                  <w:tcBorders>
                    <w:tl2br w:val="nil"/>
                    <w:tr2bl w:val="nil"/>
                  </w:tcBorders>
                  <w:vAlign w:val="center"/>
                </w:tcPr>
                <w:p w14:paraId="3C7CF9AA">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410</w:t>
                  </w:r>
                </w:p>
              </w:tc>
            </w:tr>
            <w:tr w14:paraId="1814C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42133BC3">
                  <w:pPr>
                    <w:spacing w:beforeLines="30" w:afterLines="30" w:line="240" w:lineRule="exact"/>
                    <w:jc w:val="center"/>
                    <w:rPr>
                      <w:color w:val="auto"/>
                      <w:highlight w:val="none"/>
                    </w:rPr>
                  </w:pPr>
                  <w:r>
                    <w:rPr>
                      <w:rFonts w:hint="eastAsia"/>
                      <w:color w:val="auto"/>
                      <w:highlight w:val="none"/>
                    </w:rPr>
                    <w:t>2</w:t>
                  </w:r>
                </w:p>
              </w:tc>
              <w:tc>
                <w:tcPr>
                  <w:tcW w:w="900" w:type="dxa"/>
                  <w:tcBorders>
                    <w:tl2br w:val="nil"/>
                    <w:tr2bl w:val="nil"/>
                  </w:tcBorders>
                  <w:vAlign w:val="center"/>
                </w:tcPr>
                <w:p w14:paraId="5A1D063F">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732186</w:t>
                  </w:r>
                </w:p>
              </w:tc>
              <w:tc>
                <w:tcPr>
                  <w:tcW w:w="1000" w:type="dxa"/>
                  <w:tcBorders>
                    <w:tl2br w:val="nil"/>
                    <w:tr2bl w:val="nil"/>
                  </w:tcBorders>
                  <w:vAlign w:val="center"/>
                </w:tcPr>
                <w:p w14:paraId="03A5EE06">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3678215</w:t>
                  </w:r>
                </w:p>
              </w:tc>
              <w:tc>
                <w:tcPr>
                  <w:tcW w:w="1467" w:type="dxa"/>
                  <w:tcBorders>
                    <w:tl2br w:val="nil"/>
                    <w:tr2bl w:val="nil"/>
                  </w:tcBorders>
                  <w:vAlign w:val="center"/>
                </w:tcPr>
                <w:p w14:paraId="5D6EE579">
                  <w:pPr>
                    <w:spacing w:beforeLines="30" w:afterLines="30" w:line="240" w:lineRule="exact"/>
                    <w:jc w:val="center"/>
                    <w:rPr>
                      <w:color w:val="auto"/>
                      <w:sz w:val="21"/>
                      <w:szCs w:val="21"/>
                      <w:highlight w:val="none"/>
                    </w:rPr>
                  </w:pPr>
                  <w:r>
                    <w:rPr>
                      <w:rFonts w:hint="eastAsia"/>
                      <w:color w:val="auto"/>
                      <w:sz w:val="21"/>
                      <w:szCs w:val="21"/>
                      <w:highlight w:val="none"/>
                      <w:lang w:val="en-US" w:eastAsia="zh-CN"/>
                    </w:rPr>
                    <w:t>戚氏中心小学</w:t>
                  </w:r>
                </w:p>
              </w:tc>
              <w:tc>
                <w:tcPr>
                  <w:tcW w:w="733" w:type="dxa"/>
                  <w:vMerge w:val="continue"/>
                  <w:tcBorders>
                    <w:tl2br w:val="nil"/>
                    <w:tr2bl w:val="nil"/>
                  </w:tcBorders>
                  <w:vAlign w:val="center"/>
                </w:tcPr>
                <w:p w14:paraId="29A81513">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3311A1EB">
                  <w:pPr>
                    <w:spacing w:beforeLines="30" w:afterLines="30" w:line="240" w:lineRule="exact"/>
                    <w:jc w:val="center"/>
                    <w:rPr>
                      <w:color w:val="auto"/>
                      <w:highlight w:val="none"/>
                    </w:rPr>
                  </w:pPr>
                </w:p>
              </w:tc>
              <w:tc>
                <w:tcPr>
                  <w:tcW w:w="900" w:type="dxa"/>
                  <w:tcBorders>
                    <w:tl2br w:val="nil"/>
                    <w:tr2bl w:val="nil"/>
                  </w:tcBorders>
                  <w:vAlign w:val="center"/>
                </w:tcPr>
                <w:p w14:paraId="3E539426">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NE</w:t>
                  </w:r>
                </w:p>
              </w:tc>
              <w:tc>
                <w:tcPr>
                  <w:tcW w:w="1423" w:type="dxa"/>
                  <w:tcBorders>
                    <w:tl2br w:val="nil"/>
                    <w:tr2bl w:val="nil"/>
                  </w:tcBorders>
                  <w:vAlign w:val="center"/>
                </w:tcPr>
                <w:p w14:paraId="09018914">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340</w:t>
                  </w:r>
                </w:p>
              </w:tc>
            </w:tr>
            <w:tr w14:paraId="1F41D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0BC06999">
                  <w:pPr>
                    <w:spacing w:beforeLines="30" w:afterLines="30" w:line="240" w:lineRule="exact"/>
                    <w:jc w:val="center"/>
                    <w:rPr>
                      <w:color w:val="auto"/>
                      <w:highlight w:val="none"/>
                    </w:rPr>
                  </w:pPr>
                  <w:r>
                    <w:rPr>
                      <w:rFonts w:hint="eastAsia"/>
                      <w:color w:val="auto"/>
                      <w:highlight w:val="none"/>
                    </w:rPr>
                    <w:t>3</w:t>
                  </w:r>
                </w:p>
              </w:tc>
              <w:tc>
                <w:tcPr>
                  <w:tcW w:w="900" w:type="dxa"/>
                  <w:tcBorders>
                    <w:tl2br w:val="nil"/>
                    <w:tr2bl w:val="nil"/>
                  </w:tcBorders>
                  <w:vAlign w:val="center"/>
                </w:tcPr>
                <w:p w14:paraId="3BA4DA74">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732372</w:t>
                  </w:r>
                </w:p>
              </w:tc>
              <w:tc>
                <w:tcPr>
                  <w:tcW w:w="1000" w:type="dxa"/>
                  <w:tcBorders>
                    <w:tl2br w:val="nil"/>
                    <w:tr2bl w:val="nil"/>
                  </w:tcBorders>
                  <w:vAlign w:val="center"/>
                </w:tcPr>
                <w:p w14:paraId="031442ED">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3678275</w:t>
                  </w:r>
                </w:p>
              </w:tc>
              <w:tc>
                <w:tcPr>
                  <w:tcW w:w="1467" w:type="dxa"/>
                  <w:tcBorders>
                    <w:tl2br w:val="nil"/>
                    <w:tr2bl w:val="nil"/>
                  </w:tcBorders>
                  <w:vAlign w:val="center"/>
                </w:tcPr>
                <w:p w14:paraId="4936BFAB">
                  <w:pPr>
                    <w:spacing w:beforeLines="30" w:afterLines="30" w:line="240" w:lineRule="exact"/>
                    <w:jc w:val="center"/>
                    <w:rPr>
                      <w:color w:val="auto"/>
                      <w:sz w:val="21"/>
                      <w:szCs w:val="21"/>
                      <w:highlight w:val="none"/>
                    </w:rPr>
                  </w:pPr>
                  <w:r>
                    <w:rPr>
                      <w:rFonts w:hint="eastAsia"/>
                      <w:color w:val="auto"/>
                      <w:sz w:val="21"/>
                      <w:szCs w:val="21"/>
                      <w:highlight w:val="none"/>
                      <w:lang w:val="en-US" w:eastAsia="zh-CN"/>
                    </w:rPr>
                    <w:t>戚氏村住户</w:t>
                  </w:r>
                </w:p>
              </w:tc>
              <w:tc>
                <w:tcPr>
                  <w:tcW w:w="733" w:type="dxa"/>
                  <w:vMerge w:val="continue"/>
                  <w:tcBorders>
                    <w:tl2br w:val="nil"/>
                    <w:tr2bl w:val="nil"/>
                  </w:tcBorders>
                  <w:vAlign w:val="center"/>
                </w:tcPr>
                <w:p w14:paraId="450561EF">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2C5813F1">
                  <w:pPr>
                    <w:spacing w:beforeLines="30" w:afterLines="30" w:line="240" w:lineRule="exact"/>
                    <w:jc w:val="center"/>
                    <w:rPr>
                      <w:color w:val="auto"/>
                      <w:highlight w:val="none"/>
                    </w:rPr>
                  </w:pPr>
                </w:p>
              </w:tc>
              <w:tc>
                <w:tcPr>
                  <w:tcW w:w="900" w:type="dxa"/>
                  <w:tcBorders>
                    <w:tl2br w:val="nil"/>
                    <w:tr2bl w:val="nil"/>
                  </w:tcBorders>
                  <w:vAlign w:val="center"/>
                </w:tcPr>
                <w:p w14:paraId="64182094">
                  <w:pPr>
                    <w:spacing w:beforeLines="30" w:afterLines="30" w:line="240" w:lineRule="exact"/>
                    <w:jc w:val="center"/>
                    <w:rPr>
                      <w:color w:val="auto"/>
                      <w:highlight w:val="none"/>
                    </w:rPr>
                  </w:pPr>
                  <w:r>
                    <w:rPr>
                      <w:rFonts w:hint="eastAsia"/>
                      <w:color w:val="auto"/>
                      <w:highlight w:val="none"/>
                      <w:lang w:val="en-US" w:eastAsia="zh-CN"/>
                    </w:rPr>
                    <w:t>NE</w:t>
                  </w:r>
                </w:p>
              </w:tc>
              <w:tc>
                <w:tcPr>
                  <w:tcW w:w="1423" w:type="dxa"/>
                  <w:tcBorders>
                    <w:tl2br w:val="nil"/>
                    <w:tr2bl w:val="nil"/>
                  </w:tcBorders>
                  <w:vAlign w:val="center"/>
                </w:tcPr>
                <w:p w14:paraId="0FC0CA31">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460</w:t>
                  </w:r>
                </w:p>
              </w:tc>
            </w:tr>
            <w:tr w14:paraId="17499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537231F4">
                  <w:pPr>
                    <w:spacing w:beforeLines="30" w:afterLines="30" w:line="240" w:lineRule="exact"/>
                    <w:jc w:val="center"/>
                    <w:rPr>
                      <w:color w:val="auto"/>
                      <w:highlight w:val="none"/>
                    </w:rPr>
                  </w:pPr>
                  <w:r>
                    <w:rPr>
                      <w:rFonts w:hint="eastAsia"/>
                      <w:color w:val="auto"/>
                      <w:highlight w:val="none"/>
                    </w:rPr>
                    <w:t>4</w:t>
                  </w:r>
                </w:p>
              </w:tc>
              <w:tc>
                <w:tcPr>
                  <w:tcW w:w="900" w:type="dxa"/>
                  <w:tcBorders>
                    <w:tl2br w:val="nil"/>
                    <w:tr2bl w:val="nil"/>
                  </w:tcBorders>
                  <w:vAlign w:val="center"/>
                </w:tcPr>
                <w:p w14:paraId="048E0252">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731975</w:t>
                  </w:r>
                </w:p>
              </w:tc>
              <w:tc>
                <w:tcPr>
                  <w:tcW w:w="1000" w:type="dxa"/>
                  <w:tcBorders>
                    <w:tl2br w:val="nil"/>
                    <w:tr2bl w:val="nil"/>
                  </w:tcBorders>
                  <w:vAlign w:val="center"/>
                </w:tcPr>
                <w:p w14:paraId="51EAC75D">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3677859</w:t>
                  </w:r>
                </w:p>
              </w:tc>
              <w:tc>
                <w:tcPr>
                  <w:tcW w:w="1467" w:type="dxa"/>
                  <w:tcBorders>
                    <w:tl2br w:val="nil"/>
                    <w:tr2bl w:val="nil"/>
                  </w:tcBorders>
                  <w:vAlign w:val="center"/>
                </w:tcPr>
                <w:p w14:paraId="2E2DA1BB">
                  <w:pPr>
                    <w:spacing w:beforeLines="30" w:afterLines="30" w:line="240" w:lineRule="exact"/>
                    <w:jc w:val="center"/>
                    <w:rPr>
                      <w:color w:val="auto"/>
                      <w:sz w:val="21"/>
                      <w:szCs w:val="21"/>
                      <w:highlight w:val="none"/>
                    </w:rPr>
                  </w:pPr>
                  <w:r>
                    <w:rPr>
                      <w:rFonts w:hint="eastAsia"/>
                      <w:color w:val="auto"/>
                      <w:sz w:val="21"/>
                      <w:szCs w:val="21"/>
                      <w:highlight w:val="none"/>
                      <w:lang w:val="en-US" w:eastAsia="zh-CN"/>
                    </w:rPr>
                    <w:t>戚氏村住户</w:t>
                  </w:r>
                </w:p>
              </w:tc>
              <w:tc>
                <w:tcPr>
                  <w:tcW w:w="733" w:type="dxa"/>
                  <w:vMerge w:val="continue"/>
                  <w:tcBorders>
                    <w:tl2br w:val="nil"/>
                    <w:tr2bl w:val="nil"/>
                  </w:tcBorders>
                  <w:vAlign w:val="center"/>
                </w:tcPr>
                <w:p w14:paraId="57C0A839">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64686FD5">
                  <w:pPr>
                    <w:spacing w:beforeLines="30" w:afterLines="30" w:line="240" w:lineRule="exact"/>
                    <w:jc w:val="center"/>
                    <w:rPr>
                      <w:color w:val="auto"/>
                      <w:highlight w:val="none"/>
                    </w:rPr>
                  </w:pPr>
                </w:p>
              </w:tc>
              <w:tc>
                <w:tcPr>
                  <w:tcW w:w="900" w:type="dxa"/>
                  <w:tcBorders>
                    <w:tl2br w:val="nil"/>
                    <w:tr2bl w:val="nil"/>
                  </w:tcBorders>
                  <w:vAlign w:val="center"/>
                </w:tcPr>
                <w:p w14:paraId="3991DCF5">
                  <w:pPr>
                    <w:spacing w:beforeLines="30" w:afterLines="30" w:line="240" w:lineRule="exact"/>
                    <w:jc w:val="center"/>
                    <w:rPr>
                      <w:rFonts w:hint="eastAsia" w:eastAsia="宋体"/>
                      <w:color w:val="auto"/>
                      <w:highlight w:val="none"/>
                      <w:lang w:eastAsia="zh-CN"/>
                    </w:rPr>
                  </w:pPr>
                  <w:r>
                    <w:rPr>
                      <w:rFonts w:hint="eastAsia"/>
                      <w:color w:val="auto"/>
                      <w:highlight w:val="none"/>
                      <w:lang w:val="en-US" w:eastAsia="zh-CN"/>
                    </w:rPr>
                    <w:t>W</w:t>
                  </w:r>
                </w:p>
              </w:tc>
              <w:tc>
                <w:tcPr>
                  <w:tcW w:w="1423" w:type="dxa"/>
                  <w:tcBorders>
                    <w:tl2br w:val="nil"/>
                    <w:tr2bl w:val="nil"/>
                  </w:tcBorders>
                  <w:vAlign w:val="center"/>
                </w:tcPr>
                <w:p w14:paraId="091CC891">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75</w:t>
                  </w:r>
                </w:p>
              </w:tc>
            </w:tr>
            <w:tr w14:paraId="100D4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684" w:type="dxa"/>
                  <w:tcBorders>
                    <w:tl2br w:val="nil"/>
                    <w:tr2bl w:val="nil"/>
                  </w:tcBorders>
                  <w:vAlign w:val="center"/>
                </w:tcPr>
                <w:p w14:paraId="24B1EFC0">
                  <w:pPr>
                    <w:spacing w:beforeLines="30" w:afterLines="30" w:line="240" w:lineRule="exact"/>
                    <w:jc w:val="center"/>
                    <w:rPr>
                      <w:rFonts w:hint="eastAsia" w:eastAsia="宋体"/>
                      <w:color w:val="auto"/>
                      <w:highlight w:val="none"/>
                      <w:lang w:val="en-US" w:eastAsia="zh-CN"/>
                    </w:rPr>
                  </w:pPr>
                  <w:r>
                    <w:rPr>
                      <w:rFonts w:hint="eastAsia"/>
                      <w:color w:val="auto"/>
                      <w:highlight w:val="none"/>
                      <w:lang w:val="en-US" w:eastAsia="zh-CN"/>
                    </w:rPr>
                    <w:t>5</w:t>
                  </w:r>
                </w:p>
              </w:tc>
              <w:tc>
                <w:tcPr>
                  <w:tcW w:w="900" w:type="dxa"/>
                  <w:tcBorders>
                    <w:tl2br w:val="nil"/>
                    <w:tr2bl w:val="nil"/>
                  </w:tcBorders>
                  <w:vAlign w:val="center"/>
                </w:tcPr>
                <w:p w14:paraId="482EB198">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732378</w:t>
                  </w:r>
                </w:p>
              </w:tc>
              <w:tc>
                <w:tcPr>
                  <w:tcW w:w="1000" w:type="dxa"/>
                  <w:tcBorders>
                    <w:tl2br w:val="nil"/>
                    <w:tr2bl w:val="nil"/>
                  </w:tcBorders>
                  <w:vAlign w:val="center"/>
                </w:tcPr>
                <w:p w14:paraId="0213F27F">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3677436</w:t>
                  </w:r>
                </w:p>
              </w:tc>
              <w:tc>
                <w:tcPr>
                  <w:tcW w:w="2200" w:type="dxa"/>
                  <w:gridSpan w:val="2"/>
                  <w:tcBorders>
                    <w:tl2br w:val="nil"/>
                    <w:tr2bl w:val="nil"/>
                  </w:tcBorders>
                  <w:vAlign w:val="center"/>
                </w:tcPr>
                <w:p w14:paraId="3A503850">
                  <w:pPr>
                    <w:spacing w:beforeLines="30" w:afterLines="30" w:line="240" w:lineRule="exact"/>
                    <w:jc w:val="center"/>
                    <w:rPr>
                      <w:color w:val="auto"/>
                      <w:highlight w:val="none"/>
                    </w:rPr>
                  </w:pPr>
                  <w:r>
                    <w:rPr>
                      <w:rFonts w:hint="eastAsia"/>
                      <w:color w:val="auto"/>
                      <w:highlight w:val="none"/>
                      <w:lang w:eastAsia="zh-CN"/>
                    </w:rPr>
                    <w:t>陕西汉江湿地省级自然保护区</w:t>
                  </w:r>
                </w:p>
              </w:tc>
              <w:tc>
                <w:tcPr>
                  <w:tcW w:w="1017" w:type="dxa"/>
                  <w:tcBorders>
                    <w:tl2br w:val="nil"/>
                    <w:tr2bl w:val="nil"/>
                  </w:tcBorders>
                  <w:vAlign w:val="center"/>
                </w:tcPr>
                <w:p w14:paraId="04A91656">
                  <w:pPr>
                    <w:spacing w:beforeLines="30" w:afterLines="30" w:line="240" w:lineRule="exact"/>
                    <w:jc w:val="center"/>
                    <w:rPr>
                      <w:color w:val="auto"/>
                      <w:highlight w:val="none"/>
                    </w:rPr>
                  </w:pPr>
                  <w:r>
                    <w:rPr>
                      <w:rFonts w:hint="eastAsia"/>
                      <w:color w:val="auto"/>
                      <w:highlight w:val="none"/>
                    </w:rPr>
                    <w:t>环境空气</w:t>
                  </w:r>
                  <w:r>
                    <w:rPr>
                      <w:rFonts w:hint="eastAsia"/>
                      <w:color w:val="auto"/>
                      <w:highlight w:val="none"/>
                      <w:lang w:eastAsia="zh-CN"/>
                    </w:rPr>
                    <w:t>一类区</w:t>
                  </w:r>
                </w:p>
              </w:tc>
              <w:tc>
                <w:tcPr>
                  <w:tcW w:w="900" w:type="dxa"/>
                  <w:tcBorders>
                    <w:tl2br w:val="nil"/>
                    <w:tr2bl w:val="nil"/>
                  </w:tcBorders>
                  <w:vAlign w:val="center"/>
                </w:tcPr>
                <w:p w14:paraId="0463FCD8">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SE</w:t>
                  </w:r>
                </w:p>
              </w:tc>
              <w:tc>
                <w:tcPr>
                  <w:tcW w:w="1423" w:type="dxa"/>
                  <w:tcBorders>
                    <w:tl2br w:val="nil"/>
                    <w:tr2bl w:val="nil"/>
                  </w:tcBorders>
                  <w:vAlign w:val="center"/>
                </w:tcPr>
                <w:p w14:paraId="16BCF674">
                  <w:pPr>
                    <w:spacing w:beforeLines="30" w:afterLines="30" w:line="240" w:lineRule="exact"/>
                    <w:jc w:val="center"/>
                    <w:rPr>
                      <w:rFonts w:hint="default" w:eastAsia="宋体"/>
                      <w:color w:val="auto"/>
                      <w:highlight w:val="none"/>
                      <w:lang w:val="en-US" w:eastAsia="zh-CN"/>
                    </w:rPr>
                  </w:pPr>
                  <w:r>
                    <w:rPr>
                      <w:rFonts w:hint="eastAsia"/>
                      <w:color w:val="auto"/>
                      <w:highlight w:val="none"/>
                      <w:lang w:val="en-US" w:eastAsia="zh-CN"/>
                    </w:rPr>
                    <w:t>300</w:t>
                  </w:r>
                </w:p>
              </w:tc>
            </w:tr>
          </w:tbl>
          <w:p w14:paraId="0E141890">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rPr>
              <w:t>二、</w:t>
            </w:r>
            <w:r>
              <w:rPr>
                <w:b/>
                <w:bCs/>
                <w:color w:val="auto"/>
                <w:sz w:val="24"/>
                <w:highlight w:val="none"/>
              </w:rPr>
              <w:t>地下水环境保护目标</w:t>
            </w:r>
          </w:p>
          <w:p w14:paraId="0802B0B0">
            <w:pPr>
              <w:pStyle w:val="2"/>
              <w:spacing w:line="360" w:lineRule="auto"/>
              <w:ind w:firstLine="480" w:firstLineChars="200"/>
              <w:rPr>
                <w:color w:val="auto"/>
                <w:sz w:val="24"/>
                <w:highlight w:val="none"/>
              </w:rPr>
            </w:pPr>
            <w:r>
              <w:rPr>
                <w:rFonts w:hint="eastAsia" w:ascii="Times New Roman" w:hAnsi="Times New Roman" w:cs="Times New Roman"/>
                <w:color w:val="auto"/>
                <w:highlight w:val="none"/>
              </w:rPr>
              <w:t>根据现场调查，本</w:t>
            </w:r>
            <w:r>
              <w:rPr>
                <w:color w:val="auto"/>
                <w:highlight w:val="none"/>
              </w:rPr>
              <w:t>项目厂界外</w:t>
            </w:r>
            <w:r>
              <w:rPr>
                <w:rFonts w:ascii="Times New Roman" w:hAnsi="Times New Roman" w:cs="Times New Roman"/>
                <w:color w:val="auto"/>
                <w:highlight w:val="none"/>
              </w:rPr>
              <w:t>500m</w:t>
            </w:r>
            <w:r>
              <w:rPr>
                <w:color w:val="auto"/>
                <w:highlight w:val="none"/>
              </w:rPr>
              <w:t>范围内无</w:t>
            </w:r>
            <w:r>
              <w:rPr>
                <w:rFonts w:hint="eastAsia"/>
                <w:color w:val="auto"/>
                <w:highlight w:val="none"/>
              </w:rPr>
              <w:t>其他</w:t>
            </w:r>
            <w:r>
              <w:rPr>
                <w:color w:val="auto"/>
                <w:highlight w:val="none"/>
              </w:rPr>
              <w:t>地下水集中式饮用水水源和热水、矿泉水、温泉等特殊地下水资源。</w:t>
            </w:r>
          </w:p>
          <w:p w14:paraId="72F38087">
            <w:pPr>
              <w:pStyle w:val="2"/>
              <w:spacing w:line="360" w:lineRule="auto"/>
              <w:ind w:firstLine="482"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三、声环境保护目标</w:t>
            </w:r>
          </w:p>
          <w:p w14:paraId="30FD0A81">
            <w:pPr>
              <w:pStyle w:val="44"/>
              <w:spacing w:line="360" w:lineRule="auto"/>
              <w:ind w:left="0" w:firstLine="480" w:firstLineChars="200"/>
              <w:rPr>
                <w:rFonts w:ascii="Times New Roman"/>
                <w:b w:val="0"/>
                <w:bCs w:val="0"/>
                <w:color w:val="auto"/>
                <w:sz w:val="24"/>
                <w:szCs w:val="24"/>
                <w:highlight w:val="none"/>
              </w:rPr>
            </w:pPr>
            <w:r>
              <w:rPr>
                <w:rFonts w:hint="eastAsia" w:ascii="Times New Roman"/>
                <w:b w:val="0"/>
                <w:bCs w:val="0"/>
                <w:color w:val="auto"/>
                <w:sz w:val="24"/>
                <w:szCs w:val="24"/>
                <w:highlight w:val="none"/>
              </w:rPr>
              <w:t>由于本项目50m范围内无住户，因此本次无声环境保护目标。</w:t>
            </w:r>
          </w:p>
          <w:p w14:paraId="2CAECDC2">
            <w:pPr>
              <w:pStyle w:val="45"/>
              <w:spacing w:line="360" w:lineRule="auto"/>
              <w:ind w:left="480"/>
              <w:rPr>
                <w:b/>
                <w:bCs/>
                <w:color w:val="auto"/>
                <w:highlight w:val="none"/>
              </w:rPr>
            </w:pPr>
            <w:r>
              <w:rPr>
                <w:rFonts w:hint="eastAsia"/>
                <w:b/>
                <w:bCs/>
                <w:color w:val="auto"/>
                <w:highlight w:val="none"/>
              </w:rPr>
              <w:t>四、生态环境保护目标</w:t>
            </w:r>
          </w:p>
          <w:p w14:paraId="2975FD68">
            <w:pPr>
              <w:autoSpaceDE w:val="0"/>
              <w:autoSpaceDN w:val="0"/>
              <w:adjustRightInd w:val="0"/>
              <w:snapToGrid w:val="0"/>
              <w:spacing w:line="360" w:lineRule="auto"/>
              <w:ind w:firstLine="435"/>
              <w:jc w:val="left"/>
              <w:rPr>
                <w:rFonts w:hint="eastAsia" w:eastAsia="宋体"/>
                <w:color w:val="auto"/>
                <w:highlight w:val="none"/>
                <w:lang w:eastAsia="zh-CN"/>
              </w:rPr>
            </w:pPr>
            <w:r>
              <w:rPr>
                <w:rFonts w:hint="eastAsia"/>
                <w:color w:val="auto"/>
                <w:sz w:val="24"/>
                <w:highlight w:val="none"/>
              </w:rPr>
              <w:t>本项目位于产业园区</w:t>
            </w:r>
            <w:r>
              <w:rPr>
                <w:rFonts w:hint="eastAsia"/>
                <w:color w:val="auto"/>
                <w:sz w:val="24"/>
                <w:highlight w:val="none"/>
                <w:lang w:eastAsia="zh-CN"/>
              </w:rPr>
              <w:t>内</w:t>
            </w:r>
            <w:r>
              <w:rPr>
                <w:rFonts w:hint="eastAsia"/>
                <w:color w:val="auto"/>
                <w:sz w:val="24"/>
                <w:highlight w:val="none"/>
              </w:rPr>
              <w:t>，</w:t>
            </w:r>
            <w:r>
              <w:rPr>
                <w:rFonts w:hint="eastAsia"/>
                <w:color w:val="auto"/>
                <w:sz w:val="24"/>
                <w:highlight w:val="none"/>
                <w:lang w:eastAsia="zh-CN"/>
              </w:rPr>
              <w:t>原有厂区内进行建设，</w:t>
            </w:r>
            <w:r>
              <w:rPr>
                <w:rFonts w:hint="eastAsia"/>
                <w:color w:val="auto"/>
                <w:sz w:val="24"/>
                <w:highlight w:val="none"/>
              </w:rPr>
              <w:t>不新增用地，</w:t>
            </w:r>
            <w:r>
              <w:rPr>
                <w:color w:val="auto"/>
                <w:kern w:val="0"/>
                <w:sz w:val="24"/>
                <w:highlight w:val="none"/>
              </w:rPr>
              <w:t>用地范围内无生态环境保护目标</w:t>
            </w:r>
            <w:r>
              <w:rPr>
                <w:rFonts w:hint="eastAsia"/>
                <w:color w:val="auto"/>
                <w:kern w:val="0"/>
                <w:sz w:val="24"/>
                <w:highlight w:val="none"/>
              </w:rPr>
              <w:t>。</w:t>
            </w:r>
          </w:p>
        </w:tc>
      </w:tr>
      <w:tr w14:paraId="51C56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left w:w="28" w:type="dxa"/>
              <w:right w:w="28" w:type="dxa"/>
            </w:tcMar>
            <w:vAlign w:val="center"/>
          </w:tcPr>
          <w:p w14:paraId="62A2C5E8">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14:paraId="1D5EE66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14:paraId="6A093F0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14:paraId="2801F7F3">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14:paraId="427E5FA3">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准</w:t>
            </w:r>
          </w:p>
        </w:tc>
        <w:tc>
          <w:tcPr>
            <w:tcW w:w="8312" w:type="dxa"/>
            <w:vAlign w:val="center"/>
          </w:tcPr>
          <w:p w14:paraId="68D4B57B">
            <w:pPr>
              <w:snapToGrid w:val="0"/>
              <w:spacing w:line="360" w:lineRule="auto"/>
              <w:ind w:firstLine="480" w:firstLineChars="200"/>
              <w:rPr>
                <w:color w:val="auto"/>
                <w:sz w:val="24"/>
                <w:highlight w:val="none"/>
              </w:rPr>
            </w:pPr>
            <w:r>
              <w:rPr>
                <w:rFonts w:hint="eastAsia"/>
                <w:color w:val="auto"/>
                <w:sz w:val="24"/>
                <w:highlight w:val="none"/>
              </w:rPr>
              <w:t>1、</w:t>
            </w:r>
            <w:r>
              <w:rPr>
                <w:rFonts w:hint="eastAsia"/>
                <w:color w:val="auto"/>
                <w:sz w:val="24"/>
                <w:highlight w:val="none"/>
                <w:lang w:eastAsia="zh-CN"/>
              </w:rPr>
              <w:t>变动前后废水处理措施维持不变。</w:t>
            </w:r>
            <w:r>
              <w:rPr>
                <w:rFonts w:hint="eastAsia"/>
                <w:color w:val="auto"/>
                <w:sz w:val="24"/>
                <w:highlight w:val="none"/>
              </w:rPr>
              <w:t>餐饮废水经油水分离器处理后，同生活污水一起排入厂区化粪池，处理后用于周边</w:t>
            </w:r>
            <w:r>
              <w:rPr>
                <w:rFonts w:hint="eastAsia"/>
                <w:color w:val="auto"/>
                <w:sz w:val="24"/>
                <w:highlight w:val="none"/>
                <w:lang w:val="en-US" w:eastAsia="zh-CN"/>
              </w:rPr>
              <w:t>农田施肥；洗车废水经配套沉淀池处理后回用，不外排</w:t>
            </w:r>
            <w:r>
              <w:rPr>
                <w:rFonts w:hint="eastAsia"/>
                <w:color w:val="auto"/>
                <w:sz w:val="24"/>
                <w:highlight w:val="none"/>
              </w:rPr>
              <w:t>。</w:t>
            </w:r>
          </w:p>
          <w:p w14:paraId="348443A4">
            <w:pPr>
              <w:snapToGrid w:val="0"/>
              <w:spacing w:line="360" w:lineRule="auto"/>
              <w:ind w:firstLine="480" w:firstLineChars="200"/>
              <w:rPr>
                <w:b/>
                <w:bCs/>
                <w:color w:val="auto"/>
                <w:kern w:val="0"/>
                <w:szCs w:val="21"/>
                <w:highlight w:val="none"/>
              </w:rPr>
            </w:pPr>
            <w:r>
              <w:rPr>
                <w:rFonts w:hint="eastAsia"/>
                <w:color w:val="auto"/>
                <w:sz w:val="24"/>
                <w:highlight w:val="none"/>
              </w:rPr>
              <w:t>2、</w:t>
            </w:r>
            <w:r>
              <w:rPr>
                <w:rFonts w:hint="eastAsia"/>
                <w:color w:val="auto"/>
                <w:sz w:val="24"/>
                <w:highlight w:val="none"/>
                <w:lang w:eastAsia="zh-CN"/>
              </w:rPr>
              <w:t>变动前厂区运营期废气执行</w:t>
            </w:r>
            <w:r>
              <w:rPr>
                <w:color w:val="auto"/>
                <w:kern w:val="0"/>
                <w:sz w:val="24"/>
                <w:highlight w:val="none"/>
              </w:rPr>
              <w:t>《大气污染物综合排放标准》（GB16297-1996）</w:t>
            </w:r>
            <w:r>
              <w:rPr>
                <w:rFonts w:hint="eastAsia"/>
                <w:color w:val="auto"/>
                <w:kern w:val="0"/>
                <w:sz w:val="24"/>
                <w:highlight w:val="none"/>
                <w:lang w:val="en-US" w:eastAsia="zh-CN"/>
              </w:rPr>
              <w:t>中</w:t>
            </w:r>
            <w:r>
              <w:rPr>
                <w:rFonts w:hint="eastAsia"/>
                <w:color w:val="auto"/>
                <w:kern w:val="0"/>
                <w:sz w:val="24"/>
                <w:highlight w:val="none"/>
                <w:lang w:eastAsia="zh-CN"/>
              </w:rPr>
              <w:t>排放限值要求；</w:t>
            </w:r>
            <w:r>
              <w:rPr>
                <w:rFonts w:hint="eastAsia"/>
                <w:color w:val="auto"/>
                <w:sz w:val="24"/>
                <w:highlight w:val="none"/>
                <w:lang w:eastAsia="zh-CN"/>
              </w:rPr>
              <w:t>变动期间</w:t>
            </w:r>
            <w:r>
              <w:rPr>
                <w:rFonts w:hint="eastAsia"/>
                <w:color w:val="auto"/>
                <w:sz w:val="24"/>
                <w:highlight w:val="none"/>
              </w:rPr>
              <w:t>施工期扬尘排放执行《施工场界扬尘排放限值》（</w:t>
            </w:r>
            <w:r>
              <w:rPr>
                <w:color w:val="auto"/>
                <w:sz w:val="24"/>
                <w:highlight w:val="none"/>
              </w:rPr>
              <w:t>DB61/1078-2017</w:t>
            </w:r>
            <w:r>
              <w:rPr>
                <w:rFonts w:hint="eastAsia"/>
                <w:color w:val="auto"/>
                <w:sz w:val="24"/>
                <w:highlight w:val="none"/>
              </w:rPr>
              <w:t>）排放限值；</w:t>
            </w:r>
            <w:r>
              <w:rPr>
                <w:rFonts w:hint="eastAsia"/>
                <w:color w:val="auto"/>
                <w:sz w:val="24"/>
                <w:highlight w:val="none"/>
                <w:lang w:eastAsia="zh-CN"/>
              </w:rPr>
              <w:t>本次变动完成后，厂区</w:t>
            </w:r>
            <w:r>
              <w:rPr>
                <w:color w:val="auto"/>
                <w:kern w:val="0"/>
                <w:sz w:val="24"/>
                <w:highlight w:val="none"/>
              </w:rPr>
              <w:t>运营期</w:t>
            </w:r>
            <w:r>
              <w:rPr>
                <w:rFonts w:hint="eastAsia"/>
                <w:color w:val="auto"/>
                <w:kern w:val="0"/>
                <w:sz w:val="24"/>
                <w:highlight w:val="none"/>
                <w:lang w:eastAsia="zh-CN"/>
              </w:rPr>
              <w:t>彩砂及钙粉生产线有组织废气执行</w:t>
            </w:r>
            <w:r>
              <w:rPr>
                <w:color w:val="auto"/>
                <w:kern w:val="0"/>
                <w:sz w:val="24"/>
                <w:highlight w:val="none"/>
              </w:rPr>
              <w:t>《大气污染物综合排放标准》（GB16297-1996）</w:t>
            </w:r>
            <w:r>
              <w:rPr>
                <w:rFonts w:hint="eastAsia"/>
                <w:color w:val="auto"/>
                <w:kern w:val="0"/>
                <w:sz w:val="24"/>
                <w:highlight w:val="none"/>
                <w:lang w:eastAsia="zh-CN"/>
              </w:rPr>
              <w:t>中排放限值要求，腻子粉、石膏粉及砂浆生产线有组织废气执行《水泥工业大气污染物排放标准》（GB4915-2013）表</w:t>
            </w:r>
            <w:r>
              <w:rPr>
                <w:rFonts w:hint="eastAsia"/>
                <w:color w:val="auto"/>
                <w:kern w:val="0"/>
                <w:sz w:val="24"/>
                <w:highlight w:val="none"/>
                <w:lang w:val="en-US" w:eastAsia="zh-CN"/>
              </w:rPr>
              <w:t>1中</w:t>
            </w:r>
            <w:r>
              <w:rPr>
                <w:rFonts w:hint="eastAsia"/>
                <w:color w:val="auto"/>
                <w:kern w:val="0"/>
                <w:sz w:val="24"/>
                <w:highlight w:val="none"/>
                <w:lang w:eastAsia="zh-CN"/>
              </w:rPr>
              <w:t>排放限值要求，无组织废气执行《水泥工业大气污染物排放标准》（GB4915-2013）表</w:t>
            </w:r>
            <w:r>
              <w:rPr>
                <w:rFonts w:hint="eastAsia"/>
                <w:color w:val="auto"/>
                <w:kern w:val="0"/>
                <w:sz w:val="24"/>
                <w:highlight w:val="none"/>
                <w:lang w:val="en-US" w:eastAsia="zh-CN"/>
              </w:rPr>
              <w:t>3中排放限值</w:t>
            </w:r>
            <w:r>
              <w:rPr>
                <w:rFonts w:hint="eastAsia"/>
                <w:color w:val="auto"/>
                <w:kern w:val="0"/>
                <w:sz w:val="24"/>
                <w:highlight w:val="none"/>
              </w:rPr>
              <w:t>。</w:t>
            </w:r>
          </w:p>
          <w:p w14:paraId="4BB03214">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lang w:val="en-US" w:eastAsia="zh-CN"/>
              </w:rPr>
              <w:t>5</w:t>
            </w:r>
            <w:r>
              <w:rPr>
                <w:b/>
                <w:bCs/>
                <w:color w:val="auto"/>
                <w:kern w:val="0"/>
                <w:szCs w:val="21"/>
                <w:highlight w:val="none"/>
              </w:rPr>
              <w:t xml:space="preserve">  废气排放标准一览表</w:t>
            </w:r>
          </w:p>
          <w:tbl>
            <w:tblPr>
              <w:tblStyle w:val="36"/>
              <w:tblW w:w="8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080"/>
              <w:gridCol w:w="1921"/>
              <w:gridCol w:w="1769"/>
              <w:gridCol w:w="2007"/>
            </w:tblGrid>
            <w:tr w14:paraId="0299D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tcBorders>
                    <w:tl2br w:val="nil"/>
                    <w:tr2bl w:val="nil"/>
                  </w:tcBorders>
                  <w:vAlign w:val="center"/>
                </w:tcPr>
                <w:p w14:paraId="2496D4E9">
                  <w:pPr>
                    <w:adjustRightInd w:val="0"/>
                    <w:snapToGrid w:val="0"/>
                    <w:jc w:val="center"/>
                    <w:rPr>
                      <w:b/>
                      <w:bCs/>
                      <w:color w:val="auto"/>
                      <w:kern w:val="0"/>
                      <w:szCs w:val="21"/>
                      <w:highlight w:val="none"/>
                    </w:rPr>
                  </w:pPr>
                  <w:r>
                    <w:rPr>
                      <w:b/>
                      <w:bCs/>
                      <w:color w:val="auto"/>
                      <w:kern w:val="0"/>
                      <w:szCs w:val="21"/>
                      <w:highlight w:val="none"/>
                    </w:rPr>
                    <w:t>污染物种类</w:t>
                  </w:r>
                </w:p>
              </w:tc>
              <w:tc>
                <w:tcPr>
                  <w:tcW w:w="6777" w:type="dxa"/>
                  <w:gridSpan w:val="4"/>
                  <w:tcBorders>
                    <w:tl2br w:val="nil"/>
                    <w:tr2bl w:val="nil"/>
                  </w:tcBorders>
                  <w:vAlign w:val="center"/>
                </w:tcPr>
                <w:p w14:paraId="1F31DC02">
                  <w:pPr>
                    <w:adjustRightInd w:val="0"/>
                    <w:snapToGrid w:val="0"/>
                    <w:jc w:val="center"/>
                    <w:rPr>
                      <w:b/>
                      <w:bCs/>
                      <w:color w:val="auto"/>
                      <w:kern w:val="0"/>
                      <w:szCs w:val="21"/>
                      <w:highlight w:val="none"/>
                    </w:rPr>
                  </w:pPr>
                  <w:r>
                    <w:rPr>
                      <w:rFonts w:hint="eastAsia"/>
                      <w:b/>
                      <w:bCs/>
                      <w:color w:val="auto"/>
                      <w:kern w:val="0"/>
                      <w:szCs w:val="21"/>
                      <w:highlight w:val="none"/>
                    </w:rPr>
                    <w:t>排放标准相关要求</w:t>
                  </w:r>
                </w:p>
              </w:tc>
            </w:tr>
            <w:tr w14:paraId="6C537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6" w:type="dxa"/>
                  <w:gridSpan w:val="5"/>
                  <w:tcBorders>
                    <w:tl2br w:val="nil"/>
                    <w:tr2bl w:val="nil"/>
                  </w:tcBorders>
                  <w:vAlign w:val="center"/>
                </w:tcPr>
                <w:p w14:paraId="0E5BD6ED">
                  <w:pPr>
                    <w:adjustRightInd w:val="0"/>
                    <w:snapToGrid w:val="0"/>
                    <w:jc w:val="center"/>
                    <w:rPr>
                      <w:b/>
                      <w:bCs/>
                      <w:color w:val="auto"/>
                      <w:kern w:val="0"/>
                      <w:szCs w:val="21"/>
                      <w:highlight w:val="none"/>
                    </w:rPr>
                  </w:pPr>
                  <w:r>
                    <w:rPr>
                      <w:rFonts w:hint="eastAsia"/>
                      <w:b/>
                      <w:bCs/>
                      <w:color w:val="auto"/>
                      <w:kern w:val="0"/>
                      <w:szCs w:val="21"/>
                      <w:highlight w:val="none"/>
                    </w:rPr>
                    <w:t>施工期</w:t>
                  </w:r>
                </w:p>
              </w:tc>
            </w:tr>
            <w:tr w14:paraId="02A21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restart"/>
                  <w:tcBorders>
                    <w:tl2br w:val="nil"/>
                    <w:tr2bl w:val="nil"/>
                  </w:tcBorders>
                  <w:vAlign w:val="center"/>
                </w:tcPr>
                <w:p w14:paraId="3CB12780">
                  <w:pPr>
                    <w:adjustRightInd w:val="0"/>
                    <w:snapToGrid w:val="0"/>
                    <w:jc w:val="center"/>
                    <w:rPr>
                      <w:color w:val="auto"/>
                      <w:kern w:val="0"/>
                      <w:szCs w:val="21"/>
                      <w:highlight w:val="none"/>
                    </w:rPr>
                  </w:pPr>
                  <w:r>
                    <w:rPr>
                      <w:rFonts w:hint="eastAsia"/>
                      <w:color w:val="auto"/>
                      <w:kern w:val="0"/>
                      <w:szCs w:val="21"/>
                      <w:highlight w:val="none"/>
                    </w:rPr>
                    <w:t>施工扬尘</w:t>
                  </w:r>
                </w:p>
              </w:tc>
              <w:tc>
                <w:tcPr>
                  <w:tcW w:w="1080" w:type="dxa"/>
                  <w:tcBorders>
                    <w:tl2br w:val="nil"/>
                    <w:tr2bl w:val="nil"/>
                  </w:tcBorders>
                  <w:vAlign w:val="center"/>
                </w:tcPr>
                <w:p w14:paraId="329D7DE3">
                  <w:pPr>
                    <w:adjustRightInd w:val="0"/>
                    <w:snapToGrid w:val="0"/>
                    <w:jc w:val="center"/>
                    <w:rPr>
                      <w:b/>
                      <w:color w:val="auto"/>
                      <w:kern w:val="0"/>
                      <w:szCs w:val="21"/>
                      <w:highlight w:val="none"/>
                    </w:rPr>
                  </w:pPr>
                  <w:r>
                    <w:rPr>
                      <w:b/>
                      <w:color w:val="auto"/>
                      <w:kern w:val="0"/>
                      <w:szCs w:val="21"/>
                      <w:highlight w:val="none"/>
                    </w:rPr>
                    <w:t>监控点</w:t>
                  </w:r>
                </w:p>
              </w:tc>
              <w:tc>
                <w:tcPr>
                  <w:tcW w:w="1921" w:type="dxa"/>
                  <w:tcBorders>
                    <w:tl2br w:val="nil"/>
                    <w:tr2bl w:val="nil"/>
                  </w:tcBorders>
                  <w:vAlign w:val="center"/>
                </w:tcPr>
                <w:p w14:paraId="5A5EB8EE">
                  <w:pPr>
                    <w:adjustRightInd w:val="0"/>
                    <w:snapToGrid w:val="0"/>
                    <w:jc w:val="center"/>
                    <w:rPr>
                      <w:b/>
                      <w:color w:val="auto"/>
                      <w:highlight w:val="none"/>
                    </w:rPr>
                  </w:pPr>
                  <w:r>
                    <w:rPr>
                      <w:rFonts w:hint="eastAsia"/>
                      <w:b/>
                      <w:color w:val="auto"/>
                      <w:highlight w:val="none"/>
                    </w:rPr>
                    <w:t>执行标准</w:t>
                  </w:r>
                </w:p>
              </w:tc>
              <w:tc>
                <w:tcPr>
                  <w:tcW w:w="1769" w:type="dxa"/>
                  <w:tcBorders>
                    <w:tl2br w:val="nil"/>
                    <w:tr2bl w:val="nil"/>
                  </w:tcBorders>
                  <w:vAlign w:val="center"/>
                </w:tcPr>
                <w:p w14:paraId="5D3DF730">
                  <w:pPr>
                    <w:adjustRightInd w:val="0"/>
                    <w:snapToGrid w:val="0"/>
                    <w:jc w:val="center"/>
                    <w:rPr>
                      <w:b/>
                      <w:bCs/>
                      <w:color w:val="auto"/>
                      <w:kern w:val="0"/>
                      <w:szCs w:val="21"/>
                      <w:highlight w:val="none"/>
                    </w:rPr>
                  </w:pPr>
                  <w:r>
                    <w:rPr>
                      <w:rFonts w:hint="eastAsia"/>
                      <w:b/>
                      <w:bCs/>
                      <w:color w:val="auto"/>
                      <w:kern w:val="0"/>
                      <w:szCs w:val="21"/>
                      <w:highlight w:val="none"/>
                    </w:rPr>
                    <w:t>施工阶段</w:t>
                  </w:r>
                </w:p>
              </w:tc>
              <w:tc>
                <w:tcPr>
                  <w:tcW w:w="2007" w:type="dxa"/>
                  <w:tcBorders>
                    <w:tl2br w:val="nil"/>
                    <w:tr2bl w:val="nil"/>
                  </w:tcBorders>
                  <w:vAlign w:val="center"/>
                </w:tcPr>
                <w:p w14:paraId="29974D19">
                  <w:pPr>
                    <w:widowControl/>
                    <w:jc w:val="center"/>
                    <w:rPr>
                      <w:b/>
                      <w:color w:val="auto"/>
                      <w:kern w:val="0"/>
                      <w:szCs w:val="21"/>
                      <w:highlight w:val="none"/>
                    </w:rPr>
                  </w:pPr>
                  <w:r>
                    <w:rPr>
                      <w:rFonts w:hint="eastAsia" w:cs="宋体"/>
                      <w:b/>
                      <w:color w:val="auto"/>
                      <w:szCs w:val="21"/>
                      <w:highlight w:val="none"/>
                    </w:rPr>
                    <w:t>小时平均浓度限值</w:t>
                  </w:r>
                </w:p>
              </w:tc>
            </w:tr>
            <w:tr w14:paraId="1B1D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tcBorders>
                    <w:tl2br w:val="nil"/>
                    <w:tr2bl w:val="nil"/>
                  </w:tcBorders>
                  <w:vAlign w:val="center"/>
                </w:tcPr>
                <w:p w14:paraId="5BEA2C7A">
                  <w:pPr>
                    <w:adjustRightInd w:val="0"/>
                    <w:snapToGrid w:val="0"/>
                    <w:jc w:val="center"/>
                    <w:rPr>
                      <w:color w:val="auto"/>
                      <w:kern w:val="0"/>
                      <w:szCs w:val="21"/>
                      <w:highlight w:val="none"/>
                    </w:rPr>
                  </w:pPr>
                </w:p>
              </w:tc>
              <w:tc>
                <w:tcPr>
                  <w:tcW w:w="1080" w:type="dxa"/>
                  <w:vMerge w:val="restart"/>
                  <w:tcBorders>
                    <w:tl2br w:val="nil"/>
                    <w:tr2bl w:val="nil"/>
                  </w:tcBorders>
                  <w:vAlign w:val="center"/>
                </w:tcPr>
                <w:p w14:paraId="68CB43E3">
                  <w:pPr>
                    <w:adjustRightInd w:val="0"/>
                    <w:snapToGrid w:val="0"/>
                    <w:jc w:val="center"/>
                    <w:rPr>
                      <w:color w:val="auto"/>
                      <w:kern w:val="0"/>
                      <w:szCs w:val="21"/>
                      <w:highlight w:val="none"/>
                    </w:rPr>
                  </w:pPr>
                  <w:r>
                    <w:rPr>
                      <w:color w:val="auto"/>
                      <w:kern w:val="0"/>
                      <w:szCs w:val="21"/>
                      <w:highlight w:val="none"/>
                    </w:rPr>
                    <w:t>周界外浓度最高点</w:t>
                  </w:r>
                </w:p>
              </w:tc>
              <w:tc>
                <w:tcPr>
                  <w:tcW w:w="1921" w:type="dxa"/>
                  <w:vMerge w:val="restart"/>
                  <w:tcBorders>
                    <w:tl2br w:val="nil"/>
                    <w:tr2bl w:val="nil"/>
                  </w:tcBorders>
                  <w:vAlign w:val="center"/>
                </w:tcPr>
                <w:p w14:paraId="69685E3A">
                  <w:pPr>
                    <w:adjustRightInd w:val="0"/>
                    <w:snapToGrid w:val="0"/>
                    <w:jc w:val="center"/>
                    <w:rPr>
                      <w:color w:val="auto"/>
                      <w:kern w:val="0"/>
                      <w:szCs w:val="21"/>
                      <w:highlight w:val="none"/>
                    </w:rPr>
                  </w:pPr>
                  <w:r>
                    <w:rPr>
                      <w:rFonts w:hint="eastAsia"/>
                      <w:color w:val="auto"/>
                      <w:highlight w:val="none"/>
                    </w:rPr>
                    <w:t>《施工场界扬尘排放限值》（</w:t>
                  </w:r>
                  <w:r>
                    <w:rPr>
                      <w:color w:val="auto"/>
                      <w:highlight w:val="none"/>
                    </w:rPr>
                    <w:t>DB 61/1078-2017</w:t>
                  </w:r>
                  <w:r>
                    <w:rPr>
                      <w:rFonts w:hint="eastAsia"/>
                      <w:color w:val="auto"/>
                      <w:highlight w:val="none"/>
                    </w:rPr>
                    <w:t>）</w:t>
                  </w:r>
                </w:p>
              </w:tc>
              <w:tc>
                <w:tcPr>
                  <w:tcW w:w="1769" w:type="dxa"/>
                  <w:tcBorders>
                    <w:tl2br w:val="nil"/>
                    <w:tr2bl w:val="nil"/>
                  </w:tcBorders>
                  <w:vAlign w:val="center"/>
                </w:tcPr>
                <w:p w14:paraId="63C23AE2">
                  <w:pPr>
                    <w:pStyle w:val="30"/>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拆除、土方及地基处理工程</w:t>
                  </w:r>
                </w:p>
              </w:tc>
              <w:tc>
                <w:tcPr>
                  <w:tcW w:w="2007" w:type="dxa"/>
                  <w:tcBorders>
                    <w:tl2br w:val="nil"/>
                    <w:tr2bl w:val="nil"/>
                  </w:tcBorders>
                  <w:vAlign w:val="center"/>
                </w:tcPr>
                <w:p w14:paraId="671DA852">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0.8</w:t>
                  </w:r>
                  <w:r>
                    <w:rPr>
                      <w:bCs/>
                      <w:color w:val="auto"/>
                      <w:szCs w:val="21"/>
                      <w:highlight w:val="none"/>
                    </w:rPr>
                    <w:t>mg/m</w:t>
                  </w:r>
                  <w:r>
                    <w:rPr>
                      <w:bCs/>
                      <w:color w:val="auto"/>
                      <w:szCs w:val="21"/>
                      <w:highlight w:val="none"/>
                      <w:vertAlign w:val="superscript"/>
                    </w:rPr>
                    <w:t>3</w:t>
                  </w:r>
                </w:p>
              </w:tc>
            </w:tr>
            <w:tr w14:paraId="2FF20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tcBorders>
                    <w:tl2br w:val="nil"/>
                    <w:tr2bl w:val="nil"/>
                  </w:tcBorders>
                  <w:vAlign w:val="center"/>
                </w:tcPr>
                <w:p w14:paraId="1BC078EB">
                  <w:pPr>
                    <w:adjustRightInd w:val="0"/>
                    <w:snapToGrid w:val="0"/>
                    <w:jc w:val="center"/>
                    <w:rPr>
                      <w:color w:val="auto"/>
                      <w:kern w:val="0"/>
                      <w:szCs w:val="21"/>
                      <w:highlight w:val="none"/>
                    </w:rPr>
                  </w:pPr>
                </w:p>
              </w:tc>
              <w:tc>
                <w:tcPr>
                  <w:tcW w:w="1080" w:type="dxa"/>
                  <w:vMerge w:val="continue"/>
                  <w:tcBorders>
                    <w:tl2br w:val="nil"/>
                    <w:tr2bl w:val="nil"/>
                  </w:tcBorders>
                  <w:vAlign w:val="center"/>
                </w:tcPr>
                <w:p w14:paraId="2A37F97E">
                  <w:pPr>
                    <w:adjustRightInd w:val="0"/>
                    <w:snapToGrid w:val="0"/>
                    <w:jc w:val="center"/>
                    <w:rPr>
                      <w:color w:val="auto"/>
                      <w:kern w:val="0"/>
                      <w:szCs w:val="21"/>
                      <w:highlight w:val="none"/>
                    </w:rPr>
                  </w:pPr>
                </w:p>
              </w:tc>
              <w:tc>
                <w:tcPr>
                  <w:tcW w:w="1921" w:type="dxa"/>
                  <w:vMerge w:val="continue"/>
                  <w:tcBorders>
                    <w:tl2br w:val="nil"/>
                    <w:tr2bl w:val="nil"/>
                  </w:tcBorders>
                  <w:vAlign w:val="center"/>
                </w:tcPr>
                <w:p w14:paraId="73C786EE">
                  <w:pPr>
                    <w:adjustRightInd w:val="0"/>
                    <w:snapToGrid w:val="0"/>
                    <w:jc w:val="center"/>
                    <w:rPr>
                      <w:color w:val="auto"/>
                      <w:highlight w:val="none"/>
                    </w:rPr>
                  </w:pPr>
                </w:p>
              </w:tc>
              <w:tc>
                <w:tcPr>
                  <w:tcW w:w="1769" w:type="dxa"/>
                  <w:tcBorders>
                    <w:tl2br w:val="nil"/>
                    <w:tr2bl w:val="nil"/>
                  </w:tcBorders>
                  <w:vAlign w:val="center"/>
                </w:tcPr>
                <w:p w14:paraId="04268350">
                  <w:pPr>
                    <w:pStyle w:val="30"/>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基础、主体结构及装饰工程</w:t>
                  </w:r>
                </w:p>
              </w:tc>
              <w:tc>
                <w:tcPr>
                  <w:tcW w:w="2007" w:type="dxa"/>
                  <w:tcBorders>
                    <w:tl2br w:val="nil"/>
                    <w:tr2bl w:val="nil"/>
                  </w:tcBorders>
                  <w:vAlign w:val="center"/>
                </w:tcPr>
                <w:p w14:paraId="528BDC18">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0.7</w:t>
                  </w:r>
                  <w:r>
                    <w:rPr>
                      <w:bCs/>
                      <w:color w:val="auto"/>
                      <w:szCs w:val="21"/>
                      <w:highlight w:val="none"/>
                    </w:rPr>
                    <w:t>mg/m</w:t>
                  </w:r>
                  <w:r>
                    <w:rPr>
                      <w:bCs/>
                      <w:color w:val="auto"/>
                      <w:szCs w:val="21"/>
                      <w:highlight w:val="none"/>
                      <w:vertAlign w:val="superscript"/>
                    </w:rPr>
                    <w:t>3</w:t>
                  </w:r>
                </w:p>
              </w:tc>
            </w:tr>
            <w:tr w14:paraId="7AEC7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6" w:type="dxa"/>
                  <w:gridSpan w:val="5"/>
                  <w:tcBorders>
                    <w:tl2br w:val="nil"/>
                    <w:tr2bl w:val="nil"/>
                  </w:tcBorders>
                  <w:vAlign w:val="center"/>
                </w:tcPr>
                <w:p w14:paraId="4B952B2C">
                  <w:pPr>
                    <w:adjustRightInd w:val="0"/>
                    <w:snapToGrid w:val="0"/>
                    <w:jc w:val="center"/>
                    <w:rPr>
                      <w:b/>
                      <w:color w:val="auto"/>
                      <w:kern w:val="0"/>
                      <w:szCs w:val="21"/>
                      <w:highlight w:val="none"/>
                    </w:rPr>
                  </w:pPr>
                  <w:r>
                    <w:rPr>
                      <w:rFonts w:hint="eastAsia"/>
                      <w:b/>
                      <w:color w:val="auto"/>
                      <w:kern w:val="0"/>
                      <w:szCs w:val="21"/>
                      <w:highlight w:val="none"/>
                    </w:rPr>
                    <w:t>运营期</w:t>
                  </w:r>
                </w:p>
              </w:tc>
            </w:tr>
            <w:tr w14:paraId="0DB85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tcBorders>
                    <w:tl2br w:val="nil"/>
                    <w:tr2bl w:val="nil"/>
                  </w:tcBorders>
                  <w:vAlign w:val="center"/>
                </w:tcPr>
                <w:p w14:paraId="3CE4475A">
                  <w:pPr>
                    <w:adjustRightInd w:val="0"/>
                    <w:snapToGrid w:val="0"/>
                    <w:jc w:val="center"/>
                    <w:rPr>
                      <w:b/>
                      <w:color w:val="auto"/>
                      <w:kern w:val="0"/>
                      <w:szCs w:val="21"/>
                      <w:highlight w:val="none"/>
                    </w:rPr>
                  </w:pPr>
                  <w:r>
                    <w:rPr>
                      <w:rFonts w:hint="eastAsia"/>
                      <w:color w:val="auto"/>
                      <w:kern w:val="0"/>
                      <w:szCs w:val="21"/>
                      <w:highlight w:val="none"/>
                    </w:rPr>
                    <w:t>颗粒物</w:t>
                  </w:r>
                </w:p>
              </w:tc>
              <w:tc>
                <w:tcPr>
                  <w:tcW w:w="1080" w:type="dxa"/>
                  <w:tcBorders>
                    <w:tl2br w:val="nil"/>
                    <w:tr2bl w:val="nil"/>
                  </w:tcBorders>
                  <w:vAlign w:val="center"/>
                </w:tcPr>
                <w:p w14:paraId="72838B30">
                  <w:pPr>
                    <w:adjustRightInd w:val="0"/>
                    <w:snapToGrid w:val="0"/>
                    <w:jc w:val="center"/>
                    <w:rPr>
                      <w:b/>
                      <w:color w:val="auto"/>
                      <w:kern w:val="0"/>
                      <w:szCs w:val="21"/>
                      <w:highlight w:val="none"/>
                    </w:rPr>
                  </w:pPr>
                  <w:r>
                    <w:rPr>
                      <w:b/>
                      <w:color w:val="auto"/>
                      <w:kern w:val="0"/>
                      <w:szCs w:val="21"/>
                      <w:highlight w:val="none"/>
                    </w:rPr>
                    <w:t>排放形式</w:t>
                  </w:r>
                </w:p>
              </w:tc>
              <w:tc>
                <w:tcPr>
                  <w:tcW w:w="1921" w:type="dxa"/>
                  <w:tcBorders>
                    <w:tl2br w:val="nil"/>
                    <w:tr2bl w:val="nil"/>
                  </w:tcBorders>
                  <w:vAlign w:val="center"/>
                </w:tcPr>
                <w:p w14:paraId="2B91503B">
                  <w:pPr>
                    <w:adjustRightInd w:val="0"/>
                    <w:snapToGrid w:val="0"/>
                    <w:jc w:val="center"/>
                    <w:rPr>
                      <w:b/>
                      <w:color w:val="auto"/>
                      <w:kern w:val="0"/>
                      <w:szCs w:val="21"/>
                      <w:highlight w:val="none"/>
                    </w:rPr>
                  </w:pPr>
                  <w:r>
                    <w:rPr>
                      <w:b/>
                      <w:color w:val="auto"/>
                      <w:kern w:val="0"/>
                      <w:szCs w:val="21"/>
                      <w:highlight w:val="none"/>
                    </w:rPr>
                    <w:t>执行标准</w:t>
                  </w:r>
                </w:p>
              </w:tc>
              <w:tc>
                <w:tcPr>
                  <w:tcW w:w="1769" w:type="dxa"/>
                  <w:tcBorders>
                    <w:tl2br w:val="nil"/>
                    <w:tr2bl w:val="nil"/>
                  </w:tcBorders>
                  <w:vAlign w:val="center"/>
                </w:tcPr>
                <w:p w14:paraId="5178995A">
                  <w:pPr>
                    <w:adjustRightInd w:val="0"/>
                    <w:snapToGrid w:val="0"/>
                    <w:jc w:val="center"/>
                    <w:rPr>
                      <w:b/>
                      <w:bCs/>
                      <w:color w:val="auto"/>
                      <w:kern w:val="0"/>
                      <w:szCs w:val="21"/>
                      <w:highlight w:val="none"/>
                    </w:rPr>
                  </w:pPr>
                  <w:r>
                    <w:rPr>
                      <w:rFonts w:hint="eastAsia"/>
                      <w:b/>
                      <w:bCs/>
                      <w:color w:val="auto"/>
                      <w:kern w:val="0"/>
                      <w:szCs w:val="21"/>
                      <w:highlight w:val="none"/>
                    </w:rPr>
                    <w:t>监控点</w:t>
                  </w:r>
                </w:p>
              </w:tc>
              <w:tc>
                <w:tcPr>
                  <w:tcW w:w="2007" w:type="dxa"/>
                  <w:tcBorders>
                    <w:tl2br w:val="nil"/>
                    <w:tr2bl w:val="nil"/>
                  </w:tcBorders>
                  <w:vAlign w:val="center"/>
                </w:tcPr>
                <w:p w14:paraId="6D333F0E">
                  <w:pPr>
                    <w:adjustRightInd w:val="0"/>
                    <w:snapToGrid w:val="0"/>
                    <w:rPr>
                      <w:b/>
                      <w:color w:val="auto"/>
                      <w:kern w:val="0"/>
                      <w:szCs w:val="21"/>
                      <w:highlight w:val="none"/>
                    </w:rPr>
                  </w:pPr>
                  <w:r>
                    <w:rPr>
                      <w:b/>
                      <w:color w:val="auto"/>
                      <w:kern w:val="0"/>
                      <w:szCs w:val="21"/>
                      <w:highlight w:val="none"/>
                    </w:rPr>
                    <w:t>浓</w:t>
                  </w:r>
                  <w:r>
                    <w:rPr>
                      <w:rFonts w:hint="eastAsia"/>
                      <w:b/>
                      <w:color w:val="auto"/>
                      <w:kern w:val="0"/>
                      <w:szCs w:val="21"/>
                      <w:highlight w:val="none"/>
                    </w:rPr>
                    <w:t>度</w:t>
                  </w:r>
                  <w:r>
                    <w:rPr>
                      <w:b/>
                      <w:color w:val="auto"/>
                      <w:kern w:val="0"/>
                      <w:szCs w:val="21"/>
                      <w:highlight w:val="none"/>
                    </w:rPr>
                    <w:t>限值</w:t>
                  </w:r>
                  <w:r>
                    <w:rPr>
                      <w:rFonts w:hint="eastAsia"/>
                      <w:b/>
                      <w:color w:val="auto"/>
                      <w:kern w:val="0"/>
                      <w:szCs w:val="21"/>
                      <w:highlight w:val="none"/>
                    </w:rPr>
                    <w:t>（</w:t>
                  </w:r>
                  <w:r>
                    <w:rPr>
                      <w:b/>
                      <w:color w:val="auto"/>
                      <w:kern w:val="0"/>
                      <w:szCs w:val="21"/>
                      <w:highlight w:val="none"/>
                    </w:rPr>
                    <w:t>mg/m</w:t>
                  </w:r>
                  <w:r>
                    <w:rPr>
                      <w:b/>
                      <w:color w:val="auto"/>
                      <w:kern w:val="0"/>
                      <w:szCs w:val="21"/>
                      <w:highlight w:val="none"/>
                      <w:vertAlign w:val="superscript"/>
                    </w:rPr>
                    <w:t>3</w:t>
                  </w:r>
                  <w:r>
                    <w:rPr>
                      <w:rFonts w:hint="eastAsia"/>
                      <w:b/>
                      <w:color w:val="auto"/>
                      <w:kern w:val="0"/>
                      <w:szCs w:val="21"/>
                      <w:highlight w:val="none"/>
                    </w:rPr>
                    <w:t>）</w:t>
                  </w:r>
                </w:p>
              </w:tc>
            </w:tr>
            <w:tr w14:paraId="03272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tcBorders>
                    <w:tl2br w:val="nil"/>
                    <w:tr2bl w:val="nil"/>
                  </w:tcBorders>
                  <w:vAlign w:val="center"/>
                </w:tcPr>
                <w:p w14:paraId="639B777E">
                  <w:pPr>
                    <w:adjustRightInd w:val="0"/>
                    <w:snapToGrid w:val="0"/>
                    <w:jc w:val="center"/>
                    <w:rPr>
                      <w:color w:val="auto"/>
                      <w:kern w:val="0"/>
                      <w:szCs w:val="21"/>
                      <w:highlight w:val="none"/>
                    </w:rPr>
                  </w:pPr>
                </w:p>
              </w:tc>
              <w:tc>
                <w:tcPr>
                  <w:tcW w:w="1080" w:type="dxa"/>
                  <w:tcBorders>
                    <w:tl2br w:val="nil"/>
                    <w:tr2bl w:val="nil"/>
                  </w:tcBorders>
                  <w:vAlign w:val="center"/>
                </w:tcPr>
                <w:p w14:paraId="711E6B83">
                  <w:pPr>
                    <w:adjustRightInd w:val="0"/>
                    <w:snapToGrid w:val="0"/>
                    <w:jc w:val="center"/>
                    <w:rPr>
                      <w:color w:val="auto"/>
                      <w:kern w:val="0"/>
                      <w:szCs w:val="21"/>
                      <w:highlight w:val="none"/>
                    </w:rPr>
                  </w:pPr>
                  <w:r>
                    <w:rPr>
                      <w:rFonts w:hint="eastAsia"/>
                      <w:color w:val="auto"/>
                      <w:kern w:val="0"/>
                      <w:szCs w:val="21"/>
                      <w:highlight w:val="none"/>
                      <w:lang w:eastAsia="zh-CN"/>
                    </w:rPr>
                    <w:t>有</w:t>
                  </w:r>
                  <w:r>
                    <w:rPr>
                      <w:color w:val="auto"/>
                      <w:kern w:val="0"/>
                      <w:szCs w:val="21"/>
                      <w:highlight w:val="none"/>
                    </w:rPr>
                    <w:t>组织</w:t>
                  </w:r>
                </w:p>
              </w:tc>
              <w:tc>
                <w:tcPr>
                  <w:tcW w:w="1921" w:type="dxa"/>
                  <w:tcBorders>
                    <w:tl2br w:val="nil"/>
                    <w:tr2bl w:val="nil"/>
                  </w:tcBorders>
                  <w:vAlign w:val="center"/>
                </w:tcPr>
                <w:p w14:paraId="314AEBD6">
                  <w:pPr>
                    <w:pStyle w:val="13"/>
                    <w:jc w:val="center"/>
                    <w:rPr>
                      <w:color w:val="auto"/>
                      <w:sz w:val="21"/>
                      <w:szCs w:val="21"/>
                      <w:highlight w:val="none"/>
                    </w:rPr>
                  </w:pPr>
                  <w:r>
                    <w:rPr>
                      <w:color w:val="auto"/>
                      <w:sz w:val="21"/>
                      <w:szCs w:val="21"/>
                      <w:highlight w:val="none"/>
                    </w:rPr>
                    <w:t>《大气污染物综合排放标准》（GB16297-1996）</w:t>
                  </w:r>
                </w:p>
              </w:tc>
              <w:tc>
                <w:tcPr>
                  <w:tcW w:w="1769" w:type="dxa"/>
                  <w:tcBorders>
                    <w:tl2br w:val="nil"/>
                    <w:tr2bl w:val="nil"/>
                  </w:tcBorders>
                  <w:vAlign w:val="center"/>
                </w:tcPr>
                <w:p w14:paraId="42849998">
                  <w:pPr>
                    <w:adjustRightInd w:val="0"/>
                    <w:snapToGrid w:val="0"/>
                    <w:jc w:val="center"/>
                    <w:rPr>
                      <w:rFonts w:hint="eastAsia" w:eastAsia="宋体"/>
                      <w:b/>
                      <w:bCs/>
                      <w:color w:val="auto"/>
                      <w:kern w:val="0"/>
                      <w:szCs w:val="21"/>
                      <w:highlight w:val="none"/>
                      <w:lang w:eastAsia="zh-CN"/>
                    </w:rPr>
                  </w:pPr>
                  <w:r>
                    <w:rPr>
                      <w:rFonts w:hint="eastAsia"/>
                      <w:b w:val="0"/>
                      <w:bCs w:val="0"/>
                      <w:color w:val="auto"/>
                      <w:kern w:val="0"/>
                      <w:szCs w:val="21"/>
                      <w:highlight w:val="none"/>
                      <w:lang w:eastAsia="zh-CN"/>
                    </w:rPr>
                    <w:t>彩砂及钙粉生产线粉尘排气筒（</w:t>
                  </w:r>
                  <w:r>
                    <w:rPr>
                      <w:rFonts w:hint="eastAsia"/>
                      <w:b w:val="0"/>
                      <w:bCs w:val="0"/>
                      <w:color w:val="auto"/>
                      <w:kern w:val="0"/>
                      <w:szCs w:val="21"/>
                      <w:highlight w:val="none"/>
                      <w:lang w:val="en-US" w:eastAsia="zh-CN"/>
                    </w:rPr>
                    <w:t>DA001</w:t>
                  </w:r>
                  <w:r>
                    <w:rPr>
                      <w:rFonts w:hint="eastAsia"/>
                      <w:b w:val="0"/>
                      <w:bCs w:val="0"/>
                      <w:color w:val="auto"/>
                      <w:kern w:val="0"/>
                      <w:szCs w:val="21"/>
                      <w:highlight w:val="none"/>
                      <w:lang w:eastAsia="zh-CN"/>
                    </w:rPr>
                    <w:t>）</w:t>
                  </w:r>
                </w:p>
              </w:tc>
              <w:tc>
                <w:tcPr>
                  <w:tcW w:w="2007" w:type="dxa"/>
                  <w:tcBorders>
                    <w:tl2br w:val="nil"/>
                    <w:tr2bl w:val="nil"/>
                  </w:tcBorders>
                  <w:vAlign w:val="center"/>
                </w:tcPr>
                <w:p w14:paraId="51471CCB">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120</w:t>
                  </w:r>
                </w:p>
              </w:tc>
            </w:tr>
            <w:tr w14:paraId="0CDE6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tcBorders>
                    <w:tl2br w:val="nil"/>
                    <w:tr2bl w:val="nil"/>
                  </w:tcBorders>
                  <w:vAlign w:val="center"/>
                </w:tcPr>
                <w:p w14:paraId="07DF6602">
                  <w:pPr>
                    <w:adjustRightInd w:val="0"/>
                    <w:snapToGrid w:val="0"/>
                    <w:jc w:val="center"/>
                    <w:rPr>
                      <w:color w:val="auto"/>
                      <w:kern w:val="0"/>
                      <w:szCs w:val="21"/>
                      <w:highlight w:val="none"/>
                    </w:rPr>
                  </w:pPr>
                </w:p>
              </w:tc>
              <w:tc>
                <w:tcPr>
                  <w:tcW w:w="1080" w:type="dxa"/>
                  <w:vMerge w:val="restart"/>
                  <w:tcBorders>
                    <w:tl2br w:val="nil"/>
                    <w:tr2bl w:val="nil"/>
                  </w:tcBorders>
                  <w:vAlign w:val="center"/>
                </w:tcPr>
                <w:p w14:paraId="15A3CFF3">
                  <w:pPr>
                    <w:adjustRightInd w:val="0"/>
                    <w:snapToGrid w:val="0"/>
                    <w:jc w:val="center"/>
                    <w:rPr>
                      <w:rFonts w:hint="eastAsia"/>
                      <w:color w:val="auto"/>
                      <w:kern w:val="0"/>
                      <w:szCs w:val="21"/>
                      <w:highlight w:val="none"/>
                      <w:lang w:eastAsia="zh-CN"/>
                    </w:rPr>
                  </w:pPr>
                  <w:r>
                    <w:rPr>
                      <w:rFonts w:hint="eastAsia"/>
                      <w:color w:val="auto"/>
                      <w:kern w:val="0"/>
                      <w:szCs w:val="21"/>
                      <w:highlight w:val="none"/>
                      <w:lang w:eastAsia="zh-CN"/>
                    </w:rPr>
                    <w:t>有</w:t>
                  </w:r>
                  <w:r>
                    <w:rPr>
                      <w:color w:val="auto"/>
                      <w:kern w:val="0"/>
                      <w:szCs w:val="21"/>
                      <w:highlight w:val="none"/>
                    </w:rPr>
                    <w:t>组织</w:t>
                  </w:r>
                </w:p>
              </w:tc>
              <w:tc>
                <w:tcPr>
                  <w:tcW w:w="1921" w:type="dxa"/>
                  <w:vMerge w:val="restart"/>
                  <w:tcBorders>
                    <w:tl2br w:val="nil"/>
                    <w:tr2bl w:val="nil"/>
                  </w:tcBorders>
                  <w:vAlign w:val="center"/>
                </w:tcPr>
                <w:p w14:paraId="68550F6D">
                  <w:pPr>
                    <w:pStyle w:val="13"/>
                    <w:jc w:val="center"/>
                    <w:rPr>
                      <w:color w:val="auto"/>
                      <w:sz w:val="21"/>
                      <w:szCs w:val="21"/>
                      <w:highlight w:val="none"/>
                    </w:rPr>
                  </w:pPr>
                  <w:r>
                    <w:rPr>
                      <w:rFonts w:hint="eastAsia"/>
                      <w:color w:val="auto"/>
                      <w:sz w:val="21"/>
                      <w:szCs w:val="21"/>
                      <w:highlight w:val="none"/>
                      <w:lang w:eastAsia="zh-CN"/>
                    </w:rPr>
                    <w:t>《水泥工业大气污染物排放标准》（GB4915-2013）</w:t>
                  </w:r>
                </w:p>
              </w:tc>
              <w:tc>
                <w:tcPr>
                  <w:tcW w:w="1769" w:type="dxa"/>
                  <w:tcBorders>
                    <w:tl2br w:val="nil"/>
                    <w:tr2bl w:val="nil"/>
                  </w:tcBorders>
                  <w:vAlign w:val="center"/>
                </w:tcPr>
                <w:p w14:paraId="52DC16B3">
                  <w:pPr>
                    <w:adjustRightInd w:val="0"/>
                    <w:snapToGrid w:val="0"/>
                    <w:jc w:val="center"/>
                    <w:rPr>
                      <w:rFonts w:hint="eastAsia" w:eastAsia="宋体"/>
                      <w:b/>
                      <w:bCs/>
                      <w:color w:val="auto"/>
                      <w:kern w:val="0"/>
                      <w:szCs w:val="21"/>
                      <w:highlight w:val="none"/>
                      <w:lang w:eastAsia="zh-CN"/>
                    </w:rPr>
                  </w:pPr>
                  <w:r>
                    <w:rPr>
                      <w:rFonts w:hint="eastAsia"/>
                      <w:b w:val="0"/>
                      <w:bCs w:val="0"/>
                      <w:color w:val="auto"/>
                      <w:kern w:val="0"/>
                      <w:szCs w:val="21"/>
                      <w:highlight w:val="none"/>
                      <w:lang w:eastAsia="zh-CN"/>
                    </w:rPr>
                    <w:t>腻子粉及石膏粉生产线粉尘排气筒（</w:t>
                  </w:r>
                  <w:r>
                    <w:rPr>
                      <w:rFonts w:hint="eastAsia"/>
                      <w:b w:val="0"/>
                      <w:bCs w:val="0"/>
                      <w:color w:val="auto"/>
                      <w:kern w:val="0"/>
                      <w:szCs w:val="21"/>
                      <w:highlight w:val="none"/>
                      <w:lang w:val="en-US" w:eastAsia="zh-CN"/>
                    </w:rPr>
                    <w:t>DA002</w:t>
                  </w:r>
                  <w:r>
                    <w:rPr>
                      <w:rFonts w:hint="eastAsia"/>
                      <w:b w:val="0"/>
                      <w:bCs w:val="0"/>
                      <w:color w:val="auto"/>
                      <w:kern w:val="0"/>
                      <w:szCs w:val="21"/>
                      <w:highlight w:val="none"/>
                      <w:lang w:eastAsia="zh-CN"/>
                    </w:rPr>
                    <w:t>）</w:t>
                  </w:r>
                </w:p>
              </w:tc>
              <w:tc>
                <w:tcPr>
                  <w:tcW w:w="2007" w:type="dxa"/>
                  <w:tcBorders>
                    <w:tl2br w:val="nil"/>
                    <w:tr2bl w:val="nil"/>
                  </w:tcBorders>
                  <w:vAlign w:val="center"/>
                </w:tcPr>
                <w:p w14:paraId="43B62E28">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20</w:t>
                  </w:r>
                </w:p>
              </w:tc>
            </w:tr>
            <w:tr w14:paraId="189F0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tcBorders>
                    <w:tl2br w:val="nil"/>
                    <w:tr2bl w:val="nil"/>
                  </w:tcBorders>
                  <w:vAlign w:val="center"/>
                </w:tcPr>
                <w:p w14:paraId="04833762">
                  <w:pPr>
                    <w:adjustRightInd w:val="0"/>
                    <w:snapToGrid w:val="0"/>
                    <w:jc w:val="center"/>
                    <w:rPr>
                      <w:color w:val="auto"/>
                      <w:kern w:val="0"/>
                      <w:szCs w:val="21"/>
                      <w:highlight w:val="none"/>
                    </w:rPr>
                  </w:pPr>
                </w:p>
              </w:tc>
              <w:tc>
                <w:tcPr>
                  <w:tcW w:w="1080" w:type="dxa"/>
                  <w:vMerge w:val="continue"/>
                  <w:tcBorders>
                    <w:tl2br w:val="nil"/>
                    <w:tr2bl w:val="nil"/>
                  </w:tcBorders>
                  <w:vAlign w:val="center"/>
                </w:tcPr>
                <w:p w14:paraId="42364602">
                  <w:pPr>
                    <w:adjustRightInd w:val="0"/>
                    <w:snapToGrid w:val="0"/>
                    <w:jc w:val="center"/>
                    <w:rPr>
                      <w:rFonts w:hint="eastAsia"/>
                      <w:color w:val="auto"/>
                      <w:kern w:val="0"/>
                      <w:szCs w:val="21"/>
                      <w:highlight w:val="none"/>
                      <w:lang w:eastAsia="zh-CN"/>
                    </w:rPr>
                  </w:pPr>
                </w:p>
              </w:tc>
              <w:tc>
                <w:tcPr>
                  <w:tcW w:w="1921" w:type="dxa"/>
                  <w:vMerge w:val="continue"/>
                  <w:tcBorders>
                    <w:tl2br w:val="nil"/>
                    <w:tr2bl w:val="nil"/>
                  </w:tcBorders>
                  <w:vAlign w:val="center"/>
                </w:tcPr>
                <w:p w14:paraId="630138A0">
                  <w:pPr>
                    <w:pStyle w:val="13"/>
                    <w:jc w:val="center"/>
                    <w:rPr>
                      <w:color w:val="auto"/>
                      <w:sz w:val="21"/>
                      <w:szCs w:val="21"/>
                      <w:highlight w:val="none"/>
                    </w:rPr>
                  </w:pPr>
                </w:p>
              </w:tc>
              <w:tc>
                <w:tcPr>
                  <w:tcW w:w="1769" w:type="dxa"/>
                  <w:tcBorders>
                    <w:tl2br w:val="nil"/>
                    <w:tr2bl w:val="nil"/>
                  </w:tcBorders>
                  <w:vAlign w:val="center"/>
                </w:tcPr>
                <w:p w14:paraId="13E49707">
                  <w:pPr>
                    <w:adjustRightInd w:val="0"/>
                    <w:snapToGrid w:val="0"/>
                    <w:jc w:val="center"/>
                    <w:rPr>
                      <w:rFonts w:hint="eastAsia" w:eastAsia="宋体"/>
                      <w:b/>
                      <w:bCs/>
                      <w:color w:val="auto"/>
                      <w:kern w:val="0"/>
                      <w:szCs w:val="21"/>
                      <w:highlight w:val="none"/>
                      <w:lang w:eastAsia="zh-CN"/>
                    </w:rPr>
                  </w:pPr>
                  <w:r>
                    <w:rPr>
                      <w:rFonts w:hint="eastAsia"/>
                      <w:b w:val="0"/>
                      <w:bCs w:val="0"/>
                      <w:color w:val="auto"/>
                      <w:kern w:val="0"/>
                      <w:szCs w:val="21"/>
                      <w:highlight w:val="none"/>
                      <w:lang w:eastAsia="zh-CN"/>
                    </w:rPr>
                    <w:t>砂浆生产线粉尘排气筒（</w:t>
                  </w:r>
                  <w:r>
                    <w:rPr>
                      <w:rFonts w:hint="eastAsia"/>
                      <w:b w:val="0"/>
                      <w:bCs w:val="0"/>
                      <w:color w:val="auto"/>
                      <w:kern w:val="0"/>
                      <w:szCs w:val="21"/>
                      <w:highlight w:val="none"/>
                      <w:lang w:val="en-US" w:eastAsia="zh-CN"/>
                    </w:rPr>
                    <w:t>DA003</w:t>
                  </w:r>
                  <w:r>
                    <w:rPr>
                      <w:rFonts w:hint="eastAsia"/>
                      <w:b w:val="0"/>
                      <w:bCs w:val="0"/>
                      <w:color w:val="auto"/>
                      <w:kern w:val="0"/>
                      <w:szCs w:val="21"/>
                      <w:highlight w:val="none"/>
                      <w:lang w:eastAsia="zh-CN"/>
                    </w:rPr>
                    <w:t>）</w:t>
                  </w:r>
                </w:p>
              </w:tc>
              <w:tc>
                <w:tcPr>
                  <w:tcW w:w="2007" w:type="dxa"/>
                  <w:tcBorders>
                    <w:tl2br w:val="nil"/>
                    <w:tr2bl w:val="nil"/>
                  </w:tcBorders>
                  <w:vAlign w:val="center"/>
                </w:tcPr>
                <w:p w14:paraId="3A1F636D">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20</w:t>
                  </w:r>
                </w:p>
              </w:tc>
            </w:tr>
            <w:tr w14:paraId="640B4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tcBorders>
                    <w:tl2br w:val="nil"/>
                    <w:tr2bl w:val="nil"/>
                  </w:tcBorders>
                  <w:vAlign w:val="center"/>
                </w:tcPr>
                <w:p w14:paraId="281BC55D">
                  <w:pPr>
                    <w:adjustRightInd w:val="0"/>
                    <w:snapToGrid w:val="0"/>
                    <w:jc w:val="center"/>
                    <w:rPr>
                      <w:color w:val="auto"/>
                      <w:kern w:val="0"/>
                      <w:szCs w:val="21"/>
                      <w:highlight w:val="none"/>
                    </w:rPr>
                  </w:pPr>
                </w:p>
              </w:tc>
              <w:tc>
                <w:tcPr>
                  <w:tcW w:w="1080" w:type="dxa"/>
                  <w:tcBorders>
                    <w:tl2br w:val="nil"/>
                    <w:tr2bl w:val="nil"/>
                  </w:tcBorders>
                  <w:vAlign w:val="center"/>
                </w:tcPr>
                <w:p w14:paraId="3318A829">
                  <w:pPr>
                    <w:adjustRightInd w:val="0"/>
                    <w:snapToGrid w:val="0"/>
                    <w:jc w:val="center"/>
                    <w:rPr>
                      <w:rFonts w:hint="eastAsia"/>
                      <w:color w:val="auto"/>
                      <w:kern w:val="0"/>
                      <w:szCs w:val="21"/>
                      <w:highlight w:val="none"/>
                      <w:lang w:eastAsia="zh-CN"/>
                    </w:rPr>
                  </w:pPr>
                  <w:r>
                    <w:rPr>
                      <w:color w:val="auto"/>
                      <w:kern w:val="0"/>
                      <w:szCs w:val="21"/>
                      <w:highlight w:val="none"/>
                    </w:rPr>
                    <w:t>无组织</w:t>
                  </w:r>
                </w:p>
              </w:tc>
              <w:tc>
                <w:tcPr>
                  <w:tcW w:w="1921" w:type="dxa"/>
                  <w:vMerge w:val="continue"/>
                  <w:tcBorders>
                    <w:tl2br w:val="nil"/>
                    <w:tr2bl w:val="nil"/>
                  </w:tcBorders>
                  <w:vAlign w:val="center"/>
                </w:tcPr>
                <w:p w14:paraId="4F74AAF4">
                  <w:pPr>
                    <w:pStyle w:val="13"/>
                    <w:jc w:val="center"/>
                    <w:rPr>
                      <w:color w:val="auto"/>
                      <w:sz w:val="21"/>
                      <w:szCs w:val="21"/>
                      <w:highlight w:val="none"/>
                    </w:rPr>
                  </w:pPr>
                </w:p>
              </w:tc>
              <w:tc>
                <w:tcPr>
                  <w:tcW w:w="1769" w:type="dxa"/>
                  <w:tcBorders>
                    <w:tl2br w:val="nil"/>
                    <w:tr2bl w:val="nil"/>
                  </w:tcBorders>
                  <w:vAlign w:val="center"/>
                </w:tcPr>
                <w:p w14:paraId="18362AEA">
                  <w:pPr>
                    <w:adjustRightInd w:val="0"/>
                    <w:snapToGrid w:val="0"/>
                    <w:jc w:val="center"/>
                    <w:rPr>
                      <w:rFonts w:hint="default"/>
                      <w:b w:val="0"/>
                      <w:bCs w:val="0"/>
                      <w:color w:val="auto"/>
                      <w:kern w:val="0"/>
                      <w:szCs w:val="21"/>
                      <w:highlight w:val="none"/>
                      <w:lang w:val="en-US" w:eastAsia="zh-CN"/>
                    </w:rPr>
                  </w:pPr>
                  <w:r>
                    <w:rPr>
                      <w:rFonts w:hint="eastAsia"/>
                      <w:b w:val="0"/>
                      <w:bCs w:val="0"/>
                      <w:color w:val="auto"/>
                      <w:kern w:val="0"/>
                      <w:szCs w:val="21"/>
                      <w:highlight w:val="none"/>
                      <w:lang w:val="en-US" w:eastAsia="zh-CN"/>
                    </w:rPr>
                    <w:t>/</w:t>
                  </w:r>
                </w:p>
              </w:tc>
              <w:tc>
                <w:tcPr>
                  <w:tcW w:w="2007" w:type="dxa"/>
                  <w:tcBorders>
                    <w:tl2br w:val="nil"/>
                    <w:tr2bl w:val="nil"/>
                  </w:tcBorders>
                  <w:vAlign w:val="center"/>
                </w:tcPr>
                <w:p w14:paraId="6ABD07F1">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0.5</w:t>
                  </w:r>
                </w:p>
              </w:tc>
            </w:tr>
          </w:tbl>
          <w:p w14:paraId="09B75CD8">
            <w:pPr>
              <w:snapToGrid w:val="0"/>
              <w:spacing w:line="360" w:lineRule="auto"/>
              <w:ind w:firstLine="480" w:firstLineChars="200"/>
              <w:rPr>
                <w:color w:val="auto"/>
                <w:sz w:val="24"/>
                <w:highlight w:val="none"/>
              </w:rPr>
            </w:pPr>
            <w:r>
              <w:rPr>
                <w:rFonts w:hint="eastAsia"/>
                <w:color w:val="auto"/>
                <w:sz w:val="24"/>
                <w:highlight w:val="none"/>
              </w:rPr>
              <w:t>3、</w:t>
            </w:r>
            <w:r>
              <w:rPr>
                <w:rFonts w:hint="eastAsia"/>
                <w:color w:val="auto"/>
                <w:sz w:val="24"/>
                <w:highlight w:val="none"/>
                <w:lang w:eastAsia="zh-CN"/>
              </w:rPr>
              <w:t>变动期间</w:t>
            </w:r>
            <w:r>
              <w:rPr>
                <w:rFonts w:hint="eastAsia"/>
                <w:color w:val="auto"/>
                <w:sz w:val="24"/>
                <w:highlight w:val="none"/>
              </w:rPr>
              <w:t>施工期噪声执行《建筑施工场界环境噪声排放标准》（GB12523-2011）中相关要求；</w:t>
            </w:r>
            <w:r>
              <w:rPr>
                <w:rFonts w:hint="eastAsia"/>
                <w:color w:val="auto"/>
                <w:sz w:val="24"/>
                <w:highlight w:val="none"/>
                <w:lang w:eastAsia="zh-CN"/>
              </w:rPr>
              <w:t>本次变动完成后，</w:t>
            </w:r>
            <w:r>
              <w:rPr>
                <w:rFonts w:hint="eastAsia"/>
                <w:color w:val="auto"/>
                <w:sz w:val="24"/>
                <w:highlight w:val="none"/>
              </w:rPr>
              <w:t>运营期</w:t>
            </w:r>
            <w:r>
              <w:rPr>
                <w:rFonts w:hint="eastAsia"/>
                <w:color w:val="auto"/>
                <w:sz w:val="24"/>
                <w:highlight w:val="none"/>
                <w:lang w:eastAsia="zh-CN"/>
              </w:rPr>
              <w:t>厂区</w:t>
            </w:r>
            <w:r>
              <w:rPr>
                <w:rFonts w:hint="eastAsia"/>
                <w:color w:val="auto"/>
                <w:sz w:val="24"/>
                <w:highlight w:val="none"/>
              </w:rPr>
              <w:t>噪声排放执行《工业企业厂界环境噪声排放标准》（G</w:t>
            </w:r>
            <w:r>
              <w:rPr>
                <w:color w:val="auto"/>
                <w:sz w:val="24"/>
                <w:highlight w:val="none"/>
              </w:rPr>
              <w:t>B12348-2008</w:t>
            </w:r>
            <w:r>
              <w:rPr>
                <w:rFonts w:hint="eastAsia"/>
                <w:color w:val="auto"/>
                <w:sz w:val="24"/>
                <w:highlight w:val="none"/>
              </w:rPr>
              <w:t>）表1中</w:t>
            </w:r>
            <w:r>
              <w:rPr>
                <w:rFonts w:hint="eastAsia"/>
                <w:color w:val="auto"/>
                <w:sz w:val="24"/>
                <w:highlight w:val="none"/>
                <w:lang w:val="en-US" w:eastAsia="zh-CN"/>
              </w:rPr>
              <w:t>3</w:t>
            </w:r>
            <w:r>
              <w:rPr>
                <w:rFonts w:hint="eastAsia"/>
                <w:color w:val="auto"/>
                <w:sz w:val="24"/>
                <w:highlight w:val="none"/>
              </w:rPr>
              <w:t>类功能区的排放限值。</w:t>
            </w:r>
          </w:p>
          <w:p w14:paraId="12D05D4F">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lang w:val="en-US" w:eastAsia="zh-CN"/>
              </w:rPr>
              <w:t>6</w:t>
            </w:r>
            <w:r>
              <w:rPr>
                <w:rFonts w:hint="eastAsia"/>
                <w:b/>
                <w:bCs/>
                <w:color w:val="auto"/>
                <w:kern w:val="0"/>
                <w:szCs w:val="21"/>
                <w:highlight w:val="none"/>
              </w:rPr>
              <w:t xml:space="preserve"> </w:t>
            </w:r>
            <w:r>
              <w:rPr>
                <w:b/>
                <w:bCs/>
                <w:color w:val="auto"/>
                <w:kern w:val="0"/>
                <w:szCs w:val="21"/>
                <w:highlight w:val="none"/>
              </w:rPr>
              <w:t xml:space="preserve"> 噪声排放标准</w:t>
            </w:r>
            <w:r>
              <w:rPr>
                <w:rFonts w:hint="eastAsia"/>
                <w:b/>
                <w:bCs/>
                <w:color w:val="auto"/>
                <w:kern w:val="0"/>
                <w:szCs w:val="21"/>
                <w:highlight w:val="none"/>
              </w:rPr>
              <w:t xml:space="preserve">    单位：</w:t>
            </w:r>
            <w:r>
              <w:rPr>
                <w:b/>
                <w:bCs/>
                <w:color w:val="auto"/>
                <w:kern w:val="0"/>
                <w:szCs w:val="21"/>
                <w:highlight w:val="none"/>
              </w:rPr>
              <w:t>dB</w:t>
            </w:r>
            <w:r>
              <w:rPr>
                <w:rFonts w:hint="eastAsia"/>
                <w:b/>
                <w:bCs/>
                <w:color w:val="auto"/>
                <w:kern w:val="0"/>
                <w:szCs w:val="21"/>
                <w:highlight w:val="none"/>
              </w:rPr>
              <w:t>（A）</w:t>
            </w:r>
          </w:p>
          <w:tbl>
            <w:tblPr>
              <w:tblStyle w:val="36"/>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1"/>
              <w:gridCol w:w="1371"/>
              <w:gridCol w:w="1371"/>
            </w:tblGrid>
            <w:tr w14:paraId="506F7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restart"/>
                  <w:tcBorders>
                    <w:tl2br w:val="nil"/>
                    <w:tr2bl w:val="nil"/>
                  </w:tcBorders>
                  <w:vAlign w:val="center"/>
                </w:tcPr>
                <w:p w14:paraId="0F6D6668">
                  <w:pPr>
                    <w:adjustRightInd w:val="0"/>
                    <w:snapToGrid w:val="0"/>
                    <w:jc w:val="center"/>
                    <w:rPr>
                      <w:color w:val="auto"/>
                      <w:kern w:val="0"/>
                      <w:szCs w:val="21"/>
                      <w:highlight w:val="none"/>
                    </w:rPr>
                  </w:pPr>
                  <w:r>
                    <w:rPr>
                      <w:color w:val="auto"/>
                      <w:kern w:val="0"/>
                      <w:szCs w:val="21"/>
                      <w:highlight w:val="none"/>
                    </w:rPr>
                    <w:t>执行标准</w:t>
                  </w:r>
                </w:p>
              </w:tc>
              <w:tc>
                <w:tcPr>
                  <w:tcW w:w="2742" w:type="dxa"/>
                  <w:gridSpan w:val="2"/>
                  <w:tcBorders>
                    <w:tl2br w:val="nil"/>
                    <w:tr2bl w:val="nil"/>
                  </w:tcBorders>
                  <w:vAlign w:val="center"/>
                </w:tcPr>
                <w:p w14:paraId="67A6D03F">
                  <w:pPr>
                    <w:adjustRightInd w:val="0"/>
                    <w:snapToGrid w:val="0"/>
                    <w:jc w:val="center"/>
                    <w:rPr>
                      <w:color w:val="auto"/>
                      <w:kern w:val="0"/>
                      <w:szCs w:val="21"/>
                      <w:highlight w:val="none"/>
                    </w:rPr>
                  </w:pPr>
                  <w:r>
                    <w:rPr>
                      <w:color w:val="auto"/>
                      <w:kern w:val="0"/>
                      <w:szCs w:val="21"/>
                      <w:highlight w:val="none"/>
                    </w:rPr>
                    <w:t>标准值</w:t>
                  </w:r>
                </w:p>
              </w:tc>
            </w:tr>
            <w:tr w14:paraId="4D775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continue"/>
                  <w:tcBorders>
                    <w:tl2br w:val="nil"/>
                    <w:tr2bl w:val="nil"/>
                  </w:tcBorders>
                  <w:vAlign w:val="center"/>
                </w:tcPr>
                <w:p w14:paraId="5501346F">
                  <w:pPr>
                    <w:adjustRightInd w:val="0"/>
                    <w:snapToGrid w:val="0"/>
                    <w:jc w:val="center"/>
                    <w:rPr>
                      <w:color w:val="auto"/>
                      <w:kern w:val="0"/>
                      <w:szCs w:val="21"/>
                      <w:highlight w:val="none"/>
                    </w:rPr>
                  </w:pPr>
                </w:p>
              </w:tc>
              <w:tc>
                <w:tcPr>
                  <w:tcW w:w="1371" w:type="dxa"/>
                  <w:tcBorders>
                    <w:tl2br w:val="nil"/>
                    <w:tr2bl w:val="nil"/>
                  </w:tcBorders>
                  <w:vAlign w:val="center"/>
                </w:tcPr>
                <w:p w14:paraId="3FA7C815">
                  <w:pPr>
                    <w:adjustRightInd w:val="0"/>
                    <w:snapToGrid w:val="0"/>
                    <w:jc w:val="center"/>
                    <w:rPr>
                      <w:color w:val="auto"/>
                      <w:kern w:val="0"/>
                      <w:szCs w:val="21"/>
                      <w:highlight w:val="none"/>
                    </w:rPr>
                  </w:pPr>
                  <w:r>
                    <w:rPr>
                      <w:color w:val="auto"/>
                      <w:kern w:val="0"/>
                      <w:szCs w:val="21"/>
                      <w:highlight w:val="none"/>
                    </w:rPr>
                    <w:t>昼间</w:t>
                  </w:r>
                </w:p>
              </w:tc>
              <w:tc>
                <w:tcPr>
                  <w:tcW w:w="1371" w:type="dxa"/>
                  <w:tcBorders>
                    <w:tl2br w:val="nil"/>
                    <w:tr2bl w:val="nil"/>
                  </w:tcBorders>
                  <w:vAlign w:val="center"/>
                </w:tcPr>
                <w:p w14:paraId="701CDA97">
                  <w:pPr>
                    <w:adjustRightInd w:val="0"/>
                    <w:snapToGrid w:val="0"/>
                    <w:jc w:val="center"/>
                    <w:rPr>
                      <w:color w:val="auto"/>
                      <w:kern w:val="0"/>
                      <w:szCs w:val="21"/>
                      <w:highlight w:val="none"/>
                    </w:rPr>
                  </w:pPr>
                  <w:r>
                    <w:rPr>
                      <w:color w:val="auto"/>
                      <w:kern w:val="0"/>
                      <w:szCs w:val="21"/>
                      <w:highlight w:val="none"/>
                    </w:rPr>
                    <w:t>夜间</w:t>
                  </w:r>
                </w:p>
              </w:tc>
            </w:tr>
            <w:tr w14:paraId="35D54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6D8EC812">
                  <w:pPr>
                    <w:adjustRightInd w:val="0"/>
                    <w:snapToGrid w:val="0"/>
                    <w:jc w:val="center"/>
                    <w:rPr>
                      <w:color w:val="auto"/>
                      <w:kern w:val="0"/>
                      <w:szCs w:val="21"/>
                      <w:highlight w:val="none"/>
                    </w:rPr>
                  </w:pPr>
                  <w:r>
                    <w:rPr>
                      <w:color w:val="auto"/>
                      <w:kern w:val="0"/>
                      <w:szCs w:val="21"/>
                      <w:highlight w:val="none"/>
                    </w:rPr>
                    <w:t>《</w:t>
                  </w:r>
                  <w:r>
                    <w:rPr>
                      <w:rFonts w:hint="eastAsia"/>
                      <w:color w:val="auto"/>
                      <w:kern w:val="0"/>
                      <w:szCs w:val="21"/>
                      <w:highlight w:val="none"/>
                    </w:rPr>
                    <w:t>建筑施工场界环境噪声排放标准</w:t>
                  </w:r>
                  <w:r>
                    <w:rPr>
                      <w:color w:val="auto"/>
                      <w:kern w:val="0"/>
                      <w:szCs w:val="21"/>
                      <w:highlight w:val="none"/>
                    </w:rPr>
                    <w:t>》（</w:t>
                  </w:r>
                  <w:r>
                    <w:rPr>
                      <w:color w:val="auto"/>
                      <w:szCs w:val="21"/>
                      <w:highlight w:val="none"/>
                    </w:rPr>
                    <w:t>GB12523</w:t>
                  </w:r>
                  <w:r>
                    <w:rPr>
                      <w:rFonts w:hint="eastAsia"/>
                      <w:color w:val="auto"/>
                      <w:szCs w:val="21"/>
                      <w:highlight w:val="none"/>
                    </w:rPr>
                    <w:t>-</w:t>
                  </w:r>
                  <w:r>
                    <w:rPr>
                      <w:color w:val="auto"/>
                      <w:szCs w:val="21"/>
                      <w:highlight w:val="none"/>
                    </w:rPr>
                    <w:t>2011</w:t>
                  </w:r>
                  <w:r>
                    <w:rPr>
                      <w:color w:val="auto"/>
                      <w:kern w:val="0"/>
                      <w:szCs w:val="21"/>
                      <w:highlight w:val="none"/>
                    </w:rPr>
                    <w:t>）</w:t>
                  </w:r>
                </w:p>
              </w:tc>
              <w:tc>
                <w:tcPr>
                  <w:tcW w:w="1371" w:type="dxa"/>
                  <w:tcBorders>
                    <w:tl2br w:val="nil"/>
                    <w:tr2bl w:val="nil"/>
                  </w:tcBorders>
                  <w:vAlign w:val="center"/>
                </w:tcPr>
                <w:p w14:paraId="71746EA1">
                  <w:pPr>
                    <w:adjustRightInd w:val="0"/>
                    <w:snapToGrid w:val="0"/>
                    <w:jc w:val="center"/>
                    <w:rPr>
                      <w:color w:val="auto"/>
                      <w:kern w:val="0"/>
                      <w:szCs w:val="21"/>
                      <w:highlight w:val="none"/>
                    </w:rPr>
                  </w:pPr>
                  <w:r>
                    <w:rPr>
                      <w:rFonts w:hint="eastAsia"/>
                      <w:color w:val="auto"/>
                      <w:kern w:val="0"/>
                      <w:szCs w:val="21"/>
                      <w:highlight w:val="none"/>
                    </w:rPr>
                    <w:t>70</w:t>
                  </w:r>
                </w:p>
              </w:tc>
              <w:tc>
                <w:tcPr>
                  <w:tcW w:w="1371" w:type="dxa"/>
                  <w:tcBorders>
                    <w:tl2br w:val="nil"/>
                    <w:tr2bl w:val="nil"/>
                  </w:tcBorders>
                  <w:vAlign w:val="center"/>
                </w:tcPr>
                <w:p w14:paraId="6F1324BC">
                  <w:pPr>
                    <w:adjustRightInd w:val="0"/>
                    <w:snapToGrid w:val="0"/>
                    <w:jc w:val="center"/>
                    <w:rPr>
                      <w:color w:val="auto"/>
                      <w:kern w:val="0"/>
                      <w:szCs w:val="21"/>
                      <w:highlight w:val="none"/>
                    </w:rPr>
                  </w:pPr>
                  <w:r>
                    <w:rPr>
                      <w:rFonts w:hint="eastAsia"/>
                      <w:color w:val="auto"/>
                      <w:kern w:val="0"/>
                      <w:szCs w:val="21"/>
                      <w:highlight w:val="none"/>
                    </w:rPr>
                    <w:t>55</w:t>
                  </w:r>
                </w:p>
              </w:tc>
            </w:tr>
            <w:tr w14:paraId="351BC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31F8122D">
                  <w:pPr>
                    <w:adjustRightInd w:val="0"/>
                    <w:snapToGrid w:val="0"/>
                    <w:jc w:val="center"/>
                    <w:rPr>
                      <w:color w:val="auto"/>
                      <w:kern w:val="0"/>
                      <w:szCs w:val="21"/>
                      <w:highlight w:val="none"/>
                    </w:rPr>
                  </w:pPr>
                  <w:r>
                    <w:rPr>
                      <w:color w:val="auto"/>
                      <w:kern w:val="0"/>
                      <w:szCs w:val="21"/>
                      <w:highlight w:val="none"/>
                    </w:rPr>
                    <w:t>《工业企业厂界环境噪声排放标准》（GB12348-2008）</w:t>
                  </w:r>
                </w:p>
              </w:tc>
              <w:tc>
                <w:tcPr>
                  <w:tcW w:w="1371" w:type="dxa"/>
                  <w:tcBorders>
                    <w:tl2br w:val="nil"/>
                    <w:tr2bl w:val="nil"/>
                  </w:tcBorders>
                  <w:vAlign w:val="center"/>
                </w:tcPr>
                <w:p w14:paraId="30900DB6">
                  <w:pPr>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rPr>
                    <w:t>6</w:t>
                  </w:r>
                  <w:r>
                    <w:rPr>
                      <w:rFonts w:hint="eastAsia"/>
                      <w:color w:val="auto"/>
                      <w:kern w:val="0"/>
                      <w:szCs w:val="21"/>
                      <w:highlight w:val="none"/>
                      <w:lang w:val="en-US" w:eastAsia="zh-CN"/>
                    </w:rPr>
                    <w:t>5</w:t>
                  </w:r>
                </w:p>
              </w:tc>
              <w:tc>
                <w:tcPr>
                  <w:tcW w:w="1371" w:type="dxa"/>
                  <w:tcBorders>
                    <w:tl2br w:val="nil"/>
                    <w:tr2bl w:val="nil"/>
                  </w:tcBorders>
                  <w:vAlign w:val="center"/>
                </w:tcPr>
                <w:p w14:paraId="1CFE0D45">
                  <w:pPr>
                    <w:adjustRightInd w:val="0"/>
                    <w:snapToGrid w:val="0"/>
                    <w:jc w:val="center"/>
                    <w:rPr>
                      <w:rFonts w:hint="eastAsia" w:eastAsia="宋体"/>
                      <w:color w:val="auto"/>
                      <w:kern w:val="0"/>
                      <w:szCs w:val="21"/>
                      <w:highlight w:val="none"/>
                      <w:lang w:eastAsia="zh-CN"/>
                    </w:rPr>
                  </w:pPr>
                  <w:r>
                    <w:rPr>
                      <w:color w:val="auto"/>
                      <w:kern w:val="0"/>
                      <w:szCs w:val="21"/>
                      <w:highlight w:val="none"/>
                    </w:rPr>
                    <w:t>5</w:t>
                  </w:r>
                  <w:r>
                    <w:rPr>
                      <w:rFonts w:hint="eastAsia"/>
                      <w:color w:val="auto"/>
                      <w:kern w:val="0"/>
                      <w:szCs w:val="21"/>
                      <w:highlight w:val="none"/>
                      <w:lang w:val="en-US" w:eastAsia="zh-CN"/>
                    </w:rPr>
                    <w:t>5</w:t>
                  </w:r>
                </w:p>
              </w:tc>
            </w:tr>
          </w:tbl>
          <w:p w14:paraId="4ECE3333">
            <w:pPr>
              <w:spacing w:line="360" w:lineRule="auto"/>
              <w:ind w:firstLine="480" w:firstLineChars="200"/>
              <w:jc w:val="left"/>
              <w:rPr>
                <w:rFonts w:ascii="宋体" w:hAnsi="宋体" w:cs="宋体"/>
                <w:color w:val="auto"/>
                <w:kern w:val="0"/>
                <w:szCs w:val="21"/>
                <w:highlight w:val="none"/>
              </w:rPr>
            </w:pPr>
            <w:r>
              <w:rPr>
                <w:rFonts w:hint="eastAsia"/>
                <w:color w:val="auto"/>
                <w:sz w:val="24"/>
                <w:highlight w:val="none"/>
              </w:rPr>
              <w:t>4、</w:t>
            </w:r>
            <w:r>
              <w:rPr>
                <w:rFonts w:hint="eastAsia"/>
                <w:color w:val="auto"/>
                <w:sz w:val="24"/>
                <w:highlight w:val="none"/>
                <w:lang w:eastAsia="zh-CN"/>
              </w:rPr>
              <w:t>变动前后，固废处置措施维持不变。其中</w:t>
            </w:r>
            <w:r>
              <w:rPr>
                <w:color w:val="auto"/>
                <w:kern w:val="0"/>
                <w:sz w:val="24"/>
                <w:highlight w:val="none"/>
              </w:rPr>
              <w:t>一般工业固体废物的贮存、处置执行《一般工业固体废物贮存和填埋污染控制标准》（GB18599-2020）中的相关规定；</w:t>
            </w:r>
            <w:r>
              <w:rPr>
                <w:rFonts w:hint="eastAsia"/>
                <w:color w:val="auto"/>
                <w:sz w:val="24"/>
                <w:highlight w:val="none"/>
              </w:rPr>
              <w:t>危险废物贮存、处置执行《危险废物贮存污染控制标准》（GB18597-2023）中有关规定。</w:t>
            </w:r>
          </w:p>
        </w:tc>
      </w:tr>
      <w:tr w14:paraId="02CBA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5" w:hRule="atLeast"/>
          <w:jc w:val="center"/>
        </w:trPr>
        <w:tc>
          <w:tcPr>
            <w:tcW w:w="678" w:type="dxa"/>
            <w:vAlign w:val="center"/>
          </w:tcPr>
          <w:p w14:paraId="5C97EFC6">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w:t>
            </w:r>
          </w:p>
          <w:p w14:paraId="4F00FB85">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量</w:t>
            </w:r>
          </w:p>
          <w:p w14:paraId="385FEF29">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w:t>
            </w:r>
          </w:p>
          <w:p w14:paraId="2BA08EDC">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w:t>
            </w:r>
          </w:p>
          <w:p w14:paraId="533BD2A9">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指标</w:t>
            </w:r>
          </w:p>
        </w:tc>
        <w:tc>
          <w:tcPr>
            <w:tcW w:w="8312" w:type="dxa"/>
            <w:vAlign w:val="center"/>
          </w:tcPr>
          <w:p w14:paraId="236CC198">
            <w:pPr>
              <w:pStyle w:val="45"/>
              <w:rPr>
                <w:rFonts w:hAnsi="宋体"/>
                <w:color w:val="auto"/>
                <w:szCs w:val="21"/>
                <w:highlight w:val="none"/>
              </w:rPr>
            </w:pPr>
          </w:p>
          <w:p w14:paraId="5049AEA7">
            <w:pPr>
              <w:pStyle w:val="45"/>
              <w:rPr>
                <w:rFonts w:hAnsi="宋体"/>
                <w:color w:val="auto"/>
                <w:szCs w:val="21"/>
                <w:highlight w:val="none"/>
              </w:rPr>
            </w:pPr>
          </w:p>
          <w:p w14:paraId="13828965">
            <w:pPr>
              <w:pStyle w:val="45"/>
              <w:jc w:val="center"/>
              <w:rPr>
                <w:rFonts w:hAnsi="宋体"/>
                <w:color w:val="auto"/>
                <w:szCs w:val="21"/>
                <w:highlight w:val="none"/>
              </w:rPr>
            </w:pPr>
            <w:r>
              <w:rPr>
                <w:rFonts w:hint="eastAsia" w:hAnsi="宋体"/>
                <w:color w:val="auto"/>
                <w:szCs w:val="21"/>
                <w:highlight w:val="none"/>
              </w:rPr>
              <w:t>无</w:t>
            </w:r>
          </w:p>
          <w:p w14:paraId="07943173">
            <w:pPr>
              <w:pStyle w:val="45"/>
              <w:rPr>
                <w:rFonts w:hAnsi="宋体"/>
                <w:color w:val="auto"/>
                <w:szCs w:val="21"/>
                <w:highlight w:val="none"/>
              </w:rPr>
            </w:pPr>
          </w:p>
          <w:p w14:paraId="3AB901B4">
            <w:pPr>
              <w:pStyle w:val="45"/>
              <w:rPr>
                <w:rFonts w:hAnsi="宋体"/>
                <w:color w:val="auto"/>
                <w:szCs w:val="21"/>
                <w:highlight w:val="none"/>
              </w:rPr>
            </w:pPr>
          </w:p>
        </w:tc>
      </w:tr>
    </w:tbl>
    <w:p w14:paraId="3CA23611">
      <w:pPr>
        <w:pStyle w:val="30"/>
        <w:spacing w:before="0" w:beforeAutospacing="0" w:after="0" w:afterAutospacing="0"/>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6"/>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620"/>
      </w:tblGrid>
      <w:tr w14:paraId="6C93E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40153525">
            <w:pPr>
              <w:adjustRightInd w:val="0"/>
              <w:snapToGrid w:val="0"/>
              <w:jc w:val="center"/>
              <w:rPr>
                <w:rFonts w:ascii="宋体" w:hAnsi="宋体" w:cs="宋体"/>
                <w:bCs/>
                <w:color w:val="auto"/>
                <w:szCs w:val="21"/>
                <w:highlight w:val="none"/>
              </w:rPr>
            </w:pPr>
            <w:r>
              <w:rPr>
                <w:rFonts w:hint="eastAsia" w:ascii="宋体" w:hAnsi="宋体" w:cs="宋体"/>
                <w:bCs/>
                <w:color w:val="auto"/>
                <w:sz w:val="24"/>
                <w:highlight w:val="none"/>
              </w:rPr>
              <w:t>施工期环境保护措施</w:t>
            </w:r>
          </w:p>
        </w:tc>
        <w:tc>
          <w:tcPr>
            <w:tcW w:w="8620" w:type="dxa"/>
            <w:vAlign w:val="center"/>
          </w:tcPr>
          <w:p w14:paraId="521CE106">
            <w:pPr>
              <w:widowControl/>
              <w:spacing w:line="360" w:lineRule="auto"/>
              <w:ind w:firstLine="480" w:firstLineChars="200"/>
              <w:jc w:val="left"/>
              <w:rPr>
                <w:rFonts w:ascii="宋体" w:hAnsi="宋体" w:cs="宋体"/>
                <w:bCs/>
                <w:color w:val="auto"/>
                <w:spacing w:val="-10"/>
                <w:szCs w:val="21"/>
                <w:highlight w:val="none"/>
              </w:rPr>
            </w:pPr>
            <w:r>
              <w:rPr>
                <w:rFonts w:hint="eastAsia"/>
                <w:bCs/>
                <w:color w:val="auto"/>
                <w:sz w:val="24"/>
                <w:highlight w:val="none"/>
              </w:rPr>
              <w:t>根据前文分析，本</w:t>
            </w:r>
            <w:r>
              <w:rPr>
                <w:rFonts w:hint="eastAsia"/>
                <w:bCs/>
                <w:color w:val="auto"/>
                <w:sz w:val="24"/>
                <w:highlight w:val="none"/>
                <w:lang w:eastAsia="zh-CN"/>
              </w:rPr>
              <w:t>次变动施工期</w:t>
            </w:r>
            <w:r>
              <w:rPr>
                <w:rFonts w:hint="eastAsia"/>
                <w:bCs/>
                <w:color w:val="auto"/>
                <w:sz w:val="24"/>
                <w:highlight w:val="none"/>
              </w:rPr>
              <w:t>工程内容简单、耗时较短，</w:t>
            </w:r>
            <w:r>
              <w:rPr>
                <w:rFonts w:hint="eastAsia" w:ascii="宋体" w:hAnsi="宋体" w:cs="宋体"/>
                <w:bCs/>
                <w:color w:val="auto"/>
                <w:spacing w:val="-10"/>
                <w:sz w:val="24"/>
                <w:highlight w:val="none"/>
              </w:rPr>
              <w:t>主要为噪声影响，因此施工期间需做到避免粗放作业，尽量减少</w:t>
            </w:r>
            <w:r>
              <w:rPr>
                <w:color w:val="auto"/>
                <w:kern w:val="0"/>
                <w:sz w:val="24"/>
                <w:highlight w:val="none"/>
              </w:rPr>
              <w:t>不必要的敲击</w:t>
            </w:r>
            <w:r>
              <w:rPr>
                <w:rFonts w:hint="eastAsia"/>
                <w:color w:val="auto"/>
                <w:kern w:val="0"/>
                <w:sz w:val="24"/>
                <w:highlight w:val="none"/>
              </w:rPr>
              <w:t>、碰撞</w:t>
            </w:r>
            <w:r>
              <w:rPr>
                <w:color w:val="auto"/>
                <w:kern w:val="0"/>
                <w:sz w:val="24"/>
                <w:highlight w:val="none"/>
              </w:rPr>
              <w:t>声</w:t>
            </w:r>
            <w:r>
              <w:rPr>
                <w:rFonts w:hint="eastAsia"/>
                <w:color w:val="auto"/>
                <w:kern w:val="0"/>
                <w:sz w:val="24"/>
                <w:highlight w:val="none"/>
              </w:rPr>
              <w:t>，合理安排工作时间等；施工结束后及时清理场地遗留的</w:t>
            </w:r>
            <w:r>
              <w:rPr>
                <w:rFonts w:hint="eastAsia"/>
                <w:bCs/>
                <w:color w:val="auto"/>
                <w:sz w:val="24"/>
                <w:highlight w:val="none"/>
              </w:rPr>
              <w:t>废建材和生活垃圾，对周边环境基本无影响，故本次不再赘述施工期环境影响及保护措施。</w:t>
            </w:r>
          </w:p>
        </w:tc>
      </w:tr>
      <w:tr w14:paraId="286EA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3D23F8E6">
            <w:pPr>
              <w:adjustRightInd w:val="0"/>
              <w:snapToGrid w:val="0"/>
              <w:jc w:val="center"/>
              <w:rPr>
                <w:rFonts w:ascii="宋体" w:hAnsi="宋体" w:cs="宋体"/>
                <w:bCs/>
                <w:color w:val="auto"/>
                <w:szCs w:val="21"/>
                <w:highlight w:val="none"/>
              </w:rPr>
            </w:pPr>
          </w:p>
          <w:p w14:paraId="1CC2D560">
            <w:pPr>
              <w:adjustRightInd w:val="0"/>
              <w:snapToGrid w:val="0"/>
              <w:jc w:val="center"/>
              <w:rPr>
                <w:rFonts w:ascii="宋体" w:hAnsi="宋体" w:cs="宋体"/>
                <w:bCs/>
                <w:color w:val="auto"/>
                <w:szCs w:val="21"/>
                <w:highlight w:val="none"/>
              </w:rPr>
            </w:pPr>
          </w:p>
          <w:p w14:paraId="1BF05B5A">
            <w:pPr>
              <w:adjustRightInd w:val="0"/>
              <w:snapToGrid w:val="0"/>
              <w:jc w:val="center"/>
              <w:rPr>
                <w:rFonts w:ascii="宋体" w:hAnsi="宋体" w:cs="宋体"/>
                <w:bCs/>
                <w:color w:val="auto"/>
                <w:szCs w:val="21"/>
                <w:highlight w:val="none"/>
              </w:rPr>
            </w:pPr>
          </w:p>
          <w:p w14:paraId="79B650C6">
            <w:pPr>
              <w:adjustRightInd w:val="0"/>
              <w:snapToGrid w:val="0"/>
              <w:jc w:val="center"/>
              <w:rPr>
                <w:rFonts w:ascii="宋体" w:hAnsi="宋体" w:cs="宋体"/>
                <w:bCs/>
                <w:color w:val="auto"/>
                <w:szCs w:val="21"/>
                <w:highlight w:val="none"/>
              </w:rPr>
            </w:pPr>
          </w:p>
          <w:p w14:paraId="7759C886">
            <w:pPr>
              <w:adjustRightInd w:val="0"/>
              <w:snapToGrid w:val="0"/>
              <w:jc w:val="center"/>
              <w:rPr>
                <w:rFonts w:ascii="宋体" w:hAnsi="宋体" w:cs="宋体"/>
                <w:bCs/>
                <w:color w:val="auto"/>
                <w:szCs w:val="21"/>
                <w:highlight w:val="none"/>
              </w:rPr>
            </w:pPr>
          </w:p>
          <w:p w14:paraId="7F70178C">
            <w:pPr>
              <w:adjustRightInd w:val="0"/>
              <w:snapToGrid w:val="0"/>
              <w:jc w:val="center"/>
              <w:rPr>
                <w:rFonts w:ascii="宋体" w:hAnsi="宋体" w:cs="宋体"/>
                <w:bCs/>
                <w:color w:val="auto"/>
                <w:szCs w:val="21"/>
                <w:highlight w:val="none"/>
              </w:rPr>
            </w:pPr>
          </w:p>
          <w:p w14:paraId="678785AE">
            <w:pPr>
              <w:adjustRightInd w:val="0"/>
              <w:snapToGrid w:val="0"/>
              <w:jc w:val="center"/>
              <w:rPr>
                <w:rFonts w:ascii="宋体" w:hAnsi="宋体" w:cs="宋体"/>
                <w:bCs/>
                <w:color w:val="auto"/>
                <w:szCs w:val="21"/>
                <w:highlight w:val="none"/>
              </w:rPr>
            </w:pPr>
          </w:p>
          <w:p w14:paraId="1156B094">
            <w:pPr>
              <w:adjustRightInd w:val="0"/>
              <w:snapToGrid w:val="0"/>
              <w:jc w:val="center"/>
              <w:rPr>
                <w:rFonts w:ascii="宋体" w:hAnsi="宋体" w:cs="宋体"/>
                <w:bCs/>
                <w:color w:val="auto"/>
                <w:szCs w:val="21"/>
                <w:highlight w:val="none"/>
              </w:rPr>
            </w:pPr>
          </w:p>
          <w:p w14:paraId="2845D4A4">
            <w:pPr>
              <w:adjustRightInd w:val="0"/>
              <w:snapToGrid w:val="0"/>
              <w:jc w:val="center"/>
              <w:rPr>
                <w:rFonts w:ascii="宋体" w:hAnsi="宋体" w:cs="宋体"/>
                <w:bCs/>
                <w:color w:val="auto"/>
                <w:szCs w:val="21"/>
                <w:highlight w:val="none"/>
              </w:rPr>
            </w:pPr>
          </w:p>
          <w:p w14:paraId="770277A6">
            <w:pPr>
              <w:adjustRightInd w:val="0"/>
              <w:snapToGrid w:val="0"/>
              <w:jc w:val="center"/>
              <w:rPr>
                <w:rFonts w:ascii="宋体" w:hAnsi="宋体" w:cs="宋体"/>
                <w:bCs/>
                <w:color w:val="auto"/>
                <w:szCs w:val="21"/>
                <w:highlight w:val="none"/>
              </w:rPr>
            </w:pPr>
          </w:p>
          <w:p w14:paraId="10DBDE8C">
            <w:pPr>
              <w:adjustRightInd w:val="0"/>
              <w:snapToGrid w:val="0"/>
              <w:jc w:val="center"/>
              <w:rPr>
                <w:rFonts w:ascii="宋体" w:hAnsi="宋体" w:cs="宋体"/>
                <w:bCs/>
                <w:color w:val="auto"/>
                <w:szCs w:val="21"/>
                <w:highlight w:val="none"/>
              </w:rPr>
            </w:pPr>
          </w:p>
          <w:p w14:paraId="4A6ADE52">
            <w:pPr>
              <w:adjustRightInd w:val="0"/>
              <w:snapToGrid w:val="0"/>
              <w:jc w:val="both"/>
              <w:rPr>
                <w:rFonts w:ascii="宋体" w:hAnsi="宋体" w:cs="宋体"/>
                <w:bCs/>
                <w:color w:val="auto"/>
                <w:szCs w:val="21"/>
                <w:highlight w:val="none"/>
              </w:rPr>
            </w:pPr>
          </w:p>
          <w:p w14:paraId="46CACB5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6AE7F2A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FD2DD9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3A21431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74E7B6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0577CCE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CD6AD28">
            <w:pPr>
              <w:adjustRightInd w:val="0"/>
              <w:snapToGrid w:val="0"/>
              <w:jc w:val="center"/>
              <w:rPr>
                <w:rFonts w:ascii="宋体" w:hAnsi="宋体" w:cs="宋体"/>
                <w:bCs/>
                <w:color w:val="auto"/>
                <w:szCs w:val="21"/>
                <w:highlight w:val="none"/>
              </w:rPr>
            </w:pPr>
          </w:p>
          <w:p w14:paraId="4E850D4B">
            <w:pPr>
              <w:adjustRightInd w:val="0"/>
              <w:snapToGrid w:val="0"/>
              <w:jc w:val="center"/>
              <w:rPr>
                <w:rFonts w:ascii="宋体" w:hAnsi="宋体" w:cs="宋体"/>
                <w:bCs/>
                <w:color w:val="auto"/>
                <w:szCs w:val="21"/>
                <w:highlight w:val="none"/>
              </w:rPr>
            </w:pPr>
          </w:p>
          <w:p w14:paraId="1BB0EC20">
            <w:pPr>
              <w:adjustRightInd w:val="0"/>
              <w:snapToGrid w:val="0"/>
              <w:jc w:val="center"/>
              <w:rPr>
                <w:rFonts w:ascii="宋体" w:hAnsi="宋体" w:cs="宋体"/>
                <w:bCs/>
                <w:color w:val="auto"/>
                <w:szCs w:val="21"/>
                <w:highlight w:val="none"/>
              </w:rPr>
            </w:pPr>
          </w:p>
          <w:p w14:paraId="13058A78">
            <w:pPr>
              <w:adjustRightInd w:val="0"/>
              <w:snapToGrid w:val="0"/>
              <w:jc w:val="center"/>
              <w:rPr>
                <w:rFonts w:ascii="宋体" w:hAnsi="宋体" w:cs="宋体"/>
                <w:bCs/>
                <w:color w:val="auto"/>
                <w:szCs w:val="21"/>
                <w:highlight w:val="none"/>
              </w:rPr>
            </w:pPr>
          </w:p>
          <w:p w14:paraId="5ED7B21B">
            <w:pPr>
              <w:adjustRightInd w:val="0"/>
              <w:snapToGrid w:val="0"/>
              <w:jc w:val="center"/>
              <w:rPr>
                <w:rFonts w:ascii="宋体" w:hAnsi="宋体" w:cs="宋体"/>
                <w:bCs/>
                <w:color w:val="auto"/>
                <w:szCs w:val="21"/>
                <w:highlight w:val="none"/>
              </w:rPr>
            </w:pPr>
          </w:p>
          <w:p w14:paraId="3AB5D8A3">
            <w:pPr>
              <w:adjustRightInd w:val="0"/>
              <w:snapToGrid w:val="0"/>
              <w:jc w:val="center"/>
              <w:rPr>
                <w:rFonts w:ascii="宋体" w:hAnsi="宋体" w:cs="宋体"/>
                <w:bCs/>
                <w:color w:val="auto"/>
                <w:szCs w:val="21"/>
                <w:highlight w:val="none"/>
              </w:rPr>
            </w:pPr>
          </w:p>
          <w:p w14:paraId="10F92C9C">
            <w:pPr>
              <w:adjustRightInd w:val="0"/>
              <w:snapToGrid w:val="0"/>
              <w:jc w:val="center"/>
              <w:rPr>
                <w:rFonts w:ascii="宋体" w:hAnsi="宋体" w:cs="宋体"/>
                <w:bCs/>
                <w:color w:val="auto"/>
                <w:szCs w:val="21"/>
                <w:highlight w:val="none"/>
              </w:rPr>
            </w:pPr>
          </w:p>
          <w:p w14:paraId="6A31D195">
            <w:pPr>
              <w:adjustRightInd w:val="0"/>
              <w:snapToGrid w:val="0"/>
              <w:jc w:val="center"/>
              <w:rPr>
                <w:rFonts w:ascii="宋体" w:hAnsi="宋体" w:cs="宋体"/>
                <w:bCs/>
                <w:color w:val="auto"/>
                <w:szCs w:val="21"/>
                <w:highlight w:val="none"/>
              </w:rPr>
            </w:pPr>
          </w:p>
          <w:p w14:paraId="24EBD359">
            <w:pPr>
              <w:adjustRightInd w:val="0"/>
              <w:snapToGrid w:val="0"/>
              <w:jc w:val="center"/>
              <w:rPr>
                <w:rFonts w:ascii="宋体" w:hAnsi="宋体" w:cs="宋体"/>
                <w:bCs/>
                <w:color w:val="auto"/>
                <w:szCs w:val="21"/>
                <w:highlight w:val="none"/>
              </w:rPr>
            </w:pPr>
          </w:p>
          <w:p w14:paraId="7C240DFC">
            <w:pPr>
              <w:adjustRightInd w:val="0"/>
              <w:snapToGrid w:val="0"/>
              <w:jc w:val="center"/>
              <w:rPr>
                <w:rFonts w:ascii="宋体" w:hAnsi="宋体" w:cs="宋体"/>
                <w:bCs/>
                <w:color w:val="auto"/>
                <w:szCs w:val="21"/>
                <w:highlight w:val="none"/>
              </w:rPr>
            </w:pPr>
          </w:p>
          <w:p w14:paraId="41068A51">
            <w:pPr>
              <w:adjustRightInd w:val="0"/>
              <w:snapToGrid w:val="0"/>
              <w:jc w:val="center"/>
              <w:rPr>
                <w:rFonts w:ascii="宋体" w:hAnsi="宋体" w:cs="宋体"/>
                <w:bCs/>
                <w:color w:val="auto"/>
                <w:szCs w:val="21"/>
                <w:highlight w:val="none"/>
              </w:rPr>
            </w:pPr>
          </w:p>
          <w:p w14:paraId="270C754B">
            <w:pPr>
              <w:adjustRightInd w:val="0"/>
              <w:snapToGrid w:val="0"/>
              <w:jc w:val="center"/>
              <w:rPr>
                <w:rFonts w:ascii="宋体" w:hAnsi="宋体" w:cs="宋体"/>
                <w:bCs/>
                <w:color w:val="auto"/>
                <w:szCs w:val="21"/>
                <w:highlight w:val="none"/>
              </w:rPr>
            </w:pPr>
          </w:p>
          <w:p w14:paraId="6B0888C5">
            <w:pPr>
              <w:adjustRightInd w:val="0"/>
              <w:snapToGrid w:val="0"/>
              <w:jc w:val="center"/>
              <w:rPr>
                <w:rFonts w:ascii="宋体" w:hAnsi="宋体" w:cs="宋体"/>
                <w:bCs/>
                <w:color w:val="auto"/>
                <w:szCs w:val="21"/>
                <w:highlight w:val="none"/>
              </w:rPr>
            </w:pPr>
          </w:p>
          <w:p w14:paraId="0FF36275">
            <w:pPr>
              <w:adjustRightInd w:val="0"/>
              <w:snapToGrid w:val="0"/>
              <w:jc w:val="center"/>
              <w:rPr>
                <w:rFonts w:ascii="宋体" w:hAnsi="宋体" w:cs="宋体"/>
                <w:bCs/>
                <w:color w:val="auto"/>
                <w:szCs w:val="21"/>
                <w:highlight w:val="none"/>
              </w:rPr>
            </w:pPr>
          </w:p>
          <w:p w14:paraId="68AD9327">
            <w:pPr>
              <w:adjustRightInd w:val="0"/>
              <w:snapToGrid w:val="0"/>
              <w:jc w:val="center"/>
              <w:rPr>
                <w:rFonts w:ascii="宋体" w:hAnsi="宋体" w:cs="宋体"/>
                <w:bCs/>
                <w:color w:val="auto"/>
                <w:szCs w:val="21"/>
                <w:highlight w:val="none"/>
              </w:rPr>
            </w:pPr>
          </w:p>
          <w:p w14:paraId="7783E846">
            <w:pPr>
              <w:adjustRightInd w:val="0"/>
              <w:snapToGrid w:val="0"/>
              <w:jc w:val="center"/>
              <w:rPr>
                <w:rFonts w:ascii="宋体" w:hAnsi="宋体" w:cs="宋体"/>
                <w:bCs/>
                <w:color w:val="auto"/>
                <w:szCs w:val="21"/>
                <w:highlight w:val="none"/>
              </w:rPr>
            </w:pPr>
          </w:p>
          <w:p w14:paraId="0F17620F">
            <w:pPr>
              <w:adjustRightInd w:val="0"/>
              <w:snapToGrid w:val="0"/>
              <w:jc w:val="center"/>
              <w:rPr>
                <w:rFonts w:ascii="宋体" w:hAnsi="宋体" w:cs="宋体"/>
                <w:bCs/>
                <w:color w:val="auto"/>
                <w:szCs w:val="21"/>
                <w:highlight w:val="none"/>
              </w:rPr>
            </w:pPr>
          </w:p>
          <w:p w14:paraId="7C3DDF88">
            <w:pPr>
              <w:adjustRightInd w:val="0"/>
              <w:snapToGrid w:val="0"/>
              <w:jc w:val="center"/>
              <w:rPr>
                <w:rFonts w:ascii="宋体" w:hAnsi="宋体" w:cs="宋体"/>
                <w:bCs/>
                <w:color w:val="auto"/>
                <w:szCs w:val="21"/>
                <w:highlight w:val="none"/>
              </w:rPr>
            </w:pPr>
          </w:p>
          <w:p w14:paraId="6C2076BA">
            <w:pPr>
              <w:adjustRightInd w:val="0"/>
              <w:snapToGrid w:val="0"/>
              <w:jc w:val="center"/>
              <w:rPr>
                <w:rFonts w:ascii="宋体" w:hAnsi="宋体" w:cs="宋体"/>
                <w:bCs/>
                <w:color w:val="auto"/>
                <w:szCs w:val="21"/>
                <w:highlight w:val="none"/>
              </w:rPr>
            </w:pPr>
          </w:p>
          <w:p w14:paraId="215B6267">
            <w:pPr>
              <w:adjustRightInd w:val="0"/>
              <w:snapToGrid w:val="0"/>
              <w:jc w:val="center"/>
              <w:rPr>
                <w:rFonts w:ascii="宋体" w:hAnsi="宋体" w:cs="宋体"/>
                <w:bCs/>
                <w:color w:val="auto"/>
                <w:szCs w:val="21"/>
                <w:highlight w:val="none"/>
              </w:rPr>
            </w:pPr>
          </w:p>
          <w:p w14:paraId="5DBC8C2E">
            <w:pPr>
              <w:adjustRightInd w:val="0"/>
              <w:snapToGrid w:val="0"/>
              <w:jc w:val="center"/>
              <w:rPr>
                <w:rFonts w:ascii="宋体" w:hAnsi="宋体" w:cs="宋体"/>
                <w:bCs/>
                <w:color w:val="auto"/>
                <w:szCs w:val="21"/>
                <w:highlight w:val="none"/>
              </w:rPr>
            </w:pPr>
          </w:p>
          <w:p w14:paraId="3FA6F103">
            <w:pPr>
              <w:adjustRightInd w:val="0"/>
              <w:snapToGrid w:val="0"/>
              <w:jc w:val="center"/>
              <w:rPr>
                <w:rFonts w:ascii="宋体" w:hAnsi="宋体" w:cs="宋体"/>
                <w:bCs/>
                <w:color w:val="auto"/>
                <w:szCs w:val="21"/>
                <w:highlight w:val="none"/>
              </w:rPr>
            </w:pPr>
          </w:p>
          <w:p w14:paraId="7B6E323F">
            <w:pPr>
              <w:adjustRightInd w:val="0"/>
              <w:snapToGrid w:val="0"/>
              <w:jc w:val="center"/>
              <w:rPr>
                <w:rFonts w:ascii="宋体" w:hAnsi="宋体" w:cs="宋体"/>
                <w:bCs/>
                <w:color w:val="auto"/>
                <w:szCs w:val="21"/>
                <w:highlight w:val="none"/>
              </w:rPr>
            </w:pPr>
          </w:p>
          <w:p w14:paraId="68660762">
            <w:pPr>
              <w:adjustRightInd w:val="0"/>
              <w:snapToGrid w:val="0"/>
              <w:jc w:val="center"/>
              <w:rPr>
                <w:rFonts w:ascii="宋体" w:hAnsi="宋体" w:cs="宋体"/>
                <w:bCs/>
                <w:color w:val="auto"/>
                <w:szCs w:val="21"/>
                <w:highlight w:val="none"/>
              </w:rPr>
            </w:pPr>
          </w:p>
          <w:p w14:paraId="66C8B790">
            <w:pPr>
              <w:adjustRightInd w:val="0"/>
              <w:snapToGrid w:val="0"/>
              <w:jc w:val="center"/>
              <w:rPr>
                <w:rFonts w:ascii="宋体" w:hAnsi="宋体" w:cs="宋体"/>
                <w:bCs/>
                <w:color w:val="auto"/>
                <w:szCs w:val="21"/>
                <w:highlight w:val="none"/>
              </w:rPr>
            </w:pPr>
          </w:p>
          <w:p w14:paraId="102008F7">
            <w:pPr>
              <w:adjustRightInd w:val="0"/>
              <w:snapToGrid w:val="0"/>
              <w:jc w:val="center"/>
              <w:rPr>
                <w:rFonts w:ascii="宋体" w:hAnsi="宋体" w:cs="宋体"/>
                <w:bCs/>
                <w:color w:val="auto"/>
                <w:szCs w:val="21"/>
                <w:highlight w:val="none"/>
              </w:rPr>
            </w:pPr>
          </w:p>
          <w:p w14:paraId="7B9AD060">
            <w:pPr>
              <w:adjustRightInd w:val="0"/>
              <w:snapToGrid w:val="0"/>
              <w:jc w:val="center"/>
              <w:rPr>
                <w:rFonts w:ascii="宋体" w:hAnsi="宋体" w:cs="宋体"/>
                <w:bCs/>
                <w:color w:val="auto"/>
                <w:szCs w:val="21"/>
                <w:highlight w:val="none"/>
              </w:rPr>
            </w:pPr>
          </w:p>
          <w:p w14:paraId="1F560351">
            <w:pPr>
              <w:adjustRightInd w:val="0"/>
              <w:snapToGrid w:val="0"/>
              <w:jc w:val="both"/>
              <w:rPr>
                <w:rFonts w:ascii="宋体" w:hAnsi="宋体" w:cs="宋体"/>
                <w:bCs/>
                <w:color w:val="auto"/>
                <w:sz w:val="24"/>
                <w:highlight w:val="none"/>
              </w:rPr>
            </w:pPr>
          </w:p>
          <w:p w14:paraId="51CD0B2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8C15E9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34AD595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5AEECD2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5067925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D316A0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377CBC24">
            <w:pPr>
              <w:adjustRightInd w:val="0"/>
              <w:snapToGrid w:val="0"/>
              <w:jc w:val="center"/>
              <w:rPr>
                <w:rFonts w:ascii="宋体" w:hAnsi="宋体" w:cs="宋体"/>
                <w:bCs/>
                <w:color w:val="auto"/>
                <w:szCs w:val="21"/>
                <w:highlight w:val="none"/>
              </w:rPr>
            </w:pPr>
          </w:p>
          <w:p w14:paraId="27039681">
            <w:pPr>
              <w:adjustRightInd w:val="0"/>
              <w:snapToGrid w:val="0"/>
              <w:jc w:val="center"/>
              <w:rPr>
                <w:rFonts w:ascii="宋体" w:hAnsi="宋体" w:cs="宋体"/>
                <w:bCs/>
                <w:color w:val="auto"/>
                <w:szCs w:val="21"/>
                <w:highlight w:val="none"/>
              </w:rPr>
            </w:pPr>
          </w:p>
          <w:p w14:paraId="1AC5F95D">
            <w:pPr>
              <w:adjustRightInd w:val="0"/>
              <w:snapToGrid w:val="0"/>
              <w:jc w:val="center"/>
              <w:rPr>
                <w:rFonts w:ascii="宋体" w:hAnsi="宋体" w:cs="宋体"/>
                <w:bCs/>
                <w:color w:val="auto"/>
                <w:szCs w:val="21"/>
                <w:highlight w:val="none"/>
              </w:rPr>
            </w:pPr>
          </w:p>
          <w:p w14:paraId="7AFE3AFF">
            <w:pPr>
              <w:adjustRightInd w:val="0"/>
              <w:snapToGrid w:val="0"/>
              <w:jc w:val="center"/>
              <w:rPr>
                <w:rFonts w:ascii="宋体" w:hAnsi="宋体" w:cs="宋体"/>
                <w:bCs/>
                <w:color w:val="auto"/>
                <w:szCs w:val="21"/>
                <w:highlight w:val="none"/>
              </w:rPr>
            </w:pPr>
          </w:p>
          <w:p w14:paraId="004E016C">
            <w:pPr>
              <w:adjustRightInd w:val="0"/>
              <w:snapToGrid w:val="0"/>
              <w:jc w:val="center"/>
              <w:rPr>
                <w:rFonts w:ascii="宋体" w:hAnsi="宋体" w:cs="宋体"/>
                <w:bCs/>
                <w:color w:val="auto"/>
                <w:szCs w:val="21"/>
                <w:highlight w:val="none"/>
              </w:rPr>
            </w:pPr>
          </w:p>
          <w:p w14:paraId="48D17F3F">
            <w:pPr>
              <w:adjustRightInd w:val="0"/>
              <w:snapToGrid w:val="0"/>
              <w:jc w:val="center"/>
              <w:rPr>
                <w:rFonts w:ascii="宋体" w:hAnsi="宋体" w:cs="宋体"/>
                <w:bCs/>
                <w:color w:val="auto"/>
                <w:szCs w:val="21"/>
                <w:highlight w:val="none"/>
              </w:rPr>
            </w:pPr>
          </w:p>
          <w:p w14:paraId="55699EC2">
            <w:pPr>
              <w:adjustRightInd w:val="0"/>
              <w:snapToGrid w:val="0"/>
              <w:jc w:val="center"/>
              <w:rPr>
                <w:rFonts w:ascii="宋体" w:hAnsi="宋体" w:cs="宋体"/>
                <w:bCs/>
                <w:color w:val="auto"/>
                <w:szCs w:val="21"/>
                <w:highlight w:val="none"/>
              </w:rPr>
            </w:pPr>
          </w:p>
          <w:p w14:paraId="2F256028">
            <w:pPr>
              <w:adjustRightInd w:val="0"/>
              <w:snapToGrid w:val="0"/>
              <w:jc w:val="center"/>
              <w:rPr>
                <w:rFonts w:ascii="宋体" w:hAnsi="宋体" w:cs="宋体"/>
                <w:bCs/>
                <w:color w:val="auto"/>
                <w:szCs w:val="21"/>
                <w:highlight w:val="none"/>
              </w:rPr>
            </w:pPr>
          </w:p>
          <w:p w14:paraId="7EB0F69A">
            <w:pPr>
              <w:adjustRightInd w:val="0"/>
              <w:snapToGrid w:val="0"/>
              <w:jc w:val="center"/>
              <w:rPr>
                <w:rFonts w:ascii="宋体" w:hAnsi="宋体" w:cs="宋体"/>
                <w:bCs/>
                <w:color w:val="auto"/>
                <w:szCs w:val="21"/>
                <w:highlight w:val="none"/>
              </w:rPr>
            </w:pPr>
          </w:p>
          <w:p w14:paraId="23E80938">
            <w:pPr>
              <w:adjustRightInd w:val="0"/>
              <w:snapToGrid w:val="0"/>
              <w:jc w:val="center"/>
              <w:rPr>
                <w:rFonts w:ascii="宋体" w:hAnsi="宋体" w:cs="宋体"/>
                <w:bCs/>
                <w:color w:val="auto"/>
                <w:szCs w:val="21"/>
                <w:highlight w:val="none"/>
              </w:rPr>
            </w:pPr>
          </w:p>
          <w:p w14:paraId="2ACB47DB">
            <w:pPr>
              <w:adjustRightInd w:val="0"/>
              <w:snapToGrid w:val="0"/>
              <w:jc w:val="center"/>
              <w:rPr>
                <w:rFonts w:ascii="宋体" w:hAnsi="宋体" w:cs="宋体"/>
                <w:bCs/>
                <w:color w:val="auto"/>
                <w:szCs w:val="21"/>
                <w:highlight w:val="none"/>
              </w:rPr>
            </w:pPr>
          </w:p>
          <w:p w14:paraId="703869CA">
            <w:pPr>
              <w:adjustRightInd w:val="0"/>
              <w:snapToGrid w:val="0"/>
              <w:jc w:val="center"/>
              <w:rPr>
                <w:rFonts w:ascii="宋体" w:hAnsi="宋体" w:cs="宋体"/>
                <w:bCs/>
                <w:color w:val="auto"/>
                <w:szCs w:val="21"/>
                <w:highlight w:val="none"/>
              </w:rPr>
            </w:pPr>
          </w:p>
          <w:p w14:paraId="269258CC">
            <w:pPr>
              <w:adjustRightInd w:val="0"/>
              <w:snapToGrid w:val="0"/>
              <w:jc w:val="center"/>
              <w:rPr>
                <w:rFonts w:ascii="宋体" w:hAnsi="宋体" w:cs="宋体"/>
                <w:bCs/>
                <w:color w:val="auto"/>
                <w:szCs w:val="21"/>
                <w:highlight w:val="none"/>
              </w:rPr>
            </w:pPr>
          </w:p>
          <w:p w14:paraId="6D9D2637">
            <w:pPr>
              <w:adjustRightInd w:val="0"/>
              <w:snapToGrid w:val="0"/>
              <w:jc w:val="center"/>
              <w:rPr>
                <w:rFonts w:ascii="宋体" w:hAnsi="宋体" w:cs="宋体"/>
                <w:bCs/>
                <w:color w:val="auto"/>
                <w:szCs w:val="21"/>
                <w:highlight w:val="none"/>
              </w:rPr>
            </w:pPr>
          </w:p>
          <w:p w14:paraId="5940807E">
            <w:pPr>
              <w:adjustRightInd w:val="0"/>
              <w:snapToGrid w:val="0"/>
              <w:jc w:val="center"/>
              <w:rPr>
                <w:rFonts w:ascii="宋体" w:hAnsi="宋体" w:cs="宋体"/>
                <w:bCs/>
                <w:color w:val="auto"/>
                <w:szCs w:val="21"/>
                <w:highlight w:val="none"/>
              </w:rPr>
            </w:pPr>
          </w:p>
          <w:p w14:paraId="26245A8E">
            <w:pPr>
              <w:adjustRightInd w:val="0"/>
              <w:snapToGrid w:val="0"/>
              <w:jc w:val="center"/>
              <w:rPr>
                <w:rFonts w:ascii="宋体" w:hAnsi="宋体" w:cs="宋体"/>
                <w:bCs/>
                <w:color w:val="auto"/>
                <w:szCs w:val="21"/>
                <w:highlight w:val="none"/>
              </w:rPr>
            </w:pPr>
          </w:p>
          <w:p w14:paraId="2F72F676">
            <w:pPr>
              <w:adjustRightInd w:val="0"/>
              <w:snapToGrid w:val="0"/>
              <w:jc w:val="center"/>
              <w:rPr>
                <w:rFonts w:ascii="宋体" w:hAnsi="宋体" w:cs="宋体"/>
                <w:bCs/>
                <w:color w:val="auto"/>
                <w:szCs w:val="21"/>
                <w:highlight w:val="none"/>
              </w:rPr>
            </w:pPr>
          </w:p>
          <w:p w14:paraId="5ED26168">
            <w:pPr>
              <w:adjustRightInd w:val="0"/>
              <w:snapToGrid w:val="0"/>
              <w:jc w:val="center"/>
              <w:rPr>
                <w:rFonts w:ascii="宋体" w:hAnsi="宋体" w:cs="宋体"/>
                <w:bCs/>
                <w:color w:val="auto"/>
                <w:szCs w:val="21"/>
                <w:highlight w:val="none"/>
              </w:rPr>
            </w:pPr>
          </w:p>
          <w:p w14:paraId="4A47FCD7">
            <w:pPr>
              <w:adjustRightInd w:val="0"/>
              <w:snapToGrid w:val="0"/>
              <w:jc w:val="center"/>
              <w:rPr>
                <w:rFonts w:ascii="宋体" w:hAnsi="宋体" w:cs="宋体"/>
                <w:bCs/>
                <w:color w:val="auto"/>
                <w:szCs w:val="21"/>
                <w:highlight w:val="none"/>
              </w:rPr>
            </w:pPr>
          </w:p>
          <w:p w14:paraId="7C10E038">
            <w:pPr>
              <w:adjustRightInd w:val="0"/>
              <w:snapToGrid w:val="0"/>
              <w:jc w:val="center"/>
              <w:rPr>
                <w:rFonts w:ascii="宋体" w:hAnsi="宋体" w:cs="宋体"/>
                <w:bCs/>
                <w:color w:val="auto"/>
                <w:szCs w:val="21"/>
                <w:highlight w:val="none"/>
              </w:rPr>
            </w:pPr>
          </w:p>
          <w:p w14:paraId="56814ED1">
            <w:pPr>
              <w:adjustRightInd w:val="0"/>
              <w:snapToGrid w:val="0"/>
              <w:jc w:val="center"/>
              <w:rPr>
                <w:rFonts w:ascii="宋体" w:hAnsi="宋体" w:cs="宋体"/>
                <w:bCs/>
                <w:color w:val="auto"/>
                <w:szCs w:val="21"/>
                <w:highlight w:val="none"/>
              </w:rPr>
            </w:pPr>
          </w:p>
          <w:p w14:paraId="7E463FFB">
            <w:pPr>
              <w:adjustRightInd w:val="0"/>
              <w:snapToGrid w:val="0"/>
              <w:jc w:val="center"/>
              <w:rPr>
                <w:rFonts w:ascii="宋体" w:hAnsi="宋体" w:cs="宋体"/>
                <w:bCs/>
                <w:color w:val="auto"/>
                <w:szCs w:val="21"/>
                <w:highlight w:val="none"/>
              </w:rPr>
            </w:pPr>
          </w:p>
          <w:p w14:paraId="73FC4E1B">
            <w:pPr>
              <w:adjustRightInd w:val="0"/>
              <w:snapToGrid w:val="0"/>
              <w:jc w:val="center"/>
              <w:rPr>
                <w:rFonts w:ascii="宋体" w:hAnsi="宋体" w:cs="宋体"/>
                <w:bCs/>
                <w:color w:val="auto"/>
                <w:szCs w:val="21"/>
                <w:highlight w:val="none"/>
              </w:rPr>
            </w:pPr>
          </w:p>
          <w:p w14:paraId="5E07C91F">
            <w:pPr>
              <w:adjustRightInd w:val="0"/>
              <w:snapToGrid w:val="0"/>
              <w:jc w:val="center"/>
              <w:rPr>
                <w:rFonts w:ascii="宋体" w:hAnsi="宋体" w:cs="宋体"/>
                <w:bCs/>
                <w:color w:val="auto"/>
                <w:szCs w:val="21"/>
                <w:highlight w:val="none"/>
              </w:rPr>
            </w:pPr>
          </w:p>
          <w:p w14:paraId="6EFC2995">
            <w:pPr>
              <w:adjustRightInd w:val="0"/>
              <w:snapToGrid w:val="0"/>
              <w:jc w:val="center"/>
              <w:rPr>
                <w:rFonts w:ascii="宋体" w:hAnsi="宋体" w:cs="宋体"/>
                <w:bCs/>
                <w:color w:val="auto"/>
                <w:szCs w:val="21"/>
                <w:highlight w:val="none"/>
              </w:rPr>
            </w:pPr>
          </w:p>
          <w:p w14:paraId="00AEB93C">
            <w:pPr>
              <w:adjustRightInd w:val="0"/>
              <w:snapToGrid w:val="0"/>
              <w:jc w:val="center"/>
              <w:rPr>
                <w:rFonts w:ascii="宋体" w:hAnsi="宋体" w:cs="宋体"/>
                <w:bCs/>
                <w:color w:val="auto"/>
                <w:szCs w:val="21"/>
                <w:highlight w:val="none"/>
              </w:rPr>
            </w:pPr>
          </w:p>
          <w:p w14:paraId="3906F2BE">
            <w:pPr>
              <w:adjustRightInd w:val="0"/>
              <w:snapToGrid w:val="0"/>
              <w:jc w:val="center"/>
              <w:rPr>
                <w:rFonts w:ascii="宋体" w:hAnsi="宋体" w:cs="宋体"/>
                <w:bCs/>
                <w:color w:val="auto"/>
                <w:szCs w:val="21"/>
                <w:highlight w:val="none"/>
              </w:rPr>
            </w:pPr>
          </w:p>
          <w:p w14:paraId="7677B365">
            <w:pPr>
              <w:adjustRightInd w:val="0"/>
              <w:snapToGrid w:val="0"/>
              <w:jc w:val="center"/>
              <w:rPr>
                <w:rFonts w:ascii="宋体" w:hAnsi="宋体" w:cs="宋体"/>
                <w:bCs/>
                <w:color w:val="auto"/>
                <w:szCs w:val="21"/>
                <w:highlight w:val="none"/>
              </w:rPr>
            </w:pPr>
          </w:p>
          <w:p w14:paraId="2DAB15DA">
            <w:pPr>
              <w:adjustRightInd w:val="0"/>
              <w:snapToGrid w:val="0"/>
              <w:jc w:val="center"/>
              <w:rPr>
                <w:rFonts w:ascii="宋体" w:hAnsi="宋体" w:cs="宋体"/>
                <w:bCs/>
                <w:color w:val="auto"/>
                <w:szCs w:val="21"/>
                <w:highlight w:val="none"/>
              </w:rPr>
            </w:pPr>
          </w:p>
          <w:p w14:paraId="69B54392">
            <w:pPr>
              <w:adjustRightInd w:val="0"/>
              <w:snapToGrid w:val="0"/>
              <w:jc w:val="center"/>
              <w:rPr>
                <w:rFonts w:ascii="宋体" w:hAnsi="宋体" w:cs="宋体"/>
                <w:bCs/>
                <w:color w:val="auto"/>
                <w:szCs w:val="21"/>
                <w:highlight w:val="none"/>
              </w:rPr>
            </w:pPr>
          </w:p>
          <w:p w14:paraId="37F1E68D">
            <w:pPr>
              <w:adjustRightInd w:val="0"/>
              <w:snapToGrid w:val="0"/>
              <w:jc w:val="center"/>
              <w:rPr>
                <w:rFonts w:ascii="宋体" w:hAnsi="宋体" w:cs="宋体"/>
                <w:bCs/>
                <w:color w:val="auto"/>
                <w:szCs w:val="21"/>
                <w:highlight w:val="none"/>
              </w:rPr>
            </w:pPr>
          </w:p>
          <w:p w14:paraId="389A8A19">
            <w:pPr>
              <w:adjustRightInd w:val="0"/>
              <w:snapToGrid w:val="0"/>
              <w:jc w:val="center"/>
              <w:rPr>
                <w:rFonts w:ascii="宋体" w:hAnsi="宋体" w:cs="宋体"/>
                <w:bCs/>
                <w:color w:val="auto"/>
                <w:szCs w:val="21"/>
                <w:highlight w:val="none"/>
              </w:rPr>
            </w:pPr>
          </w:p>
          <w:p w14:paraId="0941CDE5">
            <w:pPr>
              <w:adjustRightInd w:val="0"/>
              <w:snapToGrid w:val="0"/>
              <w:jc w:val="center"/>
              <w:rPr>
                <w:rFonts w:ascii="宋体" w:hAnsi="宋体" w:cs="宋体"/>
                <w:bCs/>
                <w:color w:val="auto"/>
                <w:szCs w:val="21"/>
                <w:highlight w:val="none"/>
              </w:rPr>
            </w:pPr>
          </w:p>
          <w:p w14:paraId="57FD7DEE">
            <w:pPr>
              <w:adjustRightInd w:val="0"/>
              <w:snapToGrid w:val="0"/>
              <w:jc w:val="center"/>
              <w:rPr>
                <w:rFonts w:ascii="宋体" w:hAnsi="宋体" w:cs="宋体"/>
                <w:bCs/>
                <w:color w:val="auto"/>
                <w:szCs w:val="21"/>
                <w:highlight w:val="none"/>
              </w:rPr>
            </w:pPr>
          </w:p>
          <w:p w14:paraId="58AFC245">
            <w:pPr>
              <w:adjustRightInd w:val="0"/>
              <w:snapToGrid w:val="0"/>
              <w:jc w:val="center"/>
              <w:rPr>
                <w:rFonts w:ascii="宋体" w:hAnsi="宋体" w:cs="宋体"/>
                <w:bCs/>
                <w:color w:val="auto"/>
                <w:szCs w:val="21"/>
                <w:highlight w:val="none"/>
              </w:rPr>
            </w:pPr>
          </w:p>
          <w:p w14:paraId="7F4F5F9A">
            <w:pPr>
              <w:adjustRightInd w:val="0"/>
              <w:snapToGrid w:val="0"/>
              <w:rPr>
                <w:rFonts w:ascii="宋体" w:hAnsi="宋体" w:cs="宋体"/>
                <w:bCs/>
                <w:color w:val="auto"/>
                <w:szCs w:val="21"/>
                <w:highlight w:val="none"/>
              </w:rPr>
            </w:pPr>
          </w:p>
          <w:p w14:paraId="24507B9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4B912F4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62D4F55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74DD803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28DC669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924D0D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3A37FE2C">
            <w:pPr>
              <w:adjustRightInd w:val="0"/>
              <w:snapToGrid w:val="0"/>
              <w:jc w:val="center"/>
              <w:rPr>
                <w:rFonts w:ascii="宋体" w:hAnsi="宋体" w:cs="宋体"/>
                <w:bCs/>
                <w:color w:val="auto"/>
                <w:szCs w:val="21"/>
                <w:highlight w:val="none"/>
              </w:rPr>
            </w:pPr>
          </w:p>
          <w:p w14:paraId="412DECC5">
            <w:pPr>
              <w:adjustRightInd w:val="0"/>
              <w:snapToGrid w:val="0"/>
              <w:jc w:val="center"/>
              <w:rPr>
                <w:rFonts w:ascii="宋体" w:hAnsi="宋体" w:cs="宋体"/>
                <w:bCs/>
                <w:color w:val="auto"/>
                <w:szCs w:val="21"/>
                <w:highlight w:val="none"/>
              </w:rPr>
            </w:pPr>
          </w:p>
          <w:p w14:paraId="47F15C31">
            <w:pPr>
              <w:adjustRightInd w:val="0"/>
              <w:snapToGrid w:val="0"/>
              <w:jc w:val="center"/>
              <w:rPr>
                <w:rFonts w:ascii="宋体" w:hAnsi="宋体" w:cs="宋体"/>
                <w:bCs/>
                <w:color w:val="auto"/>
                <w:szCs w:val="21"/>
                <w:highlight w:val="none"/>
              </w:rPr>
            </w:pPr>
          </w:p>
          <w:p w14:paraId="779940D9">
            <w:pPr>
              <w:adjustRightInd w:val="0"/>
              <w:snapToGrid w:val="0"/>
              <w:jc w:val="center"/>
              <w:rPr>
                <w:rFonts w:ascii="宋体" w:hAnsi="宋体" w:cs="宋体"/>
                <w:bCs/>
                <w:color w:val="auto"/>
                <w:szCs w:val="21"/>
                <w:highlight w:val="none"/>
              </w:rPr>
            </w:pPr>
          </w:p>
          <w:p w14:paraId="457CEFB8">
            <w:pPr>
              <w:adjustRightInd w:val="0"/>
              <w:snapToGrid w:val="0"/>
              <w:jc w:val="center"/>
              <w:rPr>
                <w:rFonts w:ascii="宋体" w:hAnsi="宋体" w:cs="宋体"/>
                <w:bCs/>
                <w:color w:val="auto"/>
                <w:szCs w:val="21"/>
                <w:highlight w:val="none"/>
              </w:rPr>
            </w:pPr>
          </w:p>
          <w:p w14:paraId="6DE0FEB0">
            <w:pPr>
              <w:adjustRightInd w:val="0"/>
              <w:snapToGrid w:val="0"/>
              <w:jc w:val="center"/>
              <w:rPr>
                <w:rFonts w:ascii="宋体" w:hAnsi="宋体" w:cs="宋体"/>
                <w:bCs/>
                <w:color w:val="auto"/>
                <w:szCs w:val="21"/>
                <w:highlight w:val="none"/>
              </w:rPr>
            </w:pPr>
          </w:p>
          <w:p w14:paraId="7B7CED3E">
            <w:pPr>
              <w:adjustRightInd w:val="0"/>
              <w:snapToGrid w:val="0"/>
              <w:jc w:val="center"/>
              <w:rPr>
                <w:rFonts w:ascii="宋体" w:hAnsi="宋体" w:cs="宋体"/>
                <w:bCs/>
                <w:color w:val="auto"/>
                <w:szCs w:val="21"/>
                <w:highlight w:val="none"/>
              </w:rPr>
            </w:pPr>
          </w:p>
          <w:p w14:paraId="33E17FBF">
            <w:pPr>
              <w:adjustRightInd w:val="0"/>
              <w:snapToGrid w:val="0"/>
              <w:jc w:val="center"/>
              <w:rPr>
                <w:rFonts w:ascii="宋体" w:hAnsi="宋体" w:cs="宋体"/>
                <w:bCs/>
                <w:color w:val="auto"/>
                <w:szCs w:val="21"/>
                <w:highlight w:val="none"/>
              </w:rPr>
            </w:pPr>
          </w:p>
          <w:p w14:paraId="794000FD">
            <w:pPr>
              <w:adjustRightInd w:val="0"/>
              <w:snapToGrid w:val="0"/>
              <w:jc w:val="center"/>
              <w:rPr>
                <w:rFonts w:ascii="宋体" w:hAnsi="宋体" w:cs="宋体"/>
                <w:bCs/>
                <w:color w:val="auto"/>
                <w:szCs w:val="21"/>
                <w:highlight w:val="none"/>
              </w:rPr>
            </w:pPr>
          </w:p>
          <w:p w14:paraId="453E3687">
            <w:pPr>
              <w:adjustRightInd w:val="0"/>
              <w:snapToGrid w:val="0"/>
              <w:jc w:val="center"/>
              <w:rPr>
                <w:rFonts w:ascii="宋体" w:hAnsi="宋体" w:cs="宋体"/>
                <w:bCs/>
                <w:color w:val="auto"/>
                <w:szCs w:val="21"/>
                <w:highlight w:val="none"/>
              </w:rPr>
            </w:pPr>
          </w:p>
          <w:p w14:paraId="27FACADE">
            <w:pPr>
              <w:adjustRightInd w:val="0"/>
              <w:snapToGrid w:val="0"/>
              <w:jc w:val="center"/>
              <w:rPr>
                <w:rFonts w:ascii="宋体" w:hAnsi="宋体" w:cs="宋体"/>
                <w:bCs/>
                <w:color w:val="auto"/>
                <w:szCs w:val="21"/>
                <w:highlight w:val="none"/>
              </w:rPr>
            </w:pPr>
          </w:p>
          <w:p w14:paraId="27427E53">
            <w:pPr>
              <w:adjustRightInd w:val="0"/>
              <w:snapToGrid w:val="0"/>
              <w:jc w:val="center"/>
              <w:rPr>
                <w:rFonts w:ascii="宋体" w:hAnsi="宋体" w:cs="宋体"/>
                <w:bCs/>
                <w:color w:val="auto"/>
                <w:szCs w:val="21"/>
                <w:highlight w:val="none"/>
              </w:rPr>
            </w:pPr>
          </w:p>
          <w:p w14:paraId="58FD4ECD">
            <w:pPr>
              <w:adjustRightInd w:val="0"/>
              <w:snapToGrid w:val="0"/>
              <w:jc w:val="center"/>
              <w:rPr>
                <w:rFonts w:ascii="宋体" w:hAnsi="宋体" w:cs="宋体"/>
                <w:bCs/>
                <w:color w:val="auto"/>
                <w:szCs w:val="21"/>
                <w:highlight w:val="none"/>
              </w:rPr>
            </w:pPr>
          </w:p>
          <w:p w14:paraId="39EDD38E">
            <w:pPr>
              <w:adjustRightInd w:val="0"/>
              <w:snapToGrid w:val="0"/>
              <w:jc w:val="center"/>
              <w:rPr>
                <w:rFonts w:ascii="宋体" w:hAnsi="宋体" w:cs="宋体"/>
                <w:bCs/>
                <w:color w:val="auto"/>
                <w:szCs w:val="21"/>
                <w:highlight w:val="none"/>
              </w:rPr>
            </w:pPr>
          </w:p>
          <w:p w14:paraId="3F610B69">
            <w:pPr>
              <w:adjustRightInd w:val="0"/>
              <w:snapToGrid w:val="0"/>
              <w:jc w:val="center"/>
              <w:rPr>
                <w:rFonts w:ascii="宋体" w:hAnsi="宋体" w:cs="宋体"/>
                <w:bCs/>
                <w:color w:val="auto"/>
                <w:szCs w:val="21"/>
                <w:highlight w:val="none"/>
              </w:rPr>
            </w:pPr>
          </w:p>
          <w:p w14:paraId="5C80E88D">
            <w:pPr>
              <w:adjustRightInd w:val="0"/>
              <w:snapToGrid w:val="0"/>
              <w:jc w:val="center"/>
              <w:rPr>
                <w:rFonts w:ascii="宋体" w:hAnsi="宋体" w:cs="宋体"/>
                <w:bCs/>
                <w:color w:val="auto"/>
                <w:szCs w:val="21"/>
                <w:highlight w:val="none"/>
              </w:rPr>
            </w:pPr>
          </w:p>
          <w:p w14:paraId="575B9A44">
            <w:pPr>
              <w:adjustRightInd w:val="0"/>
              <w:snapToGrid w:val="0"/>
              <w:jc w:val="center"/>
              <w:rPr>
                <w:rFonts w:ascii="宋体" w:hAnsi="宋体" w:cs="宋体"/>
                <w:bCs/>
                <w:color w:val="auto"/>
                <w:szCs w:val="21"/>
                <w:highlight w:val="none"/>
              </w:rPr>
            </w:pPr>
          </w:p>
          <w:p w14:paraId="20D034D8">
            <w:pPr>
              <w:adjustRightInd w:val="0"/>
              <w:snapToGrid w:val="0"/>
              <w:jc w:val="center"/>
              <w:rPr>
                <w:rFonts w:ascii="宋体" w:hAnsi="宋体" w:cs="宋体"/>
                <w:bCs/>
                <w:color w:val="auto"/>
                <w:szCs w:val="21"/>
                <w:highlight w:val="none"/>
              </w:rPr>
            </w:pPr>
          </w:p>
          <w:p w14:paraId="7EADE520">
            <w:pPr>
              <w:adjustRightInd w:val="0"/>
              <w:snapToGrid w:val="0"/>
              <w:jc w:val="center"/>
              <w:rPr>
                <w:rFonts w:ascii="宋体" w:hAnsi="宋体" w:cs="宋体"/>
                <w:bCs/>
                <w:color w:val="auto"/>
                <w:szCs w:val="21"/>
                <w:highlight w:val="none"/>
              </w:rPr>
            </w:pPr>
          </w:p>
          <w:p w14:paraId="1B1B444D">
            <w:pPr>
              <w:adjustRightInd w:val="0"/>
              <w:snapToGrid w:val="0"/>
              <w:jc w:val="center"/>
              <w:rPr>
                <w:rFonts w:ascii="宋体" w:hAnsi="宋体" w:cs="宋体"/>
                <w:bCs/>
                <w:color w:val="auto"/>
                <w:szCs w:val="21"/>
                <w:highlight w:val="none"/>
              </w:rPr>
            </w:pPr>
          </w:p>
          <w:p w14:paraId="6AD7E157">
            <w:pPr>
              <w:adjustRightInd w:val="0"/>
              <w:snapToGrid w:val="0"/>
              <w:jc w:val="center"/>
              <w:rPr>
                <w:rFonts w:ascii="宋体" w:hAnsi="宋体" w:cs="宋体"/>
                <w:bCs/>
                <w:color w:val="auto"/>
                <w:szCs w:val="21"/>
                <w:highlight w:val="none"/>
              </w:rPr>
            </w:pPr>
          </w:p>
          <w:p w14:paraId="45AE1A7B">
            <w:pPr>
              <w:adjustRightInd w:val="0"/>
              <w:snapToGrid w:val="0"/>
              <w:jc w:val="center"/>
              <w:rPr>
                <w:rFonts w:ascii="宋体" w:hAnsi="宋体" w:cs="宋体"/>
                <w:bCs/>
                <w:color w:val="auto"/>
                <w:szCs w:val="21"/>
                <w:highlight w:val="none"/>
              </w:rPr>
            </w:pPr>
          </w:p>
          <w:p w14:paraId="23DDEEA4">
            <w:pPr>
              <w:adjustRightInd w:val="0"/>
              <w:snapToGrid w:val="0"/>
              <w:jc w:val="center"/>
              <w:rPr>
                <w:rFonts w:ascii="宋体" w:hAnsi="宋体" w:cs="宋体"/>
                <w:bCs/>
                <w:color w:val="auto"/>
                <w:szCs w:val="21"/>
                <w:highlight w:val="none"/>
              </w:rPr>
            </w:pPr>
          </w:p>
          <w:p w14:paraId="76433B40">
            <w:pPr>
              <w:adjustRightInd w:val="0"/>
              <w:snapToGrid w:val="0"/>
              <w:jc w:val="center"/>
              <w:rPr>
                <w:rFonts w:ascii="宋体" w:hAnsi="宋体" w:cs="宋体"/>
                <w:bCs/>
                <w:color w:val="auto"/>
                <w:szCs w:val="21"/>
                <w:highlight w:val="none"/>
              </w:rPr>
            </w:pPr>
          </w:p>
          <w:p w14:paraId="2B76E000">
            <w:pPr>
              <w:adjustRightInd w:val="0"/>
              <w:snapToGrid w:val="0"/>
              <w:jc w:val="center"/>
              <w:rPr>
                <w:rFonts w:ascii="宋体" w:hAnsi="宋体" w:cs="宋体"/>
                <w:bCs/>
                <w:color w:val="auto"/>
                <w:szCs w:val="21"/>
                <w:highlight w:val="none"/>
              </w:rPr>
            </w:pPr>
          </w:p>
          <w:p w14:paraId="385F4785">
            <w:pPr>
              <w:adjustRightInd w:val="0"/>
              <w:snapToGrid w:val="0"/>
              <w:jc w:val="center"/>
              <w:rPr>
                <w:rFonts w:ascii="宋体" w:hAnsi="宋体" w:cs="宋体"/>
                <w:bCs/>
                <w:color w:val="auto"/>
                <w:szCs w:val="21"/>
                <w:highlight w:val="none"/>
              </w:rPr>
            </w:pPr>
          </w:p>
          <w:p w14:paraId="13C4192F">
            <w:pPr>
              <w:adjustRightInd w:val="0"/>
              <w:snapToGrid w:val="0"/>
              <w:rPr>
                <w:rFonts w:ascii="宋体" w:hAnsi="宋体" w:cs="宋体"/>
                <w:bCs/>
                <w:color w:val="auto"/>
                <w:szCs w:val="21"/>
                <w:highlight w:val="none"/>
              </w:rPr>
            </w:pPr>
          </w:p>
          <w:p w14:paraId="41AF7D7B">
            <w:pPr>
              <w:pStyle w:val="45"/>
              <w:rPr>
                <w:rFonts w:hAnsi="宋体"/>
                <w:bCs/>
                <w:color w:val="auto"/>
                <w:szCs w:val="21"/>
                <w:highlight w:val="none"/>
              </w:rPr>
            </w:pPr>
          </w:p>
          <w:p w14:paraId="2394CA65">
            <w:pPr>
              <w:pStyle w:val="45"/>
              <w:rPr>
                <w:rFonts w:hAnsi="宋体"/>
                <w:bCs/>
                <w:color w:val="auto"/>
                <w:szCs w:val="21"/>
                <w:highlight w:val="none"/>
              </w:rPr>
            </w:pPr>
          </w:p>
          <w:p w14:paraId="2AB0A8FA">
            <w:pPr>
              <w:pStyle w:val="45"/>
              <w:rPr>
                <w:rFonts w:hAnsi="宋体"/>
                <w:bCs/>
                <w:color w:val="auto"/>
                <w:szCs w:val="21"/>
                <w:highlight w:val="none"/>
              </w:rPr>
            </w:pPr>
          </w:p>
          <w:p w14:paraId="1B56F04E">
            <w:pPr>
              <w:pStyle w:val="45"/>
              <w:rPr>
                <w:rFonts w:hAnsi="宋体"/>
                <w:bCs/>
                <w:color w:val="auto"/>
                <w:szCs w:val="21"/>
                <w:highlight w:val="none"/>
              </w:rPr>
            </w:pPr>
          </w:p>
          <w:p w14:paraId="2A97880F">
            <w:pPr>
              <w:adjustRightInd w:val="0"/>
              <w:snapToGrid w:val="0"/>
              <w:jc w:val="center"/>
              <w:rPr>
                <w:rFonts w:ascii="宋体" w:hAnsi="宋体" w:cs="宋体"/>
                <w:bCs/>
                <w:color w:val="auto"/>
                <w:szCs w:val="21"/>
                <w:highlight w:val="none"/>
              </w:rPr>
            </w:pPr>
          </w:p>
          <w:p w14:paraId="34DD0E2F">
            <w:pPr>
              <w:adjustRightInd w:val="0"/>
              <w:snapToGrid w:val="0"/>
              <w:jc w:val="center"/>
              <w:rPr>
                <w:rFonts w:ascii="宋体" w:hAnsi="宋体" w:cs="宋体"/>
                <w:bCs/>
                <w:color w:val="auto"/>
                <w:sz w:val="24"/>
                <w:highlight w:val="none"/>
              </w:rPr>
            </w:pPr>
          </w:p>
          <w:p w14:paraId="7B6F435A">
            <w:pPr>
              <w:adjustRightInd w:val="0"/>
              <w:snapToGrid w:val="0"/>
              <w:jc w:val="center"/>
              <w:rPr>
                <w:rFonts w:ascii="宋体" w:hAnsi="宋体" w:cs="宋体"/>
                <w:bCs/>
                <w:color w:val="auto"/>
                <w:sz w:val="24"/>
                <w:highlight w:val="none"/>
              </w:rPr>
            </w:pPr>
          </w:p>
          <w:p w14:paraId="32D3D18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C13F86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95838B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0F341AA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42C4E37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5D8CC89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7978A834">
            <w:pPr>
              <w:adjustRightInd w:val="0"/>
              <w:snapToGrid w:val="0"/>
              <w:jc w:val="center"/>
              <w:rPr>
                <w:rFonts w:ascii="宋体" w:hAnsi="宋体" w:cs="宋体"/>
                <w:bCs/>
                <w:color w:val="auto"/>
                <w:szCs w:val="21"/>
                <w:highlight w:val="none"/>
              </w:rPr>
            </w:pPr>
          </w:p>
          <w:p w14:paraId="6CC03C75">
            <w:pPr>
              <w:adjustRightInd w:val="0"/>
              <w:snapToGrid w:val="0"/>
              <w:jc w:val="center"/>
              <w:rPr>
                <w:rFonts w:ascii="宋体" w:hAnsi="宋体" w:cs="宋体"/>
                <w:bCs/>
                <w:color w:val="auto"/>
                <w:szCs w:val="21"/>
                <w:highlight w:val="none"/>
              </w:rPr>
            </w:pPr>
          </w:p>
          <w:p w14:paraId="61D9FF65">
            <w:pPr>
              <w:adjustRightInd w:val="0"/>
              <w:snapToGrid w:val="0"/>
              <w:jc w:val="center"/>
              <w:rPr>
                <w:rFonts w:ascii="宋体" w:hAnsi="宋体" w:cs="宋体"/>
                <w:bCs/>
                <w:color w:val="auto"/>
                <w:szCs w:val="21"/>
                <w:highlight w:val="none"/>
              </w:rPr>
            </w:pPr>
          </w:p>
          <w:p w14:paraId="3580288F">
            <w:pPr>
              <w:adjustRightInd w:val="0"/>
              <w:snapToGrid w:val="0"/>
              <w:jc w:val="center"/>
              <w:rPr>
                <w:rFonts w:ascii="宋体" w:hAnsi="宋体" w:cs="宋体"/>
                <w:bCs/>
                <w:color w:val="auto"/>
                <w:szCs w:val="21"/>
                <w:highlight w:val="none"/>
              </w:rPr>
            </w:pPr>
          </w:p>
          <w:p w14:paraId="79BF03FC">
            <w:pPr>
              <w:adjustRightInd w:val="0"/>
              <w:snapToGrid w:val="0"/>
              <w:jc w:val="center"/>
              <w:rPr>
                <w:rFonts w:ascii="宋体" w:hAnsi="宋体" w:cs="宋体"/>
                <w:bCs/>
                <w:color w:val="auto"/>
                <w:szCs w:val="21"/>
                <w:highlight w:val="none"/>
              </w:rPr>
            </w:pPr>
          </w:p>
          <w:p w14:paraId="2CF6B749">
            <w:pPr>
              <w:adjustRightInd w:val="0"/>
              <w:snapToGrid w:val="0"/>
              <w:jc w:val="center"/>
              <w:rPr>
                <w:rFonts w:ascii="宋体" w:hAnsi="宋体" w:cs="宋体"/>
                <w:bCs/>
                <w:color w:val="auto"/>
                <w:szCs w:val="21"/>
                <w:highlight w:val="none"/>
              </w:rPr>
            </w:pPr>
          </w:p>
          <w:p w14:paraId="48A420B1">
            <w:pPr>
              <w:adjustRightInd w:val="0"/>
              <w:snapToGrid w:val="0"/>
              <w:jc w:val="center"/>
              <w:rPr>
                <w:rFonts w:ascii="宋体" w:hAnsi="宋体" w:cs="宋体"/>
                <w:bCs/>
                <w:color w:val="auto"/>
                <w:szCs w:val="21"/>
                <w:highlight w:val="none"/>
              </w:rPr>
            </w:pPr>
          </w:p>
          <w:p w14:paraId="08D4CF34">
            <w:pPr>
              <w:adjustRightInd w:val="0"/>
              <w:snapToGrid w:val="0"/>
              <w:jc w:val="center"/>
              <w:rPr>
                <w:rFonts w:ascii="宋体" w:hAnsi="宋体" w:cs="宋体"/>
                <w:bCs/>
                <w:color w:val="auto"/>
                <w:szCs w:val="21"/>
                <w:highlight w:val="none"/>
              </w:rPr>
            </w:pPr>
          </w:p>
          <w:p w14:paraId="7BD863C1">
            <w:pPr>
              <w:adjustRightInd w:val="0"/>
              <w:snapToGrid w:val="0"/>
              <w:jc w:val="center"/>
              <w:rPr>
                <w:rFonts w:ascii="宋体" w:hAnsi="宋体" w:cs="宋体"/>
                <w:bCs/>
                <w:color w:val="auto"/>
                <w:szCs w:val="21"/>
                <w:highlight w:val="none"/>
              </w:rPr>
            </w:pPr>
          </w:p>
          <w:p w14:paraId="0FE89883">
            <w:pPr>
              <w:adjustRightInd w:val="0"/>
              <w:snapToGrid w:val="0"/>
              <w:jc w:val="center"/>
              <w:rPr>
                <w:rFonts w:ascii="宋体" w:hAnsi="宋体" w:cs="宋体"/>
                <w:bCs/>
                <w:color w:val="auto"/>
                <w:szCs w:val="21"/>
                <w:highlight w:val="none"/>
              </w:rPr>
            </w:pPr>
          </w:p>
          <w:p w14:paraId="538DD294">
            <w:pPr>
              <w:adjustRightInd w:val="0"/>
              <w:snapToGrid w:val="0"/>
              <w:jc w:val="center"/>
              <w:rPr>
                <w:rFonts w:ascii="宋体" w:hAnsi="宋体" w:cs="宋体"/>
                <w:bCs/>
                <w:color w:val="auto"/>
                <w:szCs w:val="21"/>
                <w:highlight w:val="none"/>
              </w:rPr>
            </w:pPr>
          </w:p>
          <w:p w14:paraId="524E4F2E">
            <w:pPr>
              <w:adjustRightInd w:val="0"/>
              <w:snapToGrid w:val="0"/>
              <w:jc w:val="center"/>
              <w:rPr>
                <w:rFonts w:ascii="宋体" w:hAnsi="宋体" w:cs="宋体"/>
                <w:bCs/>
                <w:color w:val="auto"/>
                <w:szCs w:val="21"/>
                <w:highlight w:val="none"/>
              </w:rPr>
            </w:pPr>
          </w:p>
          <w:p w14:paraId="7B59B20E">
            <w:pPr>
              <w:adjustRightInd w:val="0"/>
              <w:snapToGrid w:val="0"/>
              <w:jc w:val="center"/>
              <w:rPr>
                <w:rFonts w:ascii="宋体" w:hAnsi="宋体" w:cs="宋体"/>
                <w:bCs/>
                <w:color w:val="auto"/>
                <w:szCs w:val="21"/>
                <w:highlight w:val="none"/>
              </w:rPr>
            </w:pPr>
          </w:p>
          <w:p w14:paraId="0ECD3DA0">
            <w:pPr>
              <w:adjustRightInd w:val="0"/>
              <w:snapToGrid w:val="0"/>
              <w:jc w:val="center"/>
              <w:rPr>
                <w:rFonts w:ascii="宋体" w:hAnsi="宋体" w:cs="宋体"/>
                <w:bCs/>
                <w:color w:val="auto"/>
                <w:szCs w:val="21"/>
                <w:highlight w:val="none"/>
              </w:rPr>
            </w:pPr>
          </w:p>
          <w:p w14:paraId="6D410C2D">
            <w:pPr>
              <w:adjustRightInd w:val="0"/>
              <w:snapToGrid w:val="0"/>
              <w:jc w:val="center"/>
              <w:rPr>
                <w:rFonts w:ascii="宋体" w:hAnsi="宋体" w:cs="宋体"/>
                <w:bCs/>
                <w:color w:val="auto"/>
                <w:szCs w:val="21"/>
                <w:highlight w:val="none"/>
              </w:rPr>
            </w:pPr>
          </w:p>
          <w:p w14:paraId="703A337C">
            <w:pPr>
              <w:adjustRightInd w:val="0"/>
              <w:snapToGrid w:val="0"/>
              <w:jc w:val="center"/>
              <w:rPr>
                <w:rFonts w:ascii="宋体" w:hAnsi="宋体" w:cs="宋体"/>
                <w:bCs/>
                <w:color w:val="auto"/>
                <w:szCs w:val="21"/>
                <w:highlight w:val="none"/>
              </w:rPr>
            </w:pPr>
          </w:p>
          <w:p w14:paraId="59452B21">
            <w:pPr>
              <w:adjustRightInd w:val="0"/>
              <w:snapToGrid w:val="0"/>
              <w:jc w:val="center"/>
              <w:rPr>
                <w:rFonts w:ascii="宋体" w:hAnsi="宋体" w:cs="宋体"/>
                <w:bCs/>
                <w:color w:val="auto"/>
                <w:szCs w:val="21"/>
                <w:highlight w:val="none"/>
              </w:rPr>
            </w:pPr>
          </w:p>
          <w:p w14:paraId="5A661694">
            <w:pPr>
              <w:adjustRightInd w:val="0"/>
              <w:snapToGrid w:val="0"/>
              <w:jc w:val="center"/>
              <w:rPr>
                <w:rFonts w:ascii="宋体" w:hAnsi="宋体" w:cs="宋体"/>
                <w:bCs/>
                <w:color w:val="auto"/>
                <w:szCs w:val="21"/>
                <w:highlight w:val="none"/>
              </w:rPr>
            </w:pPr>
          </w:p>
          <w:p w14:paraId="50E71F37">
            <w:pPr>
              <w:adjustRightInd w:val="0"/>
              <w:snapToGrid w:val="0"/>
              <w:jc w:val="center"/>
              <w:rPr>
                <w:rFonts w:ascii="宋体" w:hAnsi="宋体" w:cs="宋体"/>
                <w:bCs/>
                <w:color w:val="auto"/>
                <w:szCs w:val="21"/>
                <w:highlight w:val="none"/>
              </w:rPr>
            </w:pPr>
          </w:p>
          <w:p w14:paraId="7D7B2832">
            <w:pPr>
              <w:adjustRightInd w:val="0"/>
              <w:snapToGrid w:val="0"/>
              <w:jc w:val="center"/>
              <w:rPr>
                <w:rFonts w:ascii="宋体" w:hAnsi="宋体" w:cs="宋体"/>
                <w:bCs/>
                <w:color w:val="auto"/>
                <w:szCs w:val="21"/>
                <w:highlight w:val="none"/>
              </w:rPr>
            </w:pPr>
          </w:p>
          <w:p w14:paraId="0A63FE52">
            <w:pPr>
              <w:adjustRightInd w:val="0"/>
              <w:snapToGrid w:val="0"/>
              <w:jc w:val="center"/>
              <w:rPr>
                <w:rFonts w:ascii="宋体" w:hAnsi="宋体" w:cs="宋体"/>
                <w:bCs/>
                <w:color w:val="auto"/>
                <w:szCs w:val="21"/>
                <w:highlight w:val="none"/>
              </w:rPr>
            </w:pPr>
          </w:p>
          <w:p w14:paraId="1B930D48">
            <w:pPr>
              <w:adjustRightInd w:val="0"/>
              <w:snapToGrid w:val="0"/>
              <w:jc w:val="center"/>
              <w:rPr>
                <w:rFonts w:ascii="宋体" w:hAnsi="宋体" w:cs="宋体"/>
                <w:bCs/>
                <w:color w:val="auto"/>
                <w:szCs w:val="21"/>
                <w:highlight w:val="none"/>
              </w:rPr>
            </w:pPr>
          </w:p>
          <w:p w14:paraId="4E54ADDE">
            <w:pPr>
              <w:adjustRightInd w:val="0"/>
              <w:snapToGrid w:val="0"/>
              <w:jc w:val="center"/>
              <w:rPr>
                <w:rFonts w:ascii="宋体" w:hAnsi="宋体" w:cs="宋体"/>
                <w:bCs/>
                <w:color w:val="auto"/>
                <w:szCs w:val="21"/>
                <w:highlight w:val="none"/>
              </w:rPr>
            </w:pPr>
          </w:p>
          <w:p w14:paraId="47CA24CE">
            <w:pPr>
              <w:adjustRightInd w:val="0"/>
              <w:snapToGrid w:val="0"/>
              <w:jc w:val="center"/>
              <w:rPr>
                <w:rFonts w:ascii="宋体" w:hAnsi="宋体" w:cs="宋体"/>
                <w:bCs/>
                <w:color w:val="auto"/>
                <w:szCs w:val="21"/>
                <w:highlight w:val="none"/>
              </w:rPr>
            </w:pPr>
          </w:p>
          <w:p w14:paraId="56C47419">
            <w:pPr>
              <w:adjustRightInd w:val="0"/>
              <w:snapToGrid w:val="0"/>
              <w:jc w:val="center"/>
              <w:rPr>
                <w:rFonts w:ascii="宋体" w:hAnsi="宋体" w:cs="宋体"/>
                <w:bCs/>
                <w:color w:val="auto"/>
                <w:szCs w:val="21"/>
                <w:highlight w:val="none"/>
              </w:rPr>
            </w:pPr>
          </w:p>
          <w:p w14:paraId="6F5B905F">
            <w:pPr>
              <w:adjustRightInd w:val="0"/>
              <w:snapToGrid w:val="0"/>
              <w:jc w:val="center"/>
              <w:rPr>
                <w:rFonts w:ascii="宋体" w:hAnsi="宋体" w:cs="宋体"/>
                <w:bCs/>
                <w:color w:val="auto"/>
                <w:szCs w:val="21"/>
                <w:highlight w:val="none"/>
              </w:rPr>
            </w:pPr>
          </w:p>
          <w:p w14:paraId="71170BB2">
            <w:pPr>
              <w:adjustRightInd w:val="0"/>
              <w:snapToGrid w:val="0"/>
              <w:jc w:val="center"/>
              <w:rPr>
                <w:rFonts w:ascii="宋体" w:hAnsi="宋体" w:cs="宋体"/>
                <w:bCs/>
                <w:color w:val="auto"/>
                <w:szCs w:val="21"/>
                <w:highlight w:val="none"/>
              </w:rPr>
            </w:pPr>
          </w:p>
          <w:p w14:paraId="0DA5A263">
            <w:pPr>
              <w:adjustRightInd w:val="0"/>
              <w:snapToGrid w:val="0"/>
              <w:jc w:val="center"/>
              <w:rPr>
                <w:rFonts w:ascii="宋体" w:hAnsi="宋体" w:cs="宋体"/>
                <w:bCs/>
                <w:color w:val="auto"/>
                <w:szCs w:val="21"/>
                <w:highlight w:val="none"/>
              </w:rPr>
            </w:pPr>
          </w:p>
          <w:p w14:paraId="0E81D2FD">
            <w:pPr>
              <w:adjustRightInd w:val="0"/>
              <w:snapToGrid w:val="0"/>
              <w:jc w:val="center"/>
              <w:rPr>
                <w:rFonts w:ascii="宋体" w:hAnsi="宋体" w:cs="宋体"/>
                <w:bCs/>
                <w:color w:val="auto"/>
                <w:szCs w:val="21"/>
                <w:highlight w:val="none"/>
              </w:rPr>
            </w:pPr>
          </w:p>
          <w:p w14:paraId="5DF0BBB3">
            <w:pPr>
              <w:adjustRightInd w:val="0"/>
              <w:snapToGrid w:val="0"/>
              <w:jc w:val="center"/>
              <w:rPr>
                <w:rFonts w:ascii="宋体" w:hAnsi="宋体" w:cs="宋体"/>
                <w:bCs/>
                <w:color w:val="auto"/>
                <w:szCs w:val="21"/>
                <w:highlight w:val="none"/>
              </w:rPr>
            </w:pPr>
          </w:p>
          <w:p w14:paraId="12790EE4">
            <w:pPr>
              <w:adjustRightInd w:val="0"/>
              <w:snapToGrid w:val="0"/>
              <w:jc w:val="center"/>
              <w:rPr>
                <w:rFonts w:ascii="宋体" w:hAnsi="宋体" w:cs="宋体"/>
                <w:bCs/>
                <w:color w:val="auto"/>
                <w:szCs w:val="21"/>
                <w:highlight w:val="none"/>
              </w:rPr>
            </w:pPr>
          </w:p>
          <w:p w14:paraId="1AC7172F">
            <w:pPr>
              <w:adjustRightInd w:val="0"/>
              <w:snapToGrid w:val="0"/>
              <w:jc w:val="center"/>
              <w:rPr>
                <w:rFonts w:ascii="宋体" w:hAnsi="宋体" w:cs="宋体"/>
                <w:bCs/>
                <w:color w:val="auto"/>
                <w:szCs w:val="21"/>
                <w:highlight w:val="none"/>
              </w:rPr>
            </w:pPr>
          </w:p>
          <w:p w14:paraId="40DA8188">
            <w:pPr>
              <w:adjustRightInd w:val="0"/>
              <w:snapToGrid w:val="0"/>
              <w:jc w:val="center"/>
              <w:rPr>
                <w:rFonts w:ascii="宋体" w:hAnsi="宋体" w:cs="宋体"/>
                <w:bCs/>
                <w:color w:val="auto"/>
                <w:szCs w:val="21"/>
                <w:highlight w:val="none"/>
              </w:rPr>
            </w:pPr>
          </w:p>
          <w:p w14:paraId="50967428">
            <w:pPr>
              <w:adjustRightInd w:val="0"/>
              <w:snapToGrid w:val="0"/>
              <w:jc w:val="center"/>
              <w:rPr>
                <w:rFonts w:ascii="宋体" w:hAnsi="宋体" w:cs="宋体"/>
                <w:bCs/>
                <w:color w:val="auto"/>
                <w:szCs w:val="21"/>
                <w:highlight w:val="none"/>
              </w:rPr>
            </w:pPr>
          </w:p>
          <w:p w14:paraId="6B2FE885">
            <w:pPr>
              <w:adjustRightInd w:val="0"/>
              <w:snapToGrid w:val="0"/>
              <w:rPr>
                <w:rFonts w:ascii="宋体" w:hAnsi="宋体" w:cs="宋体"/>
                <w:bCs/>
                <w:color w:val="auto"/>
                <w:szCs w:val="21"/>
                <w:highlight w:val="none"/>
              </w:rPr>
            </w:pPr>
          </w:p>
          <w:p w14:paraId="1BFE004A">
            <w:pPr>
              <w:adjustRightInd w:val="0"/>
              <w:snapToGrid w:val="0"/>
              <w:jc w:val="center"/>
              <w:rPr>
                <w:rFonts w:ascii="宋体" w:hAnsi="宋体" w:cs="宋体"/>
                <w:bCs/>
                <w:color w:val="auto"/>
                <w:szCs w:val="21"/>
                <w:highlight w:val="none"/>
              </w:rPr>
            </w:pPr>
          </w:p>
          <w:p w14:paraId="626E5BF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0988B32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7F3C35C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79A4A4E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1898B57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56A2B34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1AF9C29B">
            <w:pPr>
              <w:adjustRightInd w:val="0"/>
              <w:snapToGrid w:val="0"/>
              <w:jc w:val="center"/>
              <w:rPr>
                <w:rFonts w:ascii="宋体" w:hAnsi="宋体" w:cs="宋体"/>
                <w:bCs/>
                <w:color w:val="auto"/>
                <w:szCs w:val="21"/>
                <w:highlight w:val="none"/>
              </w:rPr>
            </w:pPr>
          </w:p>
          <w:p w14:paraId="4583DB48">
            <w:pPr>
              <w:adjustRightInd w:val="0"/>
              <w:snapToGrid w:val="0"/>
              <w:jc w:val="center"/>
              <w:rPr>
                <w:rFonts w:ascii="宋体" w:hAnsi="宋体" w:cs="宋体"/>
                <w:bCs/>
                <w:color w:val="auto"/>
                <w:szCs w:val="21"/>
                <w:highlight w:val="none"/>
              </w:rPr>
            </w:pPr>
          </w:p>
          <w:p w14:paraId="44C709E6">
            <w:pPr>
              <w:adjustRightInd w:val="0"/>
              <w:snapToGrid w:val="0"/>
              <w:jc w:val="center"/>
              <w:rPr>
                <w:rFonts w:ascii="宋体" w:hAnsi="宋体" w:cs="宋体"/>
                <w:bCs/>
                <w:color w:val="auto"/>
                <w:szCs w:val="21"/>
                <w:highlight w:val="none"/>
              </w:rPr>
            </w:pPr>
          </w:p>
          <w:p w14:paraId="766F0179">
            <w:pPr>
              <w:adjustRightInd w:val="0"/>
              <w:snapToGrid w:val="0"/>
              <w:jc w:val="center"/>
              <w:rPr>
                <w:rFonts w:ascii="宋体" w:hAnsi="宋体" w:cs="宋体"/>
                <w:bCs/>
                <w:color w:val="auto"/>
                <w:szCs w:val="21"/>
                <w:highlight w:val="none"/>
              </w:rPr>
            </w:pPr>
          </w:p>
          <w:p w14:paraId="7A4471CE">
            <w:pPr>
              <w:adjustRightInd w:val="0"/>
              <w:snapToGrid w:val="0"/>
              <w:jc w:val="center"/>
              <w:rPr>
                <w:rFonts w:ascii="宋体" w:hAnsi="宋体" w:cs="宋体"/>
                <w:bCs/>
                <w:color w:val="auto"/>
                <w:szCs w:val="21"/>
                <w:highlight w:val="none"/>
              </w:rPr>
            </w:pPr>
          </w:p>
          <w:p w14:paraId="5CA549EA">
            <w:pPr>
              <w:adjustRightInd w:val="0"/>
              <w:snapToGrid w:val="0"/>
              <w:jc w:val="center"/>
              <w:rPr>
                <w:rFonts w:ascii="宋体" w:hAnsi="宋体" w:cs="宋体"/>
                <w:bCs/>
                <w:color w:val="auto"/>
                <w:szCs w:val="21"/>
                <w:highlight w:val="none"/>
              </w:rPr>
            </w:pPr>
          </w:p>
          <w:p w14:paraId="78CADDD8">
            <w:pPr>
              <w:adjustRightInd w:val="0"/>
              <w:snapToGrid w:val="0"/>
              <w:jc w:val="center"/>
              <w:rPr>
                <w:rFonts w:ascii="宋体" w:hAnsi="宋体" w:cs="宋体"/>
                <w:bCs/>
                <w:color w:val="auto"/>
                <w:szCs w:val="21"/>
                <w:highlight w:val="none"/>
              </w:rPr>
            </w:pPr>
          </w:p>
          <w:p w14:paraId="46AA0C5A">
            <w:pPr>
              <w:adjustRightInd w:val="0"/>
              <w:snapToGrid w:val="0"/>
              <w:jc w:val="center"/>
              <w:rPr>
                <w:rFonts w:ascii="宋体" w:hAnsi="宋体" w:cs="宋体"/>
                <w:bCs/>
                <w:color w:val="auto"/>
                <w:szCs w:val="21"/>
                <w:highlight w:val="none"/>
              </w:rPr>
            </w:pPr>
          </w:p>
          <w:p w14:paraId="6B2E97A1">
            <w:pPr>
              <w:adjustRightInd w:val="0"/>
              <w:snapToGrid w:val="0"/>
              <w:jc w:val="center"/>
              <w:rPr>
                <w:rFonts w:ascii="宋体" w:hAnsi="宋体" w:cs="宋体"/>
                <w:bCs/>
                <w:color w:val="auto"/>
                <w:szCs w:val="21"/>
                <w:highlight w:val="none"/>
              </w:rPr>
            </w:pPr>
          </w:p>
          <w:p w14:paraId="5D3F4C4E">
            <w:pPr>
              <w:adjustRightInd w:val="0"/>
              <w:snapToGrid w:val="0"/>
              <w:jc w:val="center"/>
              <w:rPr>
                <w:rFonts w:ascii="宋体" w:hAnsi="宋体" w:cs="宋体"/>
                <w:bCs/>
                <w:color w:val="auto"/>
                <w:szCs w:val="21"/>
                <w:highlight w:val="none"/>
              </w:rPr>
            </w:pPr>
          </w:p>
          <w:p w14:paraId="375C8036">
            <w:pPr>
              <w:adjustRightInd w:val="0"/>
              <w:snapToGrid w:val="0"/>
              <w:jc w:val="center"/>
              <w:rPr>
                <w:rFonts w:ascii="宋体" w:hAnsi="宋体" w:cs="宋体"/>
                <w:bCs/>
                <w:color w:val="auto"/>
                <w:szCs w:val="21"/>
                <w:highlight w:val="none"/>
              </w:rPr>
            </w:pPr>
          </w:p>
          <w:p w14:paraId="122D5D33">
            <w:pPr>
              <w:adjustRightInd w:val="0"/>
              <w:snapToGrid w:val="0"/>
              <w:jc w:val="center"/>
              <w:rPr>
                <w:rFonts w:ascii="宋体" w:hAnsi="宋体" w:cs="宋体"/>
                <w:bCs/>
                <w:color w:val="auto"/>
                <w:szCs w:val="21"/>
                <w:highlight w:val="none"/>
              </w:rPr>
            </w:pPr>
          </w:p>
          <w:p w14:paraId="13644AAE">
            <w:pPr>
              <w:adjustRightInd w:val="0"/>
              <w:snapToGrid w:val="0"/>
              <w:jc w:val="center"/>
              <w:rPr>
                <w:rFonts w:ascii="宋体" w:hAnsi="宋体" w:cs="宋体"/>
                <w:bCs/>
                <w:color w:val="auto"/>
                <w:szCs w:val="21"/>
                <w:highlight w:val="none"/>
              </w:rPr>
            </w:pPr>
          </w:p>
          <w:p w14:paraId="391D165A">
            <w:pPr>
              <w:adjustRightInd w:val="0"/>
              <w:snapToGrid w:val="0"/>
              <w:jc w:val="center"/>
              <w:rPr>
                <w:rFonts w:ascii="宋体" w:hAnsi="宋体" w:cs="宋体"/>
                <w:bCs/>
                <w:color w:val="auto"/>
                <w:szCs w:val="21"/>
                <w:highlight w:val="none"/>
              </w:rPr>
            </w:pPr>
          </w:p>
          <w:p w14:paraId="73D61C52">
            <w:pPr>
              <w:adjustRightInd w:val="0"/>
              <w:snapToGrid w:val="0"/>
              <w:jc w:val="center"/>
              <w:rPr>
                <w:rFonts w:ascii="宋体" w:hAnsi="宋体" w:cs="宋体"/>
                <w:bCs/>
                <w:color w:val="auto"/>
                <w:szCs w:val="21"/>
                <w:highlight w:val="none"/>
              </w:rPr>
            </w:pPr>
          </w:p>
          <w:p w14:paraId="6586FA48">
            <w:pPr>
              <w:adjustRightInd w:val="0"/>
              <w:snapToGrid w:val="0"/>
              <w:jc w:val="center"/>
              <w:rPr>
                <w:rFonts w:ascii="宋体" w:hAnsi="宋体" w:cs="宋体"/>
                <w:bCs/>
                <w:color w:val="auto"/>
                <w:szCs w:val="21"/>
                <w:highlight w:val="none"/>
              </w:rPr>
            </w:pPr>
          </w:p>
          <w:p w14:paraId="35427EC2">
            <w:pPr>
              <w:adjustRightInd w:val="0"/>
              <w:snapToGrid w:val="0"/>
              <w:jc w:val="center"/>
              <w:rPr>
                <w:rFonts w:ascii="宋体" w:hAnsi="宋体" w:cs="宋体"/>
                <w:bCs/>
                <w:color w:val="auto"/>
                <w:szCs w:val="21"/>
                <w:highlight w:val="none"/>
              </w:rPr>
            </w:pPr>
          </w:p>
          <w:p w14:paraId="33482866">
            <w:pPr>
              <w:adjustRightInd w:val="0"/>
              <w:snapToGrid w:val="0"/>
              <w:jc w:val="center"/>
              <w:rPr>
                <w:rFonts w:ascii="宋体" w:hAnsi="宋体" w:cs="宋体"/>
                <w:bCs/>
                <w:color w:val="auto"/>
                <w:szCs w:val="21"/>
                <w:highlight w:val="none"/>
              </w:rPr>
            </w:pPr>
          </w:p>
          <w:p w14:paraId="3756B2EC">
            <w:pPr>
              <w:adjustRightInd w:val="0"/>
              <w:snapToGrid w:val="0"/>
              <w:jc w:val="center"/>
              <w:rPr>
                <w:rFonts w:ascii="宋体" w:hAnsi="宋体" w:cs="宋体"/>
                <w:bCs/>
                <w:color w:val="auto"/>
                <w:szCs w:val="21"/>
                <w:highlight w:val="none"/>
              </w:rPr>
            </w:pPr>
          </w:p>
          <w:p w14:paraId="7C9FCCD7">
            <w:pPr>
              <w:adjustRightInd w:val="0"/>
              <w:snapToGrid w:val="0"/>
              <w:jc w:val="center"/>
              <w:rPr>
                <w:rFonts w:ascii="宋体" w:hAnsi="宋体" w:cs="宋体"/>
                <w:bCs/>
                <w:color w:val="auto"/>
                <w:szCs w:val="21"/>
                <w:highlight w:val="none"/>
              </w:rPr>
            </w:pPr>
          </w:p>
          <w:p w14:paraId="78C4ACF6">
            <w:pPr>
              <w:adjustRightInd w:val="0"/>
              <w:snapToGrid w:val="0"/>
              <w:jc w:val="center"/>
              <w:rPr>
                <w:rFonts w:ascii="宋体" w:hAnsi="宋体" w:cs="宋体"/>
                <w:bCs/>
                <w:color w:val="auto"/>
                <w:szCs w:val="21"/>
                <w:highlight w:val="none"/>
              </w:rPr>
            </w:pPr>
          </w:p>
          <w:p w14:paraId="5C47CED1">
            <w:pPr>
              <w:adjustRightInd w:val="0"/>
              <w:snapToGrid w:val="0"/>
              <w:jc w:val="center"/>
              <w:rPr>
                <w:rFonts w:ascii="宋体" w:hAnsi="宋体" w:cs="宋体"/>
                <w:bCs/>
                <w:color w:val="auto"/>
                <w:szCs w:val="21"/>
                <w:highlight w:val="none"/>
              </w:rPr>
            </w:pPr>
          </w:p>
          <w:p w14:paraId="7B630204">
            <w:pPr>
              <w:adjustRightInd w:val="0"/>
              <w:snapToGrid w:val="0"/>
              <w:jc w:val="center"/>
              <w:rPr>
                <w:rFonts w:ascii="宋体" w:hAnsi="宋体" w:cs="宋体"/>
                <w:bCs/>
                <w:color w:val="auto"/>
                <w:szCs w:val="21"/>
                <w:highlight w:val="none"/>
              </w:rPr>
            </w:pPr>
          </w:p>
          <w:p w14:paraId="3D6E2574">
            <w:pPr>
              <w:adjustRightInd w:val="0"/>
              <w:snapToGrid w:val="0"/>
              <w:jc w:val="center"/>
              <w:rPr>
                <w:rFonts w:ascii="宋体" w:hAnsi="宋体" w:cs="宋体"/>
                <w:bCs/>
                <w:color w:val="auto"/>
                <w:szCs w:val="21"/>
                <w:highlight w:val="none"/>
              </w:rPr>
            </w:pPr>
          </w:p>
          <w:p w14:paraId="66D6E889">
            <w:pPr>
              <w:adjustRightInd w:val="0"/>
              <w:snapToGrid w:val="0"/>
              <w:jc w:val="center"/>
              <w:rPr>
                <w:rFonts w:ascii="宋体" w:hAnsi="宋体" w:cs="宋体"/>
                <w:bCs/>
                <w:color w:val="auto"/>
                <w:szCs w:val="21"/>
                <w:highlight w:val="none"/>
              </w:rPr>
            </w:pPr>
          </w:p>
          <w:p w14:paraId="1742BE87">
            <w:pPr>
              <w:adjustRightInd w:val="0"/>
              <w:snapToGrid w:val="0"/>
              <w:jc w:val="center"/>
              <w:rPr>
                <w:rFonts w:ascii="宋体" w:hAnsi="宋体" w:cs="宋体"/>
                <w:bCs/>
                <w:color w:val="auto"/>
                <w:szCs w:val="21"/>
                <w:highlight w:val="none"/>
              </w:rPr>
            </w:pPr>
          </w:p>
          <w:p w14:paraId="2D2902CF">
            <w:pPr>
              <w:adjustRightInd w:val="0"/>
              <w:snapToGrid w:val="0"/>
              <w:jc w:val="center"/>
              <w:rPr>
                <w:rFonts w:ascii="宋体" w:hAnsi="宋体" w:cs="宋体"/>
                <w:bCs/>
                <w:color w:val="auto"/>
                <w:szCs w:val="21"/>
                <w:highlight w:val="none"/>
              </w:rPr>
            </w:pPr>
          </w:p>
          <w:p w14:paraId="36E8E890">
            <w:pPr>
              <w:adjustRightInd w:val="0"/>
              <w:snapToGrid w:val="0"/>
              <w:jc w:val="center"/>
              <w:rPr>
                <w:rFonts w:ascii="宋体" w:hAnsi="宋体" w:cs="宋体"/>
                <w:bCs/>
                <w:color w:val="auto"/>
                <w:szCs w:val="21"/>
                <w:highlight w:val="none"/>
              </w:rPr>
            </w:pPr>
          </w:p>
          <w:p w14:paraId="566A9E89">
            <w:pPr>
              <w:adjustRightInd w:val="0"/>
              <w:snapToGrid w:val="0"/>
              <w:jc w:val="center"/>
              <w:rPr>
                <w:rFonts w:ascii="宋体" w:hAnsi="宋体" w:cs="宋体"/>
                <w:bCs/>
                <w:color w:val="auto"/>
                <w:szCs w:val="21"/>
                <w:highlight w:val="none"/>
              </w:rPr>
            </w:pPr>
          </w:p>
          <w:p w14:paraId="1A6AC328">
            <w:pPr>
              <w:adjustRightInd w:val="0"/>
              <w:snapToGrid w:val="0"/>
              <w:jc w:val="center"/>
              <w:rPr>
                <w:rFonts w:ascii="宋体" w:hAnsi="宋体" w:cs="宋体"/>
                <w:bCs/>
                <w:color w:val="auto"/>
                <w:szCs w:val="21"/>
                <w:highlight w:val="none"/>
              </w:rPr>
            </w:pPr>
          </w:p>
          <w:p w14:paraId="74048DA1">
            <w:pPr>
              <w:adjustRightInd w:val="0"/>
              <w:snapToGrid w:val="0"/>
              <w:jc w:val="center"/>
              <w:rPr>
                <w:rFonts w:ascii="宋体" w:hAnsi="宋体" w:cs="宋体"/>
                <w:bCs/>
                <w:color w:val="auto"/>
                <w:szCs w:val="21"/>
                <w:highlight w:val="none"/>
              </w:rPr>
            </w:pPr>
          </w:p>
          <w:p w14:paraId="4173884C">
            <w:pPr>
              <w:adjustRightInd w:val="0"/>
              <w:snapToGrid w:val="0"/>
              <w:jc w:val="center"/>
              <w:rPr>
                <w:rFonts w:ascii="宋体" w:hAnsi="宋体" w:cs="宋体"/>
                <w:bCs/>
                <w:color w:val="auto"/>
                <w:szCs w:val="21"/>
                <w:highlight w:val="none"/>
              </w:rPr>
            </w:pPr>
          </w:p>
          <w:p w14:paraId="7B309009">
            <w:pPr>
              <w:adjustRightInd w:val="0"/>
              <w:snapToGrid w:val="0"/>
              <w:rPr>
                <w:rFonts w:ascii="宋体" w:hAnsi="宋体" w:cs="宋体"/>
                <w:bCs/>
                <w:color w:val="auto"/>
                <w:szCs w:val="21"/>
                <w:highlight w:val="none"/>
              </w:rPr>
            </w:pPr>
          </w:p>
          <w:p w14:paraId="52B950EE">
            <w:pPr>
              <w:adjustRightInd w:val="0"/>
              <w:snapToGrid w:val="0"/>
              <w:jc w:val="center"/>
              <w:rPr>
                <w:rFonts w:ascii="宋体" w:hAnsi="宋体" w:cs="宋体"/>
                <w:bCs/>
                <w:color w:val="auto"/>
                <w:szCs w:val="21"/>
                <w:highlight w:val="none"/>
              </w:rPr>
            </w:pPr>
          </w:p>
          <w:p w14:paraId="3EDC1A14">
            <w:pPr>
              <w:adjustRightInd w:val="0"/>
              <w:snapToGrid w:val="0"/>
              <w:jc w:val="center"/>
              <w:rPr>
                <w:rFonts w:ascii="宋体" w:hAnsi="宋体" w:cs="宋体"/>
                <w:bCs/>
                <w:color w:val="auto"/>
                <w:sz w:val="24"/>
                <w:highlight w:val="none"/>
              </w:rPr>
            </w:pPr>
          </w:p>
          <w:p w14:paraId="2F39269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3F9E46D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120412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2BD32EE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96851D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1720D1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158121B2">
            <w:pPr>
              <w:adjustRightInd w:val="0"/>
              <w:snapToGrid w:val="0"/>
              <w:jc w:val="center"/>
              <w:rPr>
                <w:rFonts w:ascii="宋体" w:hAnsi="宋体" w:cs="宋体"/>
                <w:bCs/>
                <w:color w:val="auto"/>
                <w:szCs w:val="21"/>
                <w:highlight w:val="none"/>
              </w:rPr>
            </w:pPr>
          </w:p>
          <w:p w14:paraId="17526716">
            <w:pPr>
              <w:adjustRightInd w:val="0"/>
              <w:snapToGrid w:val="0"/>
              <w:jc w:val="center"/>
              <w:rPr>
                <w:rFonts w:ascii="宋体" w:hAnsi="宋体" w:cs="宋体"/>
                <w:bCs/>
                <w:color w:val="auto"/>
                <w:szCs w:val="21"/>
                <w:highlight w:val="none"/>
              </w:rPr>
            </w:pPr>
          </w:p>
          <w:p w14:paraId="43EF34D9">
            <w:pPr>
              <w:adjustRightInd w:val="0"/>
              <w:snapToGrid w:val="0"/>
              <w:jc w:val="center"/>
              <w:rPr>
                <w:rFonts w:ascii="宋体" w:hAnsi="宋体" w:cs="宋体"/>
                <w:bCs/>
                <w:color w:val="auto"/>
                <w:szCs w:val="21"/>
                <w:highlight w:val="none"/>
              </w:rPr>
            </w:pPr>
          </w:p>
          <w:p w14:paraId="515C04DD">
            <w:pPr>
              <w:adjustRightInd w:val="0"/>
              <w:snapToGrid w:val="0"/>
              <w:jc w:val="center"/>
              <w:rPr>
                <w:rFonts w:ascii="宋体" w:hAnsi="宋体" w:cs="宋体"/>
                <w:bCs/>
                <w:color w:val="auto"/>
                <w:szCs w:val="21"/>
                <w:highlight w:val="none"/>
              </w:rPr>
            </w:pPr>
          </w:p>
          <w:p w14:paraId="2FADF191">
            <w:pPr>
              <w:adjustRightInd w:val="0"/>
              <w:snapToGrid w:val="0"/>
              <w:jc w:val="center"/>
              <w:rPr>
                <w:rFonts w:ascii="宋体" w:hAnsi="宋体" w:cs="宋体"/>
                <w:bCs/>
                <w:color w:val="auto"/>
                <w:szCs w:val="21"/>
                <w:highlight w:val="none"/>
              </w:rPr>
            </w:pPr>
          </w:p>
          <w:p w14:paraId="331F2653">
            <w:pPr>
              <w:adjustRightInd w:val="0"/>
              <w:snapToGrid w:val="0"/>
              <w:jc w:val="center"/>
              <w:rPr>
                <w:rFonts w:ascii="宋体" w:hAnsi="宋体" w:cs="宋体"/>
                <w:bCs/>
                <w:color w:val="auto"/>
                <w:szCs w:val="21"/>
                <w:highlight w:val="none"/>
              </w:rPr>
            </w:pPr>
          </w:p>
          <w:p w14:paraId="2545D69E">
            <w:pPr>
              <w:adjustRightInd w:val="0"/>
              <w:snapToGrid w:val="0"/>
              <w:jc w:val="center"/>
              <w:rPr>
                <w:rFonts w:ascii="宋体" w:hAnsi="宋体" w:cs="宋体"/>
                <w:bCs/>
                <w:color w:val="auto"/>
                <w:szCs w:val="21"/>
                <w:highlight w:val="none"/>
              </w:rPr>
            </w:pPr>
          </w:p>
          <w:p w14:paraId="72C35E24">
            <w:pPr>
              <w:adjustRightInd w:val="0"/>
              <w:snapToGrid w:val="0"/>
              <w:jc w:val="center"/>
              <w:rPr>
                <w:rFonts w:ascii="宋体" w:hAnsi="宋体" w:cs="宋体"/>
                <w:bCs/>
                <w:color w:val="auto"/>
                <w:szCs w:val="21"/>
                <w:highlight w:val="none"/>
              </w:rPr>
            </w:pPr>
          </w:p>
          <w:p w14:paraId="292A67B6">
            <w:pPr>
              <w:adjustRightInd w:val="0"/>
              <w:snapToGrid w:val="0"/>
              <w:jc w:val="center"/>
              <w:rPr>
                <w:rFonts w:ascii="宋体" w:hAnsi="宋体" w:cs="宋体"/>
                <w:bCs/>
                <w:color w:val="auto"/>
                <w:szCs w:val="21"/>
                <w:highlight w:val="none"/>
              </w:rPr>
            </w:pPr>
          </w:p>
          <w:p w14:paraId="3924AEFA">
            <w:pPr>
              <w:adjustRightInd w:val="0"/>
              <w:snapToGrid w:val="0"/>
              <w:jc w:val="center"/>
              <w:rPr>
                <w:rFonts w:ascii="宋体" w:hAnsi="宋体" w:cs="宋体"/>
                <w:bCs/>
                <w:color w:val="auto"/>
                <w:szCs w:val="21"/>
                <w:highlight w:val="none"/>
              </w:rPr>
            </w:pPr>
          </w:p>
          <w:p w14:paraId="44A5D107">
            <w:pPr>
              <w:adjustRightInd w:val="0"/>
              <w:snapToGrid w:val="0"/>
              <w:jc w:val="center"/>
              <w:rPr>
                <w:rFonts w:ascii="宋体" w:hAnsi="宋体" w:cs="宋体"/>
                <w:bCs/>
                <w:color w:val="auto"/>
                <w:szCs w:val="21"/>
                <w:highlight w:val="none"/>
              </w:rPr>
            </w:pPr>
          </w:p>
          <w:p w14:paraId="306761E6">
            <w:pPr>
              <w:adjustRightInd w:val="0"/>
              <w:snapToGrid w:val="0"/>
              <w:jc w:val="center"/>
              <w:rPr>
                <w:rFonts w:ascii="宋体" w:hAnsi="宋体" w:cs="宋体"/>
                <w:bCs/>
                <w:color w:val="auto"/>
                <w:szCs w:val="21"/>
                <w:highlight w:val="none"/>
              </w:rPr>
            </w:pPr>
          </w:p>
          <w:p w14:paraId="183A85FF">
            <w:pPr>
              <w:adjustRightInd w:val="0"/>
              <w:snapToGrid w:val="0"/>
              <w:jc w:val="center"/>
              <w:rPr>
                <w:rFonts w:ascii="宋体" w:hAnsi="宋体" w:cs="宋体"/>
                <w:bCs/>
                <w:color w:val="auto"/>
                <w:szCs w:val="21"/>
                <w:highlight w:val="none"/>
              </w:rPr>
            </w:pPr>
          </w:p>
          <w:p w14:paraId="45571F03">
            <w:pPr>
              <w:adjustRightInd w:val="0"/>
              <w:snapToGrid w:val="0"/>
              <w:jc w:val="center"/>
              <w:rPr>
                <w:rFonts w:ascii="宋体" w:hAnsi="宋体" w:cs="宋体"/>
                <w:bCs/>
                <w:color w:val="auto"/>
                <w:szCs w:val="21"/>
                <w:highlight w:val="none"/>
              </w:rPr>
            </w:pPr>
          </w:p>
          <w:p w14:paraId="705DAEB7">
            <w:pPr>
              <w:adjustRightInd w:val="0"/>
              <w:snapToGrid w:val="0"/>
              <w:jc w:val="center"/>
              <w:rPr>
                <w:rFonts w:ascii="宋体" w:hAnsi="宋体" w:cs="宋体"/>
                <w:bCs/>
                <w:color w:val="auto"/>
                <w:szCs w:val="21"/>
                <w:highlight w:val="none"/>
              </w:rPr>
            </w:pPr>
          </w:p>
          <w:p w14:paraId="6E84622B">
            <w:pPr>
              <w:adjustRightInd w:val="0"/>
              <w:snapToGrid w:val="0"/>
              <w:jc w:val="center"/>
              <w:rPr>
                <w:rFonts w:ascii="宋体" w:hAnsi="宋体" w:cs="宋体"/>
                <w:bCs/>
                <w:color w:val="auto"/>
                <w:szCs w:val="21"/>
                <w:highlight w:val="none"/>
              </w:rPr>
            </w:pPr>
          </w:p>
          <w:p w14:paraId="3037DC21">
            <w:pPr>
              <w:adjustRightInd w:val="0"/>
              <w:snapToGrid w:val="0"/>
              <w:jc w:val="center"/>
              <w:rPr>
                <w:rFonts w:ascii="宋体" w:hAnsi="宋体" w:cs="宋体"/>
                <w:bCs/>
                <w:color w:val="auto"/>
                <w:szCs w:val="21"/>
                <w:highlight w:val="none"/>
              </w:rPr>
            </w:pPr>
          </w:p>
          <w:p w14:paraId="6F1A7CD3">
            <w:pPr>
              <w:adjustRightInd w:val="0"/>
              <w:snapToGrid w:val="0"/>
              <w:jc w:val="center"/>
              <w:rPr>
                <w:rFonts w:ascii="宋体" w:hAnsi="宋体" w:cs="宋体"/>
                <w:bCs/>
                <w:color w:val="auto"/>
                <w:szCs w:val="21"/>
                <w:highlight w:val="none"/>
              </w:rPr>
            </w:pPr>
          </w:p>
          <w:p w14:paraId="3832FF96">
            <w:pPr>
              <w:adjustRightInd w:val="0"/>
              <w:snapToGrid w:val="0"/>
              <w:jc w:val="center"/>
              <w:rPr>
                <w:rFonts w:ascii="宋体" w:hAnsi="宋体" w:cs="宋体"/>
                <w:bCs/>
                <w:color w:val="auto"/>
                <w:szCs w:val="21"/>
                <w:highlight w:val="none"/>
              </w:rPr>
            </w:pPr>
          </w:p>
          <w:p w14:paraId="73C11F3F">
            <w:pPr>
              <w:adjustRightInd w:val="0"/>
              <w:snapToGrid w:val="0"/>
              <w:jc w:val="both"/>
              <w:rPr>
                <w:rFonts w:ascii="宋体" w:hAnsi="宋体" w:cs="宋体"/>
                <w:bCs/>
                <w:color w:val="auto"/>
                <w:szCs w:val="21"/>
                <w:highlight w:val="none"/>
              </w:rPr>
            </w:pPr>
          </w:p>
          <w:p w14:paraId="03F163BF">
            <w:pPr>
              <w:adjustRightInd w:val="0"/>
              <w:snapToGrid w:val="0"/>
              <w:jc w:val="center"/>
              <w:rPr>
                <w:rFonts w:hint="eastAsia" w:ascii="宋体" w:hAnsi="宋体" w:cs="宋体"/>
                <w:bCs/>
                <w:color w:val="auto"/>
                <w:sz w:val="24"/>
                <w:highlight w:val="none"/>
              </w:rPr>
            </w:pPr>
          </w:p>
          <w:p w14:paraId="4A3B66FE">
            <w:pPr>
              <w:adjustRightInd w:val="0"/>
              <w:snapToGrid w:val="0"/>
              <w:jc w:val="center"/>
              <w:rPr>
                <w:rFonts w:hint="eastAsia" w:ascii="宋体" w:hAnsi="宋体" w:cs="宋体"/>
                <w:bCs/>
                <w:color w:val="auto"/>
                <w:sz w:val="24"/>
                <w:highlight w:val="none"/>
              </w:rPr>
            </w:pPr>
          </w:p>
          <w:p w14:paraId="58EC1AAA">
            <w:pPr>
              <w:adjustRightInd w:val="0"/>
              <w:snapToGrid w:val="0"/>
              <w:jc w:val="center"/>
              <w:rPr>
                <w:rFonts w:hint="eastAsia" w:ascii="宋体" w:hAnsi="宋体" w:cs="宋体"/>
                <w:bCs/>
                <w:color w:val="auto"/>
                <w:sz w:val="24"/>
                <w:highlight w:val="none"/>
              </w:rPr>
            </w:pPr>
          </w:p>
          <w:p w14:paraId="0D111028">
            <w:pPr>
              <w:adjustRightInd w:val="0"/>
              <w:snapToGrid w:val="0"/>
              <w:jc w:val="center"/>
              <w:rPr>
                <w:rFonts w:hint="eastAsia" w:ascii="宋体" w:hAnsi="宋体" w:cs="宋体"/>
                <w:bCs/>
                <w:color w:val="auto"/>
                <w:sz w:val="24"/>
                <w:highlight w:val="none"/>
              </w:rPr>
            </w:pPr>
          </w:p>
          <w:p w14:paraId="68180A82">
            <w:pPr>
              <w:adjustRightInd w:val="0"/>
              <w:snapToGrid w:val="0"/>
              <w:jc w:val="center"/>
              <w:rPr>
                <w:rFonts w:hint="eastAsia" w:ascii="宋体" w:hAnsi="宋体" w:cs="宋体"/>
                <w:bCs/>
                <w:color w:val="auto"/>
                <w:sz w:val="24"/>
                <w:highlight w:val="none"/>
              </w:rPr>
            </w:pPr>
          </w:p>
          <w:p w14:paraId="14EF7AE2">
            <w:pPr>
              <w:adjustRightInd w:val="0"/>
              <w:snapToGrid w:val="0"/>
              <w:jc w:val="center"/>
              <w:rPr>
                <w:rFonts w:hint="eastAsia" w:ascii="宋体" w:hAnsi="宋体" w:cs="宋体"/>
                <w:bCs/>
                <w:color w:val="auto"/>
                <w:sz w:val="24"/>
                <w:highlight w:val="none"/>
              </w:rPr>
            </w:pPr>
          </w:p>
          <w:p w14:paraId="6496AC70">
            <w:pPr>
              <w:adjustRightInd w:val="0"/>
              <w:snapToGrid w:val="0"/>
              <w:jc w:val="center"/>
              <w:rPr>
                <w:rFonts w:hint="eastAsia" w:ascii="宋体" w:hAnsi="宋体" w:cs="宋体"/>
                <w:bCs/>
                <w:color w:val="auto"/>
                <w:sz w:val="24"/>
                <w:highlight w:val="none"/>
              </w:rPr>
            </w:pPr>
          </w:p>
          <w:p w14:paraId="5F9AC380">
            <w:pPr>
              <w:adjustRightInd w:val="0"/>
              <w:snapToGrid w:val="0"/>
              <w:jc w:val="center"/>
              <w:rPr>
                <w:rFonts w:hint="eastAsia" w:ascii="宋体" w:hAnsi="宋体" w:cs="宋体"/>
                <w:bCs/>
                <w:color w:val="auto"/>
                <w:sz w:val="24"/>
                <w:highlight w:val="none"/>
              </w:rPr>
            </w:pPr>
          </w:p>
          <w:p w14:paraId="5C7F5BDD">
            <w:pPr>
              <w:adjustRightInd w:val="0"/>
              <w:snapToGrid w:val="0"/>
              <w:jc w:val="center"/>
              <w:rPr>
                <w:rFonts w:hint="eastAsia" w:ascii="宋体" w:hAnsi="宋体" w:cs="宋体"/>
                <w:bCs/>
                <w:color w:val="auto"/>
                <w:sz w:val="24"/>
                <w:highlight w:val="none"/>
              </w:rPr>
            </w:pPr>
          </w:p>
          <w:p w14:paraId="7E0AF6B0">
            <w:pPr>
              <w:adjustRightInd w:val="0"/>
              <w:snapToGrid w:val="0"/>
              <w:jc w:val="center"/>
              <w:rPr>
                <w:rFonts w:hint="eastAsia" w:ascii="宋体" w:hAnsi="宋体" w:cs="宋体"/>
                <w:bCs/>
                <w:color w:val="auto"/>
                <w:sz w:val="24"/>
                <w:highlight w:val="none"/>
              </w:rPr>
            </w:pPr>
          </w:p>
          <w:p w14:paraId="2C2A289A">
            <w:pPr>
              <w:adjustRightInd w:val="0"/>
              <w:snapToGrid w:val="0"/>
              <w:jc w:val="center"/>
              <w:rPr>
                <w:rFonts w:hint="eastAsia" w:ascii="宋体" w:hAnsi="宋体" w:cs="宋体"/>
                <w:bCs/>
                <w:color w:val="auto"/>
                <w:sz w:val="24"/>
                <w:highlight w:val="none"/>
              </w:rPr>
            </w:pPr>
          </w:p>
          <w:p w14:paraId="30B991E2">
            <w:pPr>
              <w:adjustRightInd w:val="0"/>
              <w:snapToGrid w:val="0"/>
              <w:jc w:val="center"/>
              <w:rPr>
                <w:rFonts w:hint="eastAsia" w:ascii="宋体" w:hAnsi="宋体" w:cs="宋体"/>
                <w:bCs/>
                <w:color w:val="auto"/>
                <w:sz w:val="24"/>
                <w:highlight w:val="none"/>
              </w:rPr>
            </w:pPr>
          </w:p>
          <w:p w14:paraId="3893D11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466AB7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407B10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01C6A61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7A174A2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1280F4E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468094AB">
            <w:pPr>
              <w:adjustRightInd w:val="0"/>
              <w:snapToGrid w:val="0"/>
              <w:jc w:val="center"/>
              <w:rPr>
                <w:rFonts w:ascii="宋体" w:hAnsi="宋体" w:cs="宋体"/>
                <w:bCs/>
                <w:color w:val="auto"/>
                <w:szCs w:val="21"/>
                <w:highlight w:val="none"/>
              </w:rPr>
            </w:pPr>
          </w:p>
          <w:p w14:paraId="4B6FC5D0">
            <w:pPr>
              <w:adjustRightInd w:val="0"/>
              <w:snapToGrid w:val="0"/>
              <w:jc w:val="center"/>
              <w:rPr>
                <w:rFonts w:ascii="宋体" w:hAnsi="宋体" w:cs="宋体"/>
                <w:bCs/>
                <w:color w:val="auto"/>
                <w:szCs w:val="21"/>
                <w:highlight w:val="none"/>
              </w:rPr>
            </w:pPr>
          </w:p>
          <w:p w14:paraId="07A0AD91">
            <w:pPr>
              <w:adjustRightInd w:val="0"/>
              <w:snapToGrid w:val="0"/>
              <w:jc w:val="center"/>
              <w:rPr>
                <w:rFonts w:ascii="宋体" w:hAnsi="宋体" w:cs="宋体"/>
                <w:bCs/>
                <w:color w:val="auto"/>
                <w:szCs w:val="21"/>
                <w:highlight w:val="none"/>
              </w:rPr>
            </w:pPr>
          </w:p>
          <w:p w14:paraId="2BB6FC73">
            <w:pPr>
              <w:adjustRightInd w:val="0"/>
              <w:snapToGrid w:val="0"/>
              <w:jc w:val="center"/>
              <w:rPr>
                <w:rFonts w:ascii="宋体" w:hAnsi="宋体" w:cs="宋体"/>
                <w:bCs/>
                <w:color w:val="auto"/>
                <w:szCs w:val="21"/>
                <w:highlight w:val="none"/>
              </w:rPr>
            </w:pPr>
          </w:p>
          <w:p w14:paraId="2E1C784D">
            <w:pPr>
              <w:adjustRightInd w:val="0"/>
              <w:snapToGrid w:val="0"/>
              <w:jc w:val="center"/>
              <w:rPr>
                <w:rFonts w:ascii="宋体" w:hAnsi="宋体" w:cs="宋体"/>
                <w:bCs/>
                <w:color w:val="auto"/>
                <w:szCs w:val="21"/>
                <w:highlight w:val="none"/>
              </w:rPr>
            </w:pPr>
          </w:p>
          <w:p w14:paraId="1093C8BA">
            <w:pPr>
              <w:adjustRightInd w:val="0"/>
              <w:snapToGrid w:val="0"/>
              <w:jc w:val="center"/>
              <w:rPr>
                <w:rFonts w:ascii="宋体" w:hAnsi="宋体" w:cs="宋体"/>
                <w:bCs/>
                <w:color w:val="auto"/>
                <w:szCs w:val="21"/>
                <w:highlight w:val="none"/>
              </w:rPr>
            </w:pPr>
          </w:p>
          <w:p w14:paraId="13CB4479">
            <w:pPr>
              <w:adjustRightInd w:val="0"/>
              <w:snapToGrid w:val="0"/>
              <w:jc w:val="center"/>
              <w:rPr>
                <w:rFonts w:ascii="宋体" w:hAnsi="宋体" w:cs="宋体"/>
                <w:bCs/>
                <w:color w:val="auto"/>
                <w:szCs w:val="21"/>
                <w:highlight w:val="none"/>
              </w:rPr>
            </w:pPr>
          </w:p>
          <w:p w14:paraId="347209DD">
            <w:pPr>
              <w:adjustRightInd w:val="0"/>
              <w:snapToGrid w:val="0"/>
              <w:jc w:val="center"/>
              <w:rPr>
                <w:rFonts w:ascii="宋体" w:hAnsi="宋体" w:cs="宋体"/>
                <w:bCs/>
                <w:color w:val="auto"/>
                <w:szCs w:val="21"/>
                <w:highlight w:val="none"/>
              </w:rPr>
            </w:pPr>
          </w:p>
          <w:p w14:paraId="5178379B">
            <w:pPr>
              <w:adjustRightInd w:val="0"/>
              <w:snapToGrid w:val="0"/>
              <w:jc w:val="center"/>
              <w:rPr>
                <w:rFonts w:ascii="宋体" w:hAnsi="宋体" w:cs="宋体"/>
                <w:bCs/>
                <w:color w:val="auto"/>
                <w:szCs w:val="21"/>
                <w:highlight w:val="none"/>
              </w:rPr>
            </w:pPr>
          </w:p>
          <w:p w14:paraId="171D4B7C">
            <w:pPr>
              <w:adjustRightInd w:val="0"/>
              <w:snapToGrid w:val="0"/>
              <w:jc w:val="center"/>
              <w:rPr>
                <w:rFonts w:ascii="宋体" w:hAnsi="宋体" w:cs="宋体"/>
                <w:bCs/>
                <w:color w:val="auto"/>
                <w:szCs w:val="21"/>
                <w:highlight w:val="none"/>
              </w:rPr>
            </w:pPr>
          </w:p>
          <w:p w14:paraId="1697F165">
            <w:pPr>
              <w:adjustRightInd w:val="0"/>
              <w:snapToGrid w:val="0"/>
              <w:jc w:val="center"/>
              <w:rPr>
                <w:rFonts w:ascii="宋体" w:hAnsi="宋体" w:cs="宋体"/>
                <w:bCs/>
                <w:color w:val="auto"/>
                <w:szCs w:val="21"/>
                <w:highlight w:val="none"/>
              </w:rPr>
            </w:pPr>
          </w:p>
          <w:p w14:paraId="130F4D72">
            <w:pPr>
              <w:adjustRightInd w:val="0"/>
              <w:snapToGrid w:val="0"/>
              <w:jc w:val="center"/>
              <w:rPr>
                <w:rFonts w:ascii="宋体" w:hAnsi="宋体" w:cs="宋体"/>
                <w:bCs/>
                <w:color w:val="auto"/>
                <w:szCs w:val="21"/>
                <w:highlight w:val="none"/>
              </w:rPr>
            </w:pPr>
          </w:p>
          <w:p w14:paraId="701F318C">
            <w:pPr>
              <w:adjustRightInd w:val="0"/>
              <w:snapToGrid w:val="0"/>
              <w:jc w:val="center"/>
              <w:rPr>
                <w:rFonts w:ascii="宋体" w:hAnsi="宋体" w:cs="宋体"/>
                <w:bCs/>
                <w:color w:val="auto"/>
                <w:szCs w:val="21"/>
                <w:highlight w:val="none"/>
              </w:rPr>
            </w:pPr>
          </w:p>
          <w:p w14:paraId="44717F9D">
            <w:pPr>
              <w:adjustRightInd w:val="0"/>
              <w:snapToGrid w:val="0"/>
              <w:jc w:val="center"/>
              <w:rPr>
                <w:rFonts w:ascii="宋体" w:hAnsi="宋体" w:cs="宋体"/>
                <w:bCs/>
                <w:color w:val="auto"/>
                <w:szCs w:val="21"/>
                <w:highlight w:val="none"/>
              </w:rPr>
            </w:pPr>
          </w:p>
          <w:p w14:paraId="086840B9">
            <w:pPr>
              <w:adjustRightInd w:val="0"/>
              <w:snapToGrid w:val="0"/>
              <w:jc w:val="center"/>
              <w:rPr>
                <w:rFonts w:ascii="宋体" w:hAnsi="宋体" w:cs="宋体"/>
                <w:bCs/>
                <w:color w:val="auto"/>
                <w:szCs w:val="21"/>
                <w:highlight w:val="none"/>
              </w:rPr>
            </w:pPr>
          </w:p>
          <w:p w14:paraId="7D927646">
            <w:pPr>
              <w:adjustRightInd w:val="0"/>
              <w:snapToGrid w:val="0"/>
              <w:jc w:val="center"/>
              <w:rPr>
                <w:rFonts w:ascii="宋体" w:hAnsi="宋体" w:cs="宋体"/>
                <w:bCs/>
                <w:color w:val="auto"/>
                <w:szCs w:val="21"/>
                <w:highlight w:val="none"/>
              </w:rPr>
            </w:pPr>
          </w:p>
          <w:p w14:paraId="3F48EBE4">
            <w:pPr>
              <w:adjustRightInd w:val="0"/>
              <w:snapToGrid w:val="0"/>
              <w:jc w:val="center"/>
              <w:rPr>
                <w:rFonts w:ascii="宋体" w:hAnsi="宋体" w:cs="宋体"/>
                <w:bCs/>
                <w:color w:val="auto"/>
                <w:szCs w:val="21"/>
                <w:highlight w:val="none"/>
              </w:rPr>
            </w:pPr>
          </w:p>
          <w:p w14:paraId="1053DC8B">
            <w:pPr>
              <w:adjustRightInd w:val="0"/>
              <w:snapToGrid w:val="0"/>
              <w:jc w:val="center"/>
              <w:rPr>
                <w:rFonts w:ascii="宋体" w:hAnsi="宋体" w:cs="宋体"/>
                <w:bCs/>
                <w:color w:val="auto"/>
                <w:szCs w:val="21"/>
                <w:highlight w:val="none"/>
              </w:rPr>
            </w:pPr>
          </w:p>
          <w:p w14:paraId="55892929">
            <w:pPr>
              <w:adjustRightInd w:val="0"/>
              <w:snapToGrid w:val="0"/>
              <w:jc w:val="center"/>
              <w:rPr>
                <w:rFonts w:ascii="宋体" w:hAnsi="宋体" w:cs="宋体"/>
                <w:bCs/>
                <w:color w:val="auto"/>
                <w:szCs w:val="21"/>
                <w:highlight w:val="none"/>
              </w:rPr>
            </w:pPr>
          </w:p>
          <w:p w14:paraId="4BDEF4F8">
            <w:pPr>
              <w:adjustRightInd w:val="0"/>
              <w:snapToGrid w:val="0"/>
              <w:jc w:val="center"/>
              <w:rPr>
                <w:rFonts w:ascii="宋体" w:hAnsi="宋体" w:cs="宋体"/>
                <w:bCs/>
                <w:color w:val="auto"/>
                <w:szCs w:val="21"/>
                <w:highlight w:val="none"/>
              </w:rPr>
            </w:pPr>
          </w:p>
          <w:p w14:paraId="385D31FC">
            <w:pPr>
              <w:adjustRightInd w:val="0"/>
              <w:snapToGrid w:val="0"/>
              <w:jc w:val="center"/>
              <w:rPr>
                <w:rFonts w:ascii="宋体" w:hAnsi="宋体" w:cs="宋体"/>
                <w:bCs/>
                <w:color w:val="auto"/>
                <w:szCs w:val="21"/>
                <w:highlight w:val="none"/>
              </w:rPr>
            </w:pPr>
          </w:p>
          <w:p w14:paraId="356EF0C3">
            <w:pPr>
              <w:adjustRightInd w:val="0"/>
              <w:snapToGrid w:val="0"/>
              <w:jc w:val="center"/>
              <w:rPr>
                <w:rFonts w:ascii="宋体" w:hAnsi="宋体" w:cs="宋体"/>
                <w:bCs/>
                <w:color w:val="auto"/>
                <w:szCs w:val="21"/>
                <w:highlight w:val="none"/>
              </w:rPr>
            </w:pPr>
          </w:p>
          <w:p w14:paraId="09E5AEF7">
            <w:pPr>
              <w:adjustRightInd w:val="0"/>
              <w:snapToGrid w:val="0"/>
              <w:jc w:val="center"/>
              <w:rPr>
                <w:rFonts w:ascii="宋体" w:hAnsi="宋体" w:cs="宋体"/>
                <w:bCs/>
                <w:color w:val="auto"/>
                <w:szCs w:val="21"/>
                <w:highlight w:val="none"/>
              </w:rPr>
            </w:pPr>
          </w:p>
          <w:p w14:paraId="33B0BFEA">
            <w:pPr>
              <w:adjustRightInd w:val="0"/>
              <w:snapToGrid w:val="0"/>
              <w:jc w:val="center"/>
              <w:rPr>
                <w:rFonts w:ascii="宋体" w:hAnsi="宋体" w:cs="宋体"/>
                <w:bCs/>
                <w:color w:val="auto"/>
                <w:szCs w:val="21"/>
                <w:highlight w:val="none"/>
              </w:rPr>
            </w:pPr>
          </w:p>
          <w:p w14:paraId="33C41982">
            <w:pPr>
              <w:adjustRightInd w:val="0"/>
              <w:snapToGrid w:val="0"/>
              <w:jc w:val="center"/>
              <w:rPr>
                <w:rFonts w:ascii="宋体" w:hAnsi="宋体" w:cs="宋体"/>
                <w:bCs/>
                <w:color w:val="auto"/>
                <w:szCs w:val="21"/>
                <w:highlight w:val="none"/>
              </w:rPr>
            </w:pPr>
          </w:p>
          <w:p w14:paraId="4E2B9560">
            <w:pPr>
              <w:adjustRightInd w:val="0"/>
              <w:snapToGrid w:val="0"/>
              <w:jc w:val="center"/>
              <w:rPr>
                <w:rFonts w:ascii="宋体" w:hAnsi="宋体" w:cs="宋体"/>
                <w:bCs/>
                <w:color w:val="auto"/>
                <w:szCs w:val="21"/>
                <w:highlight w:val="none"/>
              </w:rPr>
            </w:pPr>
          </w:p>
          <w:p w14:paraId="1BDE31DA">
            <w:pPr>
              <w:adjustRightInd w:val="0"/>
              <w:snapToGrid w:val="0"/>
              <w:jc w:val="center"/>
              <w:rPr>
                <w:rFonts w:ascii="宋体" w:hAnsi="宋体" w:cs="宋体"/>
                <w:bCs/>
                <w:color w:val="auto"/>
                <w:szCs w:val="21"/>
                <w:highlight w:val="none"/>
              </w:rPr>
            </w:pPr>
          </w:p>
          <w:p w14:paraId="3B241A0F">
            <w:pPr>
              <w:adjustRightInd w:val="0"/>
              <w:snapToGrid w:val="0"/>
              <w:jc w:val="center"/>
              <w:rPr>
                <w:rFonts w:ascii="宋体" w:hAnsi="宋体" w:cs="宋体"/>
                <w:bCs/>
                <w:color w:val="auto"/>
                <w:szCs w:val="21"/>
                <w:highlight w:val="none"/>
              </w:rPr>
            </w:pPr>
          </w:p>
          <w:p w14:paraId="46BCF5BF">
            <w:pPr>
              <w:adjustRightInd w:val="0"/>
              <w:snapToGrid w:val="0"/>
              <w:rPr>
                <w:rFonts w:ascii="宋体" w:hAnsi="宋体" w:cs="宋体"/>
                <w:bCs/>
                <w:color w:val="auto"/>
                <w:szCs w:val="21"/>
                <w:highlight w:val="none"/>
              </w:rPr>
            </w:pPr>
          </w:p>
          <w:p w14:paraId="0F64D77B">
            <w:pPr>
              <w:pStyle w:val="45"/>
              <w:rPr>
                <w:rFonts w:hAnsi="宋体"/>
                <w:bCs/>
                <w:color w:val="auto"/>
                <w:szCs w:val="21"/>
                <w:highlight w:val="none"/>
              </w:rPr>
            </w:pPr>
          </w:p>
          <w:p w14:paraId="1AE841C9">
            <w:pPr>
              <w:pStyle w:val="45"/>
              <w:rPr>
                <w:rFonts w:hAnsi="宋体"/>
                <w:bCs/>
                <w:color w:val="auto"/>
                <w:szCs w:val="21"/>
                <w:highlight w:val="none"/>
              </w:rPr>
            </w:pPr>
          </w:p>
          <w:p w14:paraId="79F36973">
            <w:pPr>
              <w:pStyle w:val="45"/>
              <w:rPr>
                <w:rFonts w:hAnsi="宋体"/>
                <w:bCs/>
                <w:color w:val="auto"/>
                <w:szCs w:val="21"/>
                <w:highlight w:val="none"/>
              </w:rPr>
            </w:pPr>
          </w:p>
          <w:p w14:paraId="38A6D3CD">
            <w:pPr>
              <w:pStyle w:val="45"/>
              <w:rPr>
                <w:rFonts w:hAnsi="宋体"/>
                <w:bCs/>
                <w:color w:val="auto"/>
                <w:szCs w:val="21"/>
                <w:highlight w:val="none"/>
              </w:rPr>
            </w:pPr>
          </w:p>
          <w:p w14:paraId="6FD72668">
            <w:pPr>
              <w:adjustRightInd w:val="0"/>
              <w:snapToGrid w:val="0"/>
              <w:jc w:val="both"/>
              <w:rPr>
                <w:rFonts w:hint="eastAsia" w:ascii="宋体" w:hAnsi="宋体" w:cs="宋体"/>
                <w:bCs/>
                <w:color w:val="auto"/>
                <w:sz w:val="24"/>
                <w:highlight w:val="none"/>
              </w:rPr>
            </w:pPr>
          </w:p>
          <w:p w14:paraId="1E73142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53771E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4855BF6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49A3262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0D1BAB5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E196AF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473BE548">
            <w:pPr>
              <w:adjustRightInd w:val="0"/>
              <w:snapToGrid w:val="0"/>
              <w:jc w:val="center"/>
              <w:rPr>
                <w:rFonts w:ascii="宋体" w:hAnsi="宋体" w:cs="宋体"/>
                <w:bCs/>
                <w:color w:val="auto"/>
                <w:szCs w:val="21"/>
                <w:highlight w:val="none"/>
              </w:rPr>
            </w:pPr>
          </w:p>
          <w:p w14:paraId="7D8688FC">
            <w:pPr>
              <w:adjustRightInd w:val="0"/>
              <w:snapToGrid w:val="0"/>
              <w:jc w:val="center"/>
              <w:rPr>
                <w:rFonts w:ascii="宋体" w:hAnsi="宋体" w:cs="宋体"/>
                <w:bCs/>
                <w:color w:val="auto"/>
                <w:szCs w:val="21"/>
                <w:highlight w:val="none"/>
              </w:rPr>
            </w:pPr>
          </w:p>
          <w:p w14:paraId="403A6D9A">
            <w:pPr>
              <w:adjustRightInd w:val="0"/>
              <w:snapToGrid w:val="0"/>
              <w:jc w:val="center"/>
              <w:rPr>
                <w:rFonts w:ascii="宋体" w:hAnsi="宋体" w:cs="宋体"/>
                <w:bCs/>
                <w:color w:val="auto"/>
                <w:szCs w:val="21"/>
                <w:highlight w:val="none"/>
              </w:rPr>
            </w:pPr>
          </w:p>
          <w:p w14:paraId="727F3C56">
            <w:pPr>
              <w:adjustRightInd w:val="0"/>
              <w:snapToGrid w:val="0"/>
              <w:jc w:val="center"/>
              <w:rPr>
                <w:rFonts w:ascii="宋体" w:hAnsi="宋体" w:cs="宋体"/>
                <w:bCs/>
                <w:color w:val="auto"/>
                <w:szCs w:val="21"/>
                <w:highlight w:val="none"/>
              </w:rPr>
            </w:pPr>
          </w:p>
          <w:p w14:paraId="02B5C9F6">
            <w:pPr>
              <w:adjustRightInd w:val="0"/>
              <w:snapToGrid w:val="0"/>
              <w:jc w:val="center"/>
              <w:rPr>
                <w:rFonts w:ascii="宋体" w:hAnsi="宋体" w:cs="宋体"/>
                <w:bCs/>
                <w:color w:val="auto"/>
                <w:szCs w:val="21"/>
                <w:highlight w:val="none"/>
              </w:rPr>
            </w:pPr>
          </w:p>
          <w:p w14:paraId="0A910638">
            <w:pPr>
              <w:adjustRightInd w:val="0"/>
              <w:snapToGrid w:val="0"/>
              <w:jc w:val="center"/>
              <w:rPr>
                <w:rFonts w:ascii="宋体" w:hAnsi="宋体" w:cs="宋体"/>
                <w:bCs/>
                <w:color w:val="auto"/>
                <w:szCs w:val="21"/>
                <w:highlight w:val="none"/>
              </w:rPr>
            </w:pPr>
          </w:p>
          <w:p w14:paraId="7EEB98C6">
            <w:pPr>
              <w:adjustRightInd w:val="0"/>
              <w:snapToGrid w:val="0"/>
              <w:jc w:val="center"/>
              <w:rPr>
                <w:rFonts w:ascii="宋体" w:hAnsi="宋体" w:cs="宋体"/>
                <w:bCs/>
                <w:color w:val="auto"/>
                <w:szCs w:val="21"/>
                <w:highlight w:val="none"/>
              </w:rPr>
            </w:pPr>
          </w:p>
          <w:p w14:paraId="60EE3884">
            <w:pPr>
              <w:adjustRightInd w:val="0"/>
              <w:snapToGrid w:val="0"/>
              <w:jc w:val="center"/>
              <w:rPr>
                <w:rFonts w:ascii="宋体" w:hAnsi="宋体" w:cs="宋体"/>
                <w:bCs/>
                <w:color w:val="auto"/>
                <w:szCs w:val="21"/>
                <w:highlight w:val="none"/>
              </w:rPr>
            </w:pPr>
          </w:p>
          <w:p w14:paraId="7E0D25E6">
            <w:pPr>
              <w:adjustRightInd w:val="0"/>
              <w:snapToGrid w:val="0"/>
              <w:jc w:val="center"/>
              <w:rPr>
                <w:rFonts w:ascii="宋体" w:hAnsi="宋体" w:cs="宋体"/>
                <w:bCs/>
                <w:color w:val="auto"/>
                <w:szCs w:val="21"/>
                <w:highlight w:val="none"/>
              </w:rPr>
            </w:pPr>
          </w:p>
          <w:p w14:paraId="31B99E04">
            <w:pPr>
              <w:adjustRightInd w:val="0"/>
              <w:snapToGrid w:val="0"/>
              <w:jc w:val="center"/>
              <w:rPr>
                <w:rFonts w:ascii="宋体" w:hAnsi="宋体" w:cs="宋体"/>
                <w:bCs/>
                <w:color w:val="auto"/>
                <w:szCs w:val="21"/>
                <w:highlight w:val="none"/>
              </w:rPr>
            </w:pPr>
          </w:p>
          <w:p w14:paraId="78483D9F">
            <w:pPr>
              <w:adjustRightInd w:val="0"/>
              <w:snapToGrid w:val="0"/>
              <w:jc w:val="center"/>
              <w:rPr>
                <w:rFonts w:ascii="宋体" w:hAnsi="宋体" w:cs="宋体"/>
                <w:bCs/>
                <w:color w:val="auto"/>
                <w:szCs w:val="21"/>
                <w:highlight w:val="none"/>
              </w:rPr>
            </w:pPr>
          </w:p>
          <w:p w14:paraId="59D3A327">
            <w:pPr>
              <w:adjustRightInd w:val="0"/>
              <w:snapToGrid w:val="0"/>
              <w:jc w:val="center"/>
              <w:rPr>
                <w:rFonts w:ascii="宋体" w:hAnsi="宋体" w:cs="宋体"/>
                <w:bCs/>
                <w:color w:val="auto"/>
                <w:szCs w:val="21"/>
                <w:highlight w:val="none"/>
              </w:rPr>
            </w:pPr>
          </w:p>
          <w:p w14:paraId="2F7DF370">
            <w:pPr>
              <w:adjustRightInd w:val="0"/>
              <w:snapToGrid w:val="0"/>
              <w:jc w:val="center"/>
              <w:rPr>
                <w:rFonts w:ascii="宋体" w:hAnsi="宋体" w:cs="宋体"/>
                <w:bCs/>
                <w:color w:val="auto"/>
                <w:szCs w:val="21"/>
                <w:highlight w:val="none"/>
              </w:rPr>
            </w:pPr>
          </w:p>
          <w:p w14:paraId="168E7371">
            <w:pPr>
              <w:adjustRightInd w:val="0"/>
              <w:snapToGrid w:val="0"/>
              <w:jc w:val="center"/>
              <w:rPr>
                <w:rFonts w:ascii="宋体" w:hAnsi="宋体" w:cs="宋体"/>
                <w:bCs/>
                <w:color w:val="auto"/>
                <w:szCs w:val="21"/>
                <w:highlight w:val="none"/>
              </w:rPr>
            </w:pPr>
          </w:p>
          <w:p w14:paraId="2C1B59F1">
            <w:pPr>
              <w:adjustRightInd w:val="0"/>
              <w:snapToGrid w:val="0"/>
              <w:jc w:val="center"/>
              <w:rPr>
                <w:rFonts w:ascii="宋体" w:hAnsi="宋体" w:cs="宋体"/>
                <w:bCs/>
                <w:color w:val="auto"/>
                <w:szCs w:val="21"/>
                <w:highlight w:val="none"/>
              </w:rPr>
            </w:pPr>
          </w:p>
          <w:p w14:paraId="38C0D789">
            <w:pPr>
              <w:adjustRightInd w:val="0"/>
              <w:snapToGrid w:val="0"/>
              <w:jc w:val="center"/>
              <w:rPr>
                <w:rFonts w:ascii="宋体" w:hAnsi="宋体" w:cs="宋体"/>
                <w:bCs/>
                <w:color w:val="auto"/>
                <w:szCs w:val="21"/>
                <w:highlight w:val="none"/>
              </w:rPr>
            </w:pPr>
          </w:p>
          <w:p w14:paraId="3A794E17">
            <w:pPr>
              <w:adjustRightInd w:val="0"/>
              <w:snapToGrid w:val="0"/>
              <w:jc w:val="center"/>
              <w:rPr>
                <w:rFonts w:ascii="宋体" w:hAnsi="宋体" w:cs="宋体"/>
                <w:bCs/>
                <w:color w:val="auto"/>
                <w:szCs w:val="21"/>
                <w:highlight w:val="none"/>
              </w:rPr>
            </w:pPr>
          </w:p>
          <w:p w14:paraId="341F727F">
            <w:pPr>
              <w:adjustRightInd w:val="0"/>
              <w:snapToGrid w:val="0"/>
              <w:jc w:val="center"/>
              <w:rPr>
                <w:rFonts w:ascii="宋体" w:hAnsi="宋体" w:cs="宋体"/>
                <w:bCs/>
                <w:color w:val="auto"/>
                <w:szCs w:val="21"/>
                <w:highlight w:val="none"/>
              </w:rPr>
            </w:pPr>
          </w:p>
          <w:p w14:paraId="6FAEB645">
            <w:pPr>
              <w:adjustRightInd w:val="0"/>
              <w:snapToGrid w:val="0"/>
              <w:jc w:val="center"/>
              <w:rPr>
                <w:rFonts w:ascii="宋体" w:hAnsi="宋体" w:cs="宋体"/>
                <w:bCs/>
                <w:color w:val="auto"/>
                <w:szCs w:val="21"/>
                <w:highlight w:val="none"/>
              </w:rPr>
            </w:pPr>
          </w:p>
          <w:p w14:paraId="04ECFD6B">
            <w:pPr>
              <w:adjustRightInd w:val="0"/>
              <w:snapToGrid w:val="0"/>
              <w:jc w:val="center"/>
              <w:rPr>
                <w:rFonts w:ascii="宋体" w:hAnsi="宋体" w:cs="宋体"/>
                <w:bCs/>
                <w:color w:val="auto"/>
                <w:szCs w:val="21"/>
                <w:highlight w:val="none"/>
              </w:rPr>
            </w:pPr>
          </w:p>
          <w:p w14:paraId="2AB75C4C">
            <w:pPr>
              <w:adjustRightInd w:val="0"/>
              <w:snapToGrid w:val="0"/>
              <w:jc w:val="center"/>
              <w:rPr>
                <w:rFonts w:ascii="宋体" w:hAnsi="宋体" w:cs="宋体"/>
                <w:bCs/>
                <w:color w:val="auto"/>
                <w:szCs w:val="21"/>
                <w:highlight w:val="none"/>
              </w:rPr>
            </w:pPr>
          </w:p>
          <w:p w14:paraId="1C9E19D4">
            <w:pPr>
              <w:adjustRightInd w:val="0"/>
              <w:snapToGrid w:val="0"/>
              <w:jc w:val="center"/>
              <w:rPr>
                <w:rFonts w:ascii="宋体" w:hAnsi="宋体" w:cs="宋体"/>
                <w:bCs/>
                <w:color w:val="auto"/>
                <w:szCs w:val="21"/>
                <w:highlight w:val="none"/>
              </w:rPr>
            </w:pPr>
          </w:p>
          <w:p w14:paraId="52084A91">
            <w:pPr>
              <w:adjustRightInd w:val="0"/>
              <w:snapToGrid w:val="0"/>
              <w:jc w:val="center"/>
              <w:rPr>
                <w:rFonts w:ascii="宋体" w:hAnsi="宋体" w:cs="宋体"/>
                <w:bCs/>
                <w:color w:val="auto"/>
                <w:szCs w:val="21"/>
                <w:highlight w:val="none"/>
              </w:rPr>
            </w:pPr>
          </w:p>
          <w:p w14:paraId="00FC2C9D">
            <w:pPr>
              <w:adjustRightInd w:val="0"/>
              <w:snapToGrid w:val="0"/>
              <w:jc w:val="center"/>
              <w:rPr>
                <w:rFonts w:ascii="宋体" w:hAnsi="宋体" w:cs="宋体"/>
                <w:bCs/>
                <w:color w:val="auto"/>
                <w:szCs w:val="21"/>
                <w:highlight w:val="none"/>
              </w:rPr>
            </w:pPr>
          </w:p>
          <w:p w14:paraId="6D380CC5">
            <w:pPr>
              <w:adjustRightInd w:val="0"/>
              <w:snapToGrid w:val="0"/>
              <w:jc w:val="center"/>
              <w:rPr>
                <w:rFonts w:ascii="宋体" w:hAnsi="宋体" w:cs="宋体"/>
                <w:bCs/>
                <w:color w:val="auto"/>
                <w:szCs w:val="21"/>
                <w:highlight w:val="none"/>
              </w:rPr>
            </w:pPr>
          </w:p>
          <w:p w14:paraId="11B32A78">
            <w:pPr>
              <w:adjustRightInd w:val="0"/>
              <w:snapToGrid w:val="0"/>
              <w:jc w:val="center"/>
              <w:rPr>
                <w:rFonts w:ascii="宋体" w:hAnsi="宋体" w:cs="宋体"/>
                <w:bCs/>
                <w:color w:val="auto"/>
                <w:szCs w:val="21"/>
                <w:highlight w:val="none"/>
              </w:rPr>
            </w:pPr>
          </w:p>
          <w:p w14:paraId="4926CA75">
            <w:pPr>
              <w:adjustRightInd w:val="0"/>
              <w:snapToGrid w:val="0"/>
              <w:jc w:val="center"/>
              <w:rPr>
                <w:rFonts w:ascii="宋体" w:hAnsi="宋体" w:cs="宋体"/>
                <w:bCs/>
                <w:color w:val="auto"/>
                <w:szCs w:val="21"/>
                <w:highlight w:val="none"/>
              </w:rPr>
            </w:pPr>
          </w:p>
          <w:p w14:paraId="0C2AA7E5">
            <w:pPr>
              <w:adjustRightInd w:val="0"/>
              <w:snapToGrid w:val="0"/>
              <w:jc w:val="center"/>
              <w:rPr>
                <w:rFonts w:ascii="宋体" w:hAnsi="宋体" w:cs="宋体"/>
                <w:bCs/>
                <w:color w:val="auto"/>
                <w:szCs w:val="21"/>
                <w:highlight w:val="none"/>
              </w:rPr>
            </w:pPr>
          </w:p>
          <w:p w14:paraId="3826C017">
            <w:pPr>
              <w:adjustRightInd w:val="0"/>
              <w:snapToGrid w:val="0"/>
              <w:jc w:val="center"/>
              <w:rPr>
                <w:rFonts w:ascii="宋体" w:hAnsi="宋体" w:cs="宋体"/>
                <w:bCs/>
                <w:color w:val="auto"/>
                <w:szCs w:val="21"/>
                <w:highlight w:val="none"/>
              </w:rPr>
            </w:pPr>
          </w:p>
          <w:p w14:paraId="029843D4">
            <w:pPr>
              <w:adjustRightInd w:val="0"/>
              <w:snapToGrid w:val="0"/>
              <w:jc w:val="center"/>
              <w:rPr>
                <w:rFonts w:ascii="宋体" w:hAnsi="宋体" w:cs="宋体"/>
                <w:bCs/>
                <w:color w:val="auto"/>
                <w:szCs w:val="21"/>
                <w:highlight w:val="none"/>
              </w:rPr>
            </w:pPr>
          </w:p>
          <w:p w14:paraId="281A0FD6">
            <w:pPr>
              <w:adjustRightInd w:val="0"/>
              <w:snapToGrid w:val="0"/>
              <w:jc w:val="center"/>
              <w:rPr>
                <w:rFonts w:ascii="宋体" w:hAnsi="宋体" w:cs="宋体"/>
                <w:bCs/>
                <w:color w:val="auto"/>
                <w:szCs w:val="21"/>
                <w:highlight w:val="none"/>
              </w:rPr>
            </w:pPr>
          </w:p>
          <w:p w14:paraId="452E1D0E">
            <w:pPr>
              <w:adjustRightInd w:val="0"/>
              <w:snapToGrid w:val="0"/>
              <w:jc w:val="center"/>
              <w:rPr>
                <w:rFonts w:ascii="宋体" w:hAnsi="宋体" w:cs="宋体"/>
                <w:bCs/>
                <w:color w:val="auto"/>
                <w:szCs w:val="21"/>
                <w:highlight w:val="none"/>
              </w:rPr>
            </w:pPr>
          </w:p>
          <w:p w14:paraId="32ECB714">
            <w:pPr>
              <w:adjustRightInd w:val="0"/>
              <w:snapToGrid w:val="0"/>
              <w:jc w:val="center"/>
              <w:rPr>
                <w:rFonts w:ascii="宋体" w:hAnsi="宋体" w:cs="宋体"/>
                <w:bCs/>
                <w:color w:val="auto"/>
                <w:szCs w:val="21"/>
                <w:highlight w:val="none"/>
              </w:rPr>
            </w:pPr>
          </w:p>
          <w:p w14:paraId="1E8762C0">
            <w:pPr>
              <w:adjustRightInd w:val="0"/>
              <w:snapToGrid w:val="0"/>
              <w:jc w:val="center"/>
              <w:rPr>
                <w:rFonts w:ascii="宋体" w:hAnsi="宋体" w:cs="宋体"/>
                <w:bCs/>
                <w:color w:val="auto"/>
                <w:szCs w:val="21"/>
                <w:highlight w:val="none"/>
              </w:rPr>
            </w:pPr>
          </w:p>
          <w:p w14:paraId="537B6294">
            <w:pPr>
              <w:adjustRightInd w:val="0"/>
              <w:snapToGrid w:val="0"/>
              <w:jc w:val="both"/>
              <w:rPr>
                <w:rFonts w:hint="eastAsia" w:ascii="宋体" w:hAnsi="宋体" w:cs="宋体"/>
                <w:bCs/>
                <w:color w:val="auto"/>
                <w:sz w:val="24"/>
                <w:highlight w:val="none"/>
              </w:rPr>
            </w:pPr>
          </w:p>
          <w:p w14:paraId="6C7219F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71618A0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5367F1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441F4B5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70C4F7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B2DA3C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2F122154">
            <w:pPr>
              <w:adjustRightInd w:val="0"/>
              <w:snapToGrid w:val="0"/>
              <w:jc w:val="center"/>
              <w:rPr>
                <w:rFonts w:ascii="宋体" w:hAnsi="宋体" w:cs="宋体"/>
                <w:bCs/>
                <w:color w:val="auto"/>
                <w:szCs w:val="21"/>
                <w:highlight w:val="none"/>
              </w:rPr>
            </w:pPr>
          </w:p>
          <w:p w14:paraId="775C63BE">
            <w:pPr>
              <w:adjustRightInd w:val="0"/>
              <w:snapToGrid w:val="0"/>
              <w:jc w:val="center"/>
              <w:rPr>
                <w:rFonts w:ascii="宋体" w:hAnsi="宋体" w:cs="宋体"/>
                <w:bCs/>
                <w:color w:val="auto"/>
                <w:szCs w:val="21"/>
                <w:highlight w:val="none"/>
              </w:rPr>
            </w:pPr>
          </w:p>
          <w:p w14:paraId="5F862BEF">
            <w:pPr>
              <w:adjustRightInd w:val="0"/>
              <w:snapToGrid w:val="0"/>
              <w:jc w:val="center"/>
              <w:rPr>
                <w:rFonts w:ascii="宋体" w:hAnsi="宋体" w:cs="宋体"/>
                <w:bCs/>
                <w:color w:val="auto"/>
                <w:szCs w:val="21"/>
                <w:highlight w:val="none"/>
              </w:rPr>
            </w:pPr>
          </w:p>
          <w:p w14:paraId="626E64B8">
            <w:pPr>
              <w:adjustRightInd w:val="0"/>
              <w:snapToGrid w:val="0"/>
              <w:jc w:val="center"/>
              <w:rPr>
                <w:rFonts w:ascii="宋体" w:hAnsi="宋体" w:cs="宋体"/>
                <w:bCs/>
                <w:color w:val="auto"/>
                <w:szCs w:val="21"/>
                <w:highlight w:val="none"/>
              </w:rPr>
            </w:pPr>
          </w:p>
          <w:p w14:paraId="321C06FB">
            <w:pPr>
              <w:adjustRightInd w:val="0"/>
              <w:snapToGrid w:val="0"/>
              <w:jc w:val="center"/>
              <w:rPr>
                <w:rFonts w:ascii="宋体" w:hAnsi="宋体" w:cs="宋体"/>
                <w:bCs/>
                <w:color w:val="auto"/>
                <w:szCs w:val="21"/>
                <w:highlight w:val="none"/>
              </w:rPr>
            </w:pPr>
          </w:p>
          <w:p w14:paraId="75D21F32">
            <w:pPr>
              <w:adjustRightInd w:val="0"/>
              <w:snapToGrid w:val="0"/>
              <w:jc w:val="center"/>
              <w:rPr>
                <w:rFonts w:ascii="宋体" w:hAnsi="宋体" w:cs="宋体"/>
                <w:bCs/>
                <w:color w:val="auto"/>
                <w:szCs w:val="21"/>
                <w:highlight w:val="none"/>
              </w:rPr>
            </w:pPr>
          </w:p>
          <w:p w14:paraId="37D796E7">
            <w:pPr>
              <w:adjustRightInd w:val="0"/>
              <w:snapToGrid w:val="0"/>
              <w:jc w:val="center"/>
              <w:rPr>
                <w:rFonts w:ascii="宋体" w:hAnsi="宋体" w:cs="宋体"/>
                <w:bCs/>
                <w:color w:val="auto"/>
                <w:szCs w:val="21"/>
                <w:highlight w:val="none"/>
              </w:rPr>
            </w:pPr>
          </w:p>
          <w:p w14:paraId="5F9EC195">
            <w:pPr>
              <w:adjustRightInd w:val="0"/>
              <w:snapToGrid w:val="0"/>
              <w:jc w:val="center"/>
              <w:rPr>
                <w:rFonts w:ascii="宋体" w:hAnsi="宋体" w:cs="宋体"/>
                <w:bCs/>
                <w:color w:val="auto"/>
                <w:szCs w:val="21"/>
                <w:highlight w:val="none"/>
              </w:rPr>
            </w:pPr>
          </w:p>
          <w:p w14:paraId="715C1CB4">
            <w:pPr>
              <w:adjustRightInd w:val="0"/>
              <w:snapToGrid w:val="0"/>
              <w:jc w:val="center"/>
              <w:rPr>
                <w:rFonts w:ascii="宋体" w:hAnsi="宋体" w:cs="宋体"/>
                <w:bCs/>
                <w:color w:val="auto"/>
                <w:szCs w:val="21"/>
                <w:highlight w:val="none"/>
              </w:rPr>
            </w:pPr>
          </w:p>
          <w:p w14:paraId="506A9EE2">
            <w:pPr>
              <w:adjustRightInd w:val="0"/>
              <w:snapToGrid w:val="0"/>
              <w:jc w:val="center"/>
              <w:rPr>
                <w:rFonts w:ascii="宋体" w:hAnsi="宋体" w:cs="宋体"/>
                <w:bCs/>
                <w:color w:val="auto"/>
                <w:szCs w:val="21"/>
                <w:highlight w:val="none"/>
              </w:rPr>
            </w:pPr>
          </w:p>
          <w:p w14:paraId="1D403BC3">
            <w:pPr>
              <w:adjustRightInd w:val="0"/>
              <w:snapToGrid w:val="0"/>
              <w:jc w:val="center"/>
              <w:rPr>
                <w:rFonts w:ascii="宋体" w:hAnsi="宋体" w:cs="宋体"/>
                <w:bCs/>
                <w:color w:val="auto"/>
                <w:szCs w:val="21"/>
                <w:highlight w:val="none"/>
              </w:rPr>
            </w:pPr>
          </w:p>
          <w:p w14:paraId="061C71D0">
            <w:pPr>
              <w:adjustRightInd w:val="0"/>
              <w:snapToGrid w:val="0"/>
              <w:jc w:val="center"/>
              <w:rPr>
                <w:rFonts w:ascii="宋体" w:hAnsi="宋体" w:cs="宋体"/>
                <w:bCs/>
                <w:color w:val="auto"/>
                <w:szCs w:val="21"/>
                <w:highlight w:val="none"/>
              </w:rPr>
            </w:pPr>
          </w:p>
          <w:p w14:paraId="3F14E9FD">
            <w:pPr>
              <w:adjustRightInd w:val="0"/>
              <w:snapToGrid w:val="0"/>
              <w:jc w:val="center"/>
              <w:rPr>
                <w:rFonts w:ascii="宋体" w:hAnsi="宋体" w:cs="宋体"/>
                <w:bCs/>
                <w:color w:val="auto"/>
                <w:szCs w:val="21"/>
                <w:highlight w:val="none"/>
              </w:rPr>
            </w:pPr>
          </w:p>
          <w:p w14:paraId="64736D9D">
            <w:pPr>
              <w:adjustRightInd w:val="0"/>
              <w:snapToGrid w:val="0"/>
              <w:jc w:val="center"/>
              <w:rPr>
                <w:rFonts w:ascii="宋体" w:hAnsi="宋体" w:cs="宋体"/>
                <w:bCs/>
                <w:color w:val="auto"/>
                <w:szCs w:val="21"/>
                <w:highlight w:val="none"/>
              </w:rPr>
            </w:pPr>
          </w:p>
          <w:p w14:paraId="594157D4">
            <w:pPr>
              <w:adjustRightInd w:val="0"/>
              <w:snapToGrid w:val="0"/>
              <w:jc w:val="center"/>
              <w:rPr>
                <w:rFonts w:ascii="宋体" w:hAnsi="宋体" w:cs="宋体"/>
                <w:bCs/>
                <w:color w:val="auto"/>
                <w:szCs w:val="21"/>
                <w:highlight w:val="none"/>
              </w:rPr>
            </w:pPr>
          </w:p>
          <w:p w14:paraId="20D2E508">
            <w:pPr>
              <w:adjustRightInd w:val="0"/>
              <w:snapToGrid w:val="0"/>
              <w:jc w:val="center"/>
              <w:rPr>
                <w:rFonts w:ascii="宋体" w:hAnsi="宋体" w:cs="宋体"/>
                <w:bCs/>
                <w:color w:val="auto"/>
                <w:szCs w:val="21"/>
                <w:highlight w:val="none"/>
              </w:rPr>
            </w:pPr>
          </w:p>
          <w:p w14:paraId="0FB57A83">
            <w:pPr>
              <w:adjustRightInd w:val="0"/>
              <w:snapToGrid w:val="0"/>
              <w:jc w:val="center"/>
              <w:rPr>
                <w:rFonts w:ascii="宋体" w:hAnsi="宋体" w:cs="宋体"/>
                <w:bCs/>
                <w:color w:val="auto"/>
                <w:szCs w:val="21"/>
                <w:highlight w:val="none"/>
              </w:rPr>
            </w:pPr>
          </w:p>
          <w:p w14:paraId="2434971C">
            <w:pPr>
              <w:adjustRightInd w:val="0"/>
              <w:snapToGrid w:val="0"/>
              <w:jc w:val="center"/>
              <w:rPr>
                <w:rFonts w:ascii="宋体" w:hAnsi="宋体" w:cs="宋体"/>
                <w:bCs/>
                <w:color w:val="auto"/>
                <w:szCs w:val="21"/>
                <w:highlight w:val="none"/>
              </w:rPr>
            </w:pPr>
          </w:p>
          <w:p w14:paraId="1D47DED6">
            <w:pPr>
              <w:adjustRightInd w:val="0"/>
              <w:snapToGrid w:val="0"/>
              <w:jc w:val="center"/>
              <w:rPr>
                <w:rFonts w:ascii="宋体" w:hAnsi="宋体" w:cs="宋体"/>
                <w:bCs/>
                <w:color w:val="auto"/>
                <w:szCs w:val="21"/>
                <w:highlight w:val="none"/>
              </w:rPr>
            </w:pPr>
          </w:p>
          <w:p w14:paraId="238C91F6">
            <w:pPr>
              <w:adjustRightInd w:val="0"/>
              <w:snapToGrid w:val="0"/>
              <w:jc w:val="center"/>
              <w:rPr>
                <w:rFonts w:ascii="宋体" w:hAnsi="宋体" w:cs="宋体"/>
                <w:bCs/>
                <w:color w:val="auto"/>
                <w:szCs w:val="21"/>
                <w:highlight w:val="none"/>
              </w:rPr>
            </w:pPr>
          </w:p>
          <w:p w14:paraId="277178F5">
            <w:pPr>
              <w:adjustRightInd w:val="0"/>
              <w:snapToGrid w:val="0"/>
              <w:jc w:val="center"/>
              <w:rPr>
                <w:rFonts w:ascii="宋体" w:hAnsi="宋体" w:cs="宋体"/>
                <w:bCs/>
                <w:color w:val="auto"/>
                <w:szCs w:val="21"/>
                <w:highlight w:val="none"/>
              </w:rPr>
            </w:pPr>
          </w:p>
          <w:p w14:paraId="5F571E99">
            <w:pPr>
              <w:adjustRightInd w:val="0"/>
              <w:snapToGrid w:val="0"/>
              <w:jc w:val="center"/>
              <w:rPr>
                <w:rFonts w:ascii="宋体" w:hAnsi="宋体" w:cs="宋体"/>
                <w:bCs/>
                <w:color w:val="auto"/>
                <w:szCs w:val="21"/>
                <w:highlight w:val="none"/>
              </w:rPr>
            </w:pPr>
          </w:p>
          <w:p w14:paraId="287EED07">
            <w:pPr>
              <w:adjustRightInd w:val="0"/>
              <w:snapToGrid w:val="0"/>
              <w:jc w:val="center"/>
              <w:rPr>
                <w:rFonts w:ascii="宋体" w:hAnsi="宋体" w:cs="宋体"/>
                <w:bCs/>
                <w:color w:val="auto"/>
                <w:szCs w:val="21"/>
                <w:highlight w:val="none"/>
              </w:rPr>
            </w:pPr>
          </w:p>
          <w:p w14:paraId="5ADA6CF0">
            <w:pPr>
              <w:adjustRightInd w:val="0"/>
              <w:snapToGrid w:val="0"/>
              <w:jc w:val="center"/>
              <w:rPr>
                <w:rFonts w:ascii="宋体" w:hAnsi="宋体" w:cs="宋体"/>
                <w:bCs/>
                <w:color w:val="auto"/>
                <w:szCs w:val="21"/>
                <w:highlight w:val="none"/>
              </w:rPr>
            </w:pPr>
          </w:p>
          <w:p w14:paraId="54B0F3AB">
            <w:pPr>
              <w:adjustRightInd w:val="0"/>
              <w:snapToGrid w:val="0"/>
              <w:jc w:val="center"/>
              <w:rPr>
                <w:rFonts w:ascii="宋体" w:hAnsi="宋体" w:cs="宋体"/>
                <w:bCs/>
                <w:color w:val="auto"/>
                <w:szCs w:val="21"/>
                <w:highlight w:val="none"/>
              </w:rPr>
            </w:pPr>
          </w:p>
          <w:p w14:paraId="30EF2D30">
            <w:pPr>
              <w:adjustRightInd w:val="0"/>
              <w:snapToGrid w:val="0"/>
              <w:jc w:val="center"/>
              <w:rPr>
                <w:rFonts w:ascii="宋体" w:hAnsi="宋体" w:cs="宋体"/>
                <w:bCs/>
                <w:color w:val="auto"/>
                <w:szCs w:val="21"/>
                <w:highlight w:val="none"/>
              </w:rPr>
            </w:pPr>
          </w:p>
          <w:p w14:paraId="1F726019">
            <w:pPr>
              <w:adjustRightInd w:val="0"/>
              <w:snapToGrid w:val="0"/>
              <w:jc w:val="center"/>
              <w:rPr>
                <w:rFonts w:ascii="宋体" w:hAnsi="宋体" w:cs="宋体"/>
                <w:bCs/>
                <w:color w:val="auto"/>
                <w:szCs w:val="21"/>
                <w:highlight w:val="none"/>
              </w:rPr>
            </w:pPr>
          </w:p>
          <w:p w14:paraId="4B239743">
            <w:pPr>
              <w:adjustRightInd w:val="0"/>
              <w:snapToGrid w:val="0"/>
              <w:jc w:val="center"/>
              <w:rPr>
                <w:rFonts w:ascii="宋体" w:hAnsi="宋体" w:cs="宋体"/>
                <w:bCs/>
                <w:color w:val="auto"/>
                <w:szCs w:val="21"/>
                <w:highlight w:val="none"/>
              </w:rPr>
            </w:pPr>
          </w:p>
          <w:p w14:paraId="45DB8BD2">
            <w:pPr>
              <w:adjustRightInd w:val="0"/>
              <w:snapToGrid w:val="0"/>
              <w:jc w:val="center"/>
              <w:rPr>
                <w:rFonts w:ascii="宋体" w:hAnsi="宋体" w:cs="宋体"/>
                <w:bCs/>
                <w:color w:val="auto"/>
                <w:szCs w:val="21"/>
                <w:highlight w:val="none"/>
              </w:rPr>
            </w:pPr>
          </w:p>
          <w:p w14:paraId="41060C55">
            <w:pPr>
              <w:adjustRightInd w:val="0"/>
              <w:snapToGrid w:val="0"/>
              <w:jc w:val="center"/>
              <w:rPr>
                <w:rFonts w:ascii="宋体" w:hAnsi="宋体" w:cs="宋体"/>
                <w:bCs/>
                <w:color w:val="auto"/>
                <w:szCs w:val="21"/>
                <w:highlight w:val="none"/>
              </w:rPr>
            </w:pPr>
          </w:p>
          <w:p w14:paraId="72AA9AAF">
            <w:pPr>
              <w:adjustRightInd w:val="0"/>
              <w:snapToGrid w:val="0"/>
              <w:jc w:val="center"/>
              <w:rPr>
                <w:rFonts w:ascii="宋体" w:hAnsi="宋体" w:cs="宋体"/>
                <w:bCs/>
                <w:color w:val="auto"/>
                <w:szCs w:val="21"/>
                <w:highlight w:val="none"/>
              </w:rPr>
            </w:pPr>
          </w:p>
          <w:p w14:paraId="372B51A1">
            <w:pPr>
              <w:adjustRightInd w:val="0"/>
              <w:snapToGrid w:val="0"/>
              <w:jc w:val="center"/>
              <w:rPr>
                <w:rFonts w:ascii="宋体" w:hAnsi="宋体" w:cs="宋体"/>
                <w:bCs/>
                <w:color w:val="auto"/>
                <w:szCs w:val="21"/>
                <w:highlight w:val="none"/>
              </w:rPr>
            </w:pPr>
          </w:p>
          <w:p w14:paraId="4896F8E5">
            <w:pPr>
              <w:adjustRightInd w:val="0"/>
              <w:snapToGrid w:val="0"/>
              <w:jc w:val="center"/>
              <w:rPr>
                <w:rFonts w:ascii="宋体" w:hAnsi="宋体" w:cs="宋体"/>
                <w:bCs/>
                <w:color w:val="auto"/>
                <w:szCs w:val="21"/>
                <w:highlight w:val="none"/>
              </w:rPr>
            </w:pPr>
          </w:p>
          <w:p w14:paraId="5EB97783">
            <w:pPr>
              <w:adjustRightInd w:val="0"/>
              <w:snapToGrid w:val="0"/>
              <w:rPr>
                <w:rFonts w:ascii="宋体" w:hAnsi="宋体" w:cs="宋体"/>
                <w:bCs/>
                <w:color w:val="auto"/>
                <w:szCs w:val="21"/>
                <w:highlight w:val="none"/>
              </w:rPr>
            </w:pPr>
          </w:p>
          <w:p w14:paraId="4A1484E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0F2EE48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21655E5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24E2B4E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33670A4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2F0CAC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1F35F6EE">
            <w:pPr>
              <w:adjustRightInd w:val="0"/>
              <w:snapToGrid w:val="0"/>
              <w:jc w:val="center"/>
              <w:rPr>
                <w:rFonts w:ascii="宋体" w:hAnsi="宋体" w:cs="宋体"/>
                <w:bCs/>
                <w:color w:val="auto"/>
                <w:szCs w:val="21"/>
                <w:highlight w:val="none"/>
              </w:rPr>
            </w:pPr>
          </w:p>
          <w:p w14:paraId="426B63B1">
            <w:pPr>
              <w:adjustRightInd w:val="0"/>
              <w:snapToGrid w:val="0"/>
              <w:jc w:val="center"/>
              <w:rPr>
                <w:rFonts w:ascii="宋体" w:hAnsi="宋体" w:cs="宋体"/>
                <w:bCs/>
                <w:color w:val="auto"/>
                <w:szCs w:val="21"/>
                <w:highlight w:val="none"/>
              </w:rPr>
            </w:pPr>
          </w:p>
          <w:p w14:paraId="4A58DC42">
            <w:pPr>
              <w:adjustRightInd w:val="0"/>
              <w:snapToGrid w:val="0"/>
              <w:jc w:val="center"/>
              <w:rPr>
                <w:rFonts w:ascii="宋体" w:hAnsi="宋体" w:cs="宋体"/>
                <w:bCs/>
                <w:color w:val="auto"/>
                <w:szCs w:val="21"/>
                <w:highlight w:val="none"/>
              </w:rPr>
            </w:pPr>
          </w:p>
          <w:p w14:paraId="3078553A">
            <w:pPr>
              <w:adjustRightInd w:val="0"/>
              <w:snapToGrid w:val="0"/>
              <w:jc w:val="center"/>
              <w:rPr>
                <w:rFonts w:ascii="宋体" w:hAnsi="宋体" w:cs="宋体"/>
                <w:bCs/>
                <w:color w:val="auto"/>
                <w:szCs w:val="21"/>
                <w:highlight w:val="none"/>
              </w:rPr>
            </w:pPr>
          </w:p>
          <w:p w14:paraId="19AEAFAF">
            <w:pPr>
              <w:adjustRightInd w:val="0"/>
              <w:snapToGrid w:val="0"/>
              <w:jc w:val="center"/>
              <w:rPr>
                <w:rFonts w:ascii="宋体" w:hAnsi="宋体" w:cs="宋体"/>
                <w:bCs/>
                <w:color w:val="auto"/>
                <w:szCs w:val="21"/>
                <w:highlight w:val="none"/>
              </w:rPr>
            </w:pPr>
          </w:p>
          <w:p w14:paraId="5E1A8A51">
            <w:pPr>
              <w:adjustRightInd w:val="0"/>
              <w:snapToGrid w:val="0"/>
              <w:jc w:val="center"/>
              <w:rPr>
                <w:rFonts w:ascii="宋体" w:hAnsi="宋体" w:cs="宋体"/>
                <w:bCs/>
                <w:color w:val="auto"/>
                <w:szCs w:val="21"/>
                <w:highlight w:val="none"/>
              </w:rPr>
            </w:pPr>
          </w:p>
          <w:p w14:paraId="2500DC86">
            <w:pPr>
              <w:adjustRightInd w:val="0"/>
              <w:snapToGrid w:val="0"/>
              <w:jc w:val="center"/>
              <w:rPr>
                <w:rFonts w:ascii="宋体" w:hAnsi="宋体" w:cs="宋体"/>
                <w:bCs/>
                <w:color w:val="auto"/>
                <w:szCs w:val="21"/>
                <w:highlight w:val="none"/>
              </w:rPr>
            </w:pPr>
          </w:p>
          <w:p w14:paraId="31106D3A">
            <w:pPr>
              <w:adjustRightInd w:val="0"/>
              <w:snapToGrid w:val="0"/>
              <w:jc w:val="center"/>
              <w:rPr>
                <w:rFonts w:ascii="宋体" w:hAnsi="宋体" w:cs="宋体"/>
                <w:bCs/>
                <w:color w:val="auto"/>
                <w:szCs w:val="21"/>
                <w:highlight w:val="none"/>
              </w:rPr>
            </w:pPr>
          </w:p>
          <w:p w14:paraId="1D01F9DE">
            <w:pPr>
              <w:adjustRightInd w:val="0"/>
              <w:snapToGrid w:val="0"/>
              <w:jc w:val="center"/>
              <w:rPr>
                <w:rFonts w:ascii="宋体" w:hAnsi="宋体" w:cs="宋体"/>
                <w:bCs/>
                <w:color w:val="auto"/>
                <w:szCs w:val="21"/>
                <w:highlight w:val="none"/>
              </w:rPr>
            </w:pPr>
          </w:p>
          <w:p w14:paraId="46AF551C">
            <w:pPr>
              <w:adjustRightInd w:val="0"/>
              <w:snapToGrid w:val="0"/>
              <w:jc w:val="center"/>
              <w:rPr>
                <w:rFonts w:ascii="宋体" w:hAnsi="宋体" w:cs="宋体"/>
                <w:bCs/>
                <w:color w:val="auto"/>
                <w:szCs w:val="21"/>
                <w:highlight w:val="none"/>
              </w:rPr>
            </w:pPr>
          </w:p>
          <w:p w14:paraId="19D2064D">
            <w:pPr>
              <w:adjustRightInd w:val="0"/>
              <w:snapToGrid w:val="0"/>
              <w:jc w:val="center"/>
              <w:rPr>
                <w:rFonts w:ascii="宋体" w:hAnsi="宋体" w:cs="宋体"/>
                <w:bCs/>
                <w:color w:val="auto"/>
                <w:szCs w:val="21"/>
                <w:highlight w:val="none"/>
              </w:rPr>
            </w:pPr>
          </w:p>
          <w:p w14:paraId="3A310328">
            <w:pPr>
              <w:adjustRightInd w:val="0"/>
              <w:snapToGrid w:val="0"/>
              <w:jc w:val="center"/>
              <w:rPr>
                <w:rFonts w:ascii="宋体" w:hAnsi="宋体" w:cs="宋体"/>
                <w:bCs/>
                <w:color w:val="auto"/>
                <w:szCs w:val="21"/>
                <w:highlight w:val="none"/>
              </w:rPr>
            </w:pPr>
          </w:p>
          <w:p w14:paraId="27A2C11C">
            <w:pPr>
              <w:adjustRightInd w:val="0"/>
              <w:snapToGrid w:val="0"/>
              <w:rPr>
                <w:rFonts w:ascii="宋体" w:hAnsi="宋体" w:cs="宋体"/>
                <w:bCs/>
                <w:color w:val="auto"/>
                <w:szCs w:val="21"/>
                <w:highlight w:val="none"/>
              </w:rPr>
            </w:pPr>
          </w:p>
          <w:p w14:paraId="0E8E1D44">
            <w:pPr>
              <w:adjustRightInd w:val="0"/>
              <w:snapToGrid w:val="0"/>
              <w:jc w:val="center"/>
              <w:rPr>
                <w:rFonts w:ascii="宋体" w:hAnsi="宋体" w:cs="宋体"/>
                <w:bCs/>
                <w:color w:val="auto"/>
                <w:szCs w:val="21"/>
                <w:highlight w:val="none"/>
              </w:rPr>
            </w:pPr>
          </w:p>
          <w:p w14:paraId="49D55170">
            <w:pPr>
              <w:adjustRightInd w:val="0"/>
              <w:snapToGrid w:val="0"/>
              <w:jc w:val="center"/>
              <w:rPr>
                <w:rFonts w:ascii="宋体" w:hAnsi="宋体" w:cs="宋体"/>
                <w:bCs/>
                <w:color w:val="auto"/>
                <w:szCs w:val="21"/>
                <w:highlight w:val="none"/>
              </w:rPr>
            </w:pPr>
          </w:p>
          <w:p w14:paraId="108059D6">
            <w:pPr>
              <w:adjustRightInd w:val="0"/>
              <w:snapToGrid w:val="0"/>
              <w:jc w:val="center"/>
              <w:rPr>
                <w:rFonts w:ascii="宋体" w:hAnsi="宋体" w:cs="宋体"/>
                <w:bCs/>
                <w:color w:val="auto"/>
                <w:szCs w:val="21"/>
                <w:highlight w:val="none"/>
              </w:rPr>
            </w:pPr>
          </w:p>
          <w:p w14:paraId="410AA05B">
            <w:pPr>
              <w:adjustRightInd w:val="0"/>
              <w:snapToGrid w:val="0"/>
              <w:rPr>
                <w:rFonts w:hint="eastAsia" w:ascii="宋体" w:hAnsi="宋体" w:cs="宋体"/>
                <w:bCs/>
                <w:color w:val="auto"/>
                <w:sz w:val="24"/>
                <w:highlight w:val="none"/>
              </w:rPr>
            </w:pPr>
          </w:p>
        </w:tc>
        <w:tc>
          <w:tcPr>
            <w:tcW w:w="8620" w:type="dxa"/>
            <w:vAlign w:val="center"/>
          </w:tcPr>
          <w:p w14:paraId="7E48F9A1">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一</w:t>
            </w:r>
            <w:r>
              <w:rPr>
                <w:rFonts w:hint="eastAsia"/>
                <w:b/>
                <w:color w:val="auto"/>
                <w:kern w:val="0"/>
                <w:sz w:val="24"/>
                <w:highlight w:val="none"/>
              </w:rPr>
              <w:t>）</w:t>
            </w:r>
            <w:r>
              <w:rPr>
                <w:b/>
                <w:bCs/>
                <w:color w:val="auto"/>
                <w:sz w:val="24"/>
                <w:highlight w:val="none"/>
              </w:rPr>
              <w:t>废气</w:t>
            </w:r>
            <w:r>
              <w:rPr>
                <w:rFonts w:hint="eastAsia"/>
                <w:b/>
                <w:bCs/>
                <w:color w:val="auto"/>
                <w:sz w:val="24"/>
                <w:highlight w:val="none"/>
              </w:rPr>
              <w:t>环境影响及保护措施</w:t>
            </w:r>
          </w:p>
          <w:p w14:paraId="5828B8F8">
            <w:pPr>
              <w:spacing w:line="360" w:lineRule="auto"/>
              <w:ind w:firstLine="480"/>
              <w:rPr>
                <w:rFonts w:hint="eastAsia" w:hAnsi="宋体"/>
                <w:color w:val="auto"/>
                <w:kern w:val="0"/>
                <w:sz w:val="24"/>
                <w:highlight w:val="none"/>
                <w:lang w:eastAsia="zh-CN"/>
              </w:rPr>
            </w:pPr>
            <w:r>
              <w:rPr>
                <w:rFonts w:hint="eastAsia"/>
                <w:color w:val="auto"/>
                <w:kern w:val="0"/>
                <w:sz w:val="24"/>
                <w:highlight w:val="none"/>
              </w:rPr>
              <w:t>根据前文工艺及工程内容分析，</w:t>
            </w:r>
            <w:r>
              <w:rPr>
                <w:color w:val="auto"/>
                <w:kern w:val="0"/>
                <w:sz w:val="24"/>
                <w:highlight w:val="none"/>
              </w:rPr>
              <w:t>本项目运营期产生的</w:t>
            </w:r>
            <w:r>
              <w:rPr>
                <w:rFonts w:hint="eastAsia"/>
                <w:color w:val="auto"/>
                <w:kern w:val="0"/>
                <w:sz w:val="24"/>
                <w:highlight w:val="none"/>
              </w:rPr>
              <w:t>废气</w:t>
            </w:r>
            <w:r>
              <w:rPr>
                <w:color w:val="auto"/>
                <w:kern w:val="0"/>
                <w:sz w:val="24"/>
                <w:highlight w:val="none"/>
              </w:rPr>
              <w:t>主要是</w:t>
            </w:r>
            <w:r>
              <w:rPr>
                <w:rFonts w:hint="eastAsia"/>
                <w:color w:val="auto"/>
                <w:sz w:val="24"/>
                <w:highlight w:val="none"/>
              </w:rPr>
              <w:t>物</w:t>
            </w:r>
            <w:r>
              <w:rPr>
                <w:bCs/>
                <w:color w:val="auto"/>
                <w:sz w:val="24"/>
                <w:szCs w:val="22"/>
                <w:highlight w:val="none"/>
              </w:rPr>
              <w:t>料装卸</w:t>
            </w:r>
            <w:r>
              <w:rPr>
                <w:rFonts w:hint="eastAsia"/>
                <w:bCs/>
                <w:color w:val="auto"/>
                <w:sz w:val="24"/>
                <w:szCs w:val="22"/>
                <w:highlight w:val="none"/>
              </w:rPr>
              <w:t>及</w:t>
            </w:r>
            <w:r>
              <w:rPr>
                <w:bCs/>
                <w:color w:val="auto"/>
                <w:sz w:val="24"/>
                <w:szCs w:val="22"/>
                <w:highlight w:val="none"/>
              </w:rPr>
              <w:t>堆存粉尘</w:t>
            </w:r>
            <w:r>
              <w:rPr>
                <w:color w:val="auto"/>
                <w:sz w:val="24"/>
                <w:highlight w:val="none"/>
              </w:rPr>
              <w:t>、</w:t>
            </w:r>
            <w:r>
              <w:rPr>
                <w:rFonts w:hint="eastAsia"/>
                <w:color w:val="auto"/>
                <w:sz w:val="24"/>
                <w:highlight w:val="none"/>
                <w:lang w:eastAsia="zh-CN"/>
              </w:rPr>
              <w:t>加工</w:t>
            </w:r>
            <w:r>
              <w:rPr>
                <w:rFonts w:hint="eastAsia"/>
                <w:color w:val="auto"/>
                <w:sz w:val="24"/>
                <w:highlight w:val="none"/>
              </w:rPr>
              <w:t>粉尘、</w:t>
            </w:r>
            <w:r>
              <w:rPr>
                <w:rFonts w:hint="eastAsia" w:hAnsi="宋体"/>
                <w:color w:val="auto"/>
                <w:kern w:val="0"/>
                <w:sz w:val="24"/>
                <w:highlight w:val="none"/>
              </w:rPr>
              <w:t>运输扬尘、运输车辆等机械产生的尾气</w:t>
            </w:r>
            <w:r>
              <w:rPr>
                <w:rFonts w:hint="eastAsia" w:hAnsi="宋体"/>
                <w:color w:val="auto"/>
                <w:kern w:val="0"/>
                <w:sz w:val="24"/>
                <w:highlight w:val="none"/>
                <w:lang w:eastAsia="zh-CN"/>
              </w:rPr>
              <w:t>。</w:t>
            </w:r>
          </w:p>
          <w:p w14:paraId="507CF7B1">
            <w:pPr>
              <w:spacing w:line="360" w:lineRule="auto"/>
              <w:ind w:firstLine="480"/>
              <w:rPr>
                <w:rFonts w:hint="eastAsia" w:hAnsi="宋体"/>
                <w:color w:val="auto"/>
                <w:kern w:val="0"/>
                <w:sz w:val="24"/>
                <w:highlight w:val="none"/>
                <w:lang w:eastAsia="zh-CN"/>
              </w:rPr>
            </w:pPr>
            <w:r>
              <w:rPr>
                <w:rFonts w:hint="eastAsia" w:hAnsi="宋体"/>
                <w:color w:val="auto"/>
                <w:kern w:val="0"/>
                <w:sz w:val="24"/>
                <w:highlight w:val="none"/>
                <w:lang w:val="en-US" w:eastAsia="zh-CN"/>
              </w:rPr>
              <w:t>1、</w:t>
            </w:r>
            <w:r>
              <w:rPr>
                <w:rFonts w:hint="eastAsia" w:hAnsi="宋体"/>
                <w:color w:val="auto"/>
                <w:kern w:val="0"/>
                <w:sz w:val="24"/>
                <w:highlight w:val="none"/>
                <w:lang w:eastAsia="zh-CN"/>
              </w:rPr>
              <w:t>现有工程废气产排情况</w:t>
            </w:r>
          </w:p>
          <w:p w14:paraId="6E12F0C3">
            <w:pPr>
              <w:spacing w:line="360" w:lineRule="auto"/>
              <w:ind w:firstLine="480"/>
              <w:rPr>
                <w:rFonts w:hint="eastAsia"/>
                <w:color w:val="auto"/>
                <w:kern w:val="0"/>
                <w:sz w:val="24"/>
                <w:highlight w:val="none"/>
                <w:lang w:eastAsia="zh-CN"/>
              </w:rPr>
            </w:pPr>
            <w:r>
              <w:rPr>
                <w:rFonts w:hint="eastAsia"/>
                <w:color w:val="auto"/>
                <w:kern w:val="0"/>
                <w:sz w:val="24"/>
                <w:highlight w:val="none"/>
                <w:lang w:eastAsia="zh-CN"/>
              </w:rPr>
              <w:t>根据前文分析，现有工程无石材加工线，故本次仅分析彩砂和钙粉生产线废气产排情况。</w:t>
            </w:r>
          </w:p>
          <w:p w14:paraId="6644CC22">
            <w:pPr>
              <w:spacing w:line="360" w:lineRule="auto"/>
              <w:ind w:firstLine="480"/>
              <w:rPr>
                <w:rFonts w:hint="eastAsia"/>
                <w:color w:val="auto"/>
                <w:kern w:val="0"/>
                <w:sz w:val="24"/>
                <w:highlight w:val="none"/>
                <w:lang w:eastAsia="zh-CN"/>
              </w:rPr>
            </w:pPr>
            <w:r>
              <w:rPr>
                <w:rFonts w:hint="eastAsia"/>
                <w:color w:val="auto"/>
                <w:kern w:val="0"/>
                <w:sz w:val="24"/>
                <w:highlight w:val="none"/>
                <w:lang w:eastAsia="zh-CN"/>
              </w:rPr>
              <w:t>（</w:t>
            </w:r>
            <w:r>
              <w:rPr>
                <w:rFonts w:hint="eastAsia"/>
                <w:color w:val="auto"/>
                <w:kern w:val="0"/>
                <w:sz w:val="24"/>
                <w:highlight w:val="none"/>
                <w:lang w:val="en-US" w:eastAsia="zh-CN"/>
              </w:rPr>
              <w:t>1</w:t>
            </w:r>
            <w:r>
              <w:rPr>
                <w:rFonts w:hint="eastAsia"/>
                <w:color w:val="auto"/>
                <w:kern w:val="0"/>
                <w:sz w:val="24"/>
                <w:highlight w:val="none"/>
                <w:lang w:eastAsia="zh-CN"/>
              </w:rPr>
              <w:t>）装卸及堆存粉尘</w:t>
            </w:r>
          </w:p>
          <w:p w14:paraId="52A48DB2">
            <w:pPr>
              <w:spacing w:line="360" w:lineRule="auto"/>
              <w:ind w:firstLine="480"/>
              <w:rPr>
                <w:rFonts w:hint="eastAsia"/>
                <w:color w:val="auto"/>
                <w:kern w:val="0"/>
                <w:sz w:val="24"/>
                <w:highlight w:val="none"/>
              </w:rPr>
            </w:pPr>
            <w:r>
              <w:rPr>
                <w:rFonts w:hint="eastAsia"/>
                <w:color w:val="auto"/>
                <w:kern w:val="0"/>
                <w:sz w:val="24"/>
                <w:highlight w:val="none"/>
              </w:rPr>
              <w:t>A.物料装车粉尘</w:t>
            </w:r>
          </w:p>
          <w:p w14:paraId="1A43DE27">
            <w:pPr>
              <w:spacing w:line="360" w:lineRule="auto"/>
              <w:ind w:firstLine="480"/>
              <w:rPr>
                <w:rFonts w:hint="eastAsia" w:eastAsia="宋体"/>
                <w:color w:val="auto"/>
                <w:sz w:val="24"/>
                <w:highlight w:val="none"/>
                <w:lang w:val="en-US" w:eastAsia="zh-CN"/>
              </w:rPr>
            </w:pPr>
            <w:r>
              <w:rPr>
                <w:rFonts w:hint="eastAsia"/>
                <w:color w:val="auto"/>
                <w:kern w:val="0"/>
                <w:sz w:val="24"/>
                <w:highlight w:val="none"/>
              </w:rPr>
              <w:t>物料装车机械落差的</w:t>
            </w:r>
            <w:r>
              <w:rPr>
                <w:color w:val="auto"/>
                <w:sz w:val="24"/>
                <w:highlight w:val="none"/>
              </w:rPr>
              <w:t>起尘量推荐采用交通部水运研究所和武汉水运工程学院提出的铲装起尘量的经验公式估算，经验公式为</w:t>
            </w:r>
            <w:r>
              <w:rPr>
                <w:rFonts w:hint="eastAsia"/>
                <w:color w:val="auto"/>
                <w:sz w:val="24"/>
                <w:highlight w:val="none"/>
                <w:lang w:eastAsia="zh-CN"/>
              </w:rPr>
              <w:t>：</w:t>
            </w:r>
          </w:p>
          <w:p w14:paraId="486952B1">
            <w:pPr>
              <w:adjustRightInd w:val="0"/>
              <w:snapToGrid w:val="0"/>
              <w:spacing w:line="360" w:lineRule="auto"/>
              <w:ind w:firstLine="2640" w:firstLineChars="1100"/>
              <w:rPr>
                <w:color w:val="auto"/>
                <w:sz w:val="24"/>
                <w:highlight w:val="none"/>
              </w:rPr>
            </w:pPr>
            <w:r>
              <w:rPr>
                <w:color w:val="auto"/>
                <w:sz w:val="24"/>
                <w:highlight w:val="none"/>
              </w:rPr>
              <w:t>Q=1/t·0.03U</w:t>
            </w:r>
            <w:r>
              <w:rPr>
                <w:color w:val="auto"/>
                <w:sz w:val="24"/>
                <w:highlight w:val="none"/>
                <w:vertAlign w:val="superscript"/>
              </w:rPr>
              <w:t>1.6</w:t>
            </w:r>
            <w:r>
              <w:rPr>
                <w:color w:val="auto"/>
                <w:sz w:val="24"/>
                <w:highlight w:val="none"/>
              </w:rPr>
              <w:t>H</w:t>
            </w:r>
            <w:r>
              <w:rPr>
                <w:color w:val="auto"/>
                <w:sz w:val="24"/>
                <w:highlight w:val="none"/>
                <w:vertAlign w:val="superscript"/>
              </w:rPr>
              <w:t>1.23</w:t>
            </w:r>
            <w:r>
              <w:rPr>
                <w:color w:val="auto"/>
                <w:sz w:val="24"/>
                <w:highlight w:val="none"/>
              </w:rPr>
              <w:t>e</w:t>
            </w:r>
            <w:r>
              <w:rPr>
                <w:color w:val="auto"/>
                <w:sz w:val="24"/>
                <w:highlight w:val="none"/>
                <w:vertAlign w:val="superscript"/>
              </w:rPr>
              <w:t>-0.28w</w:t>
            </w:r>
          </w:p>
          <w:p w14:paraId="5E374EC3">
            <w:pPr>
              <w:adjustRightInd w:val="0"/>
              <w:snapToGrid w:val="0"/>
              <w:spacing w:line="360" w:lineRule="auto"/>
              <w:ind w:firstLine="480" w:firstLineChars="200"/>
              <w:rPr>
                <w:color w:val="auto"/>
                <w:sz w:val="24"/>
                <w:highlight w:val="none"/>
              </w:rPr>
            </w:pPr>
            <w:r>
              <w:rPr>
                <w:color w:val="auto"/>
                <w:sz w:val="24"/>
                <w:highlight w:val="none"/>
              </w:rPr>
              <w:t>式中：Q—物料机械落差起尘量，kg/s；</w:t>
            </w:r>
          </w:p>
          <w:p w14:paraId="0D9C5E79">
            <w:pPr>
              <w:adjustRightInd w:val="0"/>
              <w:snapToGrid w:val="0"/>
              <w:spacing w:line="360" w:lineRule="auto"/>
              <w:ind w:firstLine="1200" w:firstLineChars="500"/>
              <w:rPr>
                <w:color w:val="auto"/>
                <w:sz w:val="24"/>
                <w:highlight w:val="none"/>
              </w:rPr>
            </w:pPr>
            <w:r>
              <w:rPr>
                <w:color w:val="auto"/>
                <w:sz w:val="24"/>
                <w:highlight w:val="none"/>
              </w:rPr>
              <w:t>H—物料落差，0.5m；</w:t>
            </w:r>
          </w:p>
          <w:p w14:paraId="35765564">
            <w:pPr>
              <w:adjustRightInd w:val="0"/>
              <w:snapToGrid w:val="0"/>
              <w:spacing w:line="360" w:lineRule="auto"/>
              <w:ind w:firstLine="1200" w:firstLineChars="500"/>
              <w:rPr>
                <w:color w:val="auto"/>
                <w:sz w:val="24"/>
                <w:highlight w:val="none"/>
              </w:rPr>
            </w:pPr>
            <w:r>
              <w:rPr>
                <w:color w:val="auto"/>
                <w:sz w:val="24"/>
                <w:highlight w:val="none"/>
              </w:rPr>
              <w:t>U—地面平均风速，m/s，本次取1.0m/s；</w:t>
            </w:r>
          </w:p>
          <w:p w14:paraId="069CB64F">
            <w:pPr>
              <w:adjustRightInd w:val="0"/>
              <w:snapToGrid w:val="0"/>
              <w:spacing w:line="360" w:lineRule="auto"/>
              <w:ind w:firstLine="1200" w:firstLineChars="500"/>
              <w:rPr>
                <w:color w:val="auto"/>
                <w:sz w:val="24"/>
                <w:highlight w:val="none"/>
              </w:rPr>
            </w:pPr>
            <w:r>
              <w:rPr>
                <w:color w:val="auto"/>
                <w:sz w:val="24"/>
                <w:highlight w:val="none"/>
              </w:rPr>
              <w:t>W—物料含水，%，取10%；</w:t>
            </w:r>
          </w:p>
          <w:p w14:paraId="060892E3">
            <w:pPr>
              <w:adjustRightInd w:val="0"/>
              <w:snapToGrid w:val="0"/>
              <w:spacing w:line="360" w:lineRule="auto"/>
              <w:ind w:firstLine="1200" w:firstLineChars="500"/>
              <w:rPr>
                <w:color w:val="auto"/>
                <w:sz w:val="24"/>
                <w:highlight w:val="none"/>
              </w:rPr>
            </w:pPr>
            <w:r>
              <w:rPr>
                <w:color w:val="auto"/>
                <w:sz w:val="24"/>
                <w:highlight w:val="none"/>
              </w:rPr>
              <w:t>t—每吨物料装车所用时间t/s，5s。</w:t>
            </w:r>
          </w:p>
          <w:p w14:paraId="24AF71B5">
            <w:pPr>
              <w:adjustRightInd w:val="0"/>
              <w:snapToGrid w:val="0"/>
              <w:spacing w:line="360" w:lineRule="auto"/>
              <w:ind w:firstLine="480" w:firstLineChars="200"/>
              <w:rPr>
                <w:color w:val="auto"/>
                <w:sz w:val="24"/>
                <w:highlight w:val="none"/>
              </w:rPr>
            </w:pPr>
            <w:r>
              <w:rPr>
                <w:color w:val="auto"/>
                <w:sz w:val="24"/>
                <w:highlight w:val="none"/>
              </w:rPr>
              <w:t>经计算，</w:t>
            </w:r>
            <w:r>
              <w:rPr>
                <w:rFonts w:hint="eastAsia"/>
                <w:color w:val="auto"/>
                <w:sz w:val="24"/>
                <w:highlight w:val="none"/>
              </w:rPr>
              <w:t>物料装车</w:t>
            </w:r>
            <w:r>
              <w:rPr>
                <w:color w:val="auto"/>
                <w:sz w:val="24"/>
                <w:highlight w:val="none"/>
              </w:rPr>
              <w:t>起尘量约为1.5×10</w:t>
            </w:r>
            <w:r>
              <w:rPr>
                <w:color w:val="auto"/>
                <w:sz w:val="24"/>
                <w:highlight w:val="none"/>
                <w:vertAlign w:val="superscript"/>
              </w:rPr>
              <w:t>-4</w:t>
            </w:r>
            <w:r>
              <w:rPr>
                <w:color w:val="auto"/>
                <w:sz w:val="24"/>
                <w:highlight w:val="none"/>
              </w:rPr>
              <w:t>kg/s，</w:t>
            </w:r>
            <w:r>
              <w:rPr>
                <w:rFonts w:hint="eastAsia"/>
                <w:color w:val="auto"/>
                <w:sz w:val="24"/>
                <w:highlight w:val="none"/>
                <w:lang w:eastAsia="zh-CN"/>
              </w:rPr>
              <w:t>现有工程成品</w:t>
            </w:r>
            <w:r>
              <w:rPr>
                <w:rFonts w:hint="eastAsia"/>
                <w:color w:val="auto"/>
                <w:sz w:val="24"/>
                <w:highlight w:val="none"/>
              </w:rPr>
              <w:t>装车</w:t>
            </w:r>
            <w:r>
              <w:rPr>
                <w:color w:val="auto"/>
                <w:sz w:val="24"/>
                <w:highlight w:val="none"/>
              </w:rPr>
              <w:t>量</w:t>
            </w:r>
            <w:r>
              <w:rPr>
                <w:rFonts w:hint="eastAsia"/>
                <w:color w:val="auto"/>
                <w:sz w:val="24"/>
                <w:highlight w:val="none"/>
              </w:rPr>
              <w:t>为</w:t>
            </w:r>
            <w:r>
              <w:rPr>
                <w:rFonts w:hint="eastAsia"/>
                <w:color w:val="auto"/>
                <w:sz w:val="24"/>
                <w:highlight w:val="none"/>
                <w:lang w:val="en-US" w:eastAsia="zh-CN"/>
              </w:rPr>
              <w:t>35</w:t>
            </w:r>
            <w:r>
              <w:rPr>
                <w:color w:val="auto"/>
                <w:sz w:val="24"/>
                <w:highlight w:val="none"/>
              </w:rPr>
              <w:t>万t/a，装车总时间约为</w:t>
            </w:r>
            <w:r>
              <w:rPr>
                <w:rFonts w:hint="eastAsia"/>
                <w:color w:val="auto"/>
                <w:sz w:val="24"/>
                <w:highlight w:val="none"/>
                <w:lang w:val="en-US" w:eastAsia="zh-CN"/>
              </w:rPr>
              <w:t>70000</w:t>
            </w:r>
            <w:r>
              <w:rPr>
                <w:color w:val="auto"/>
                <w:sz w:val="24"/>
                <w:highlight w:val="none"/>
              </w:rPr>
              <w:t>s，则粉尘产生量为</w:t>
            </w:r>
            <w:r>
              <w:rPr>
                <w:rFonts w:hint="eastAsia"/>
                <w:color w:val="auto"/>
                <w:sz w:val="24"/>
                <w:highlight w:val="none"/>
                <w:lang w:val="en-US" w:eastAsia="zh-CN"/>
              </w:rPr>
              <w:t>10.5</w:t>
            </w:r>
            <w:r>
              <w:rPr>
                <w:color w:val="auto"/>
                <w:sz w:val="24"/>
                <w:highlight w:val="none"/>
              </w:rPr>
              <w:t>kg/a。</w:t>
            </w:r>
          </w:p>
          <w:p w14:paraId="108064D9">
            <w:pPr>
              <w:adjustRightInd w:val="0"/>
              <w:snapToGrid w:val="0"/>
              <w:spacing w:line="360" w:lineRule="auto"/>
              <w:ind w:firstLine="482"/>
              <w:rPr>
                <w:color w:val="auto"/>
                <w:sz w:val="24"/>
                <w:highlight w:val="none"/>
              </w:rPr>
            </w:pPr>
            <w:r>
              <w:rPr>
                <w:color w:val="auto"/>
                <w:sz w:val="24"/>
                <w:highlight w:val="none"/>
              </w:rPr>
              <w:t>B.卸车</w:t>
            </w:r>
            <w:r>
              <w:rPr>
                <w:rFonts w:hint="eastAsia"/>
                <w:color w:val="auto"/>
                <w:sz w:val="24"/>
                <w:highlight w:val="none"/>
              </w:rPr>
              <w:t>粉尘</w:t>
            </w:r>
          </w:p>
          <w:p w14:paraId="0FD44E4C">
            <w:pPr>
              <w:adjustRightInd w:val="0"/>
              <w:snapToGrid w:val="0"/>
              <w:spacing w:line="360" w:lineRule="auto"/>
              <w:ind w:firstLine="482"/>
              <w:rPr>
                <w:color w:val="auto"/>
                <w:sz w:val="24"/>
                <w:highlight w:val="none"/>
              </w:rPr>
            </w:pPr>
            <w:r>
              <w:rPr>
                <w:color w:val="auto"/>
                <w:sz w:val="24"/>
                <w:highlight w:val="none"/>
              </w:rPr>
              <w:t>自卸汽车卸料起尘量，推荐选用山西环保科研所、武汉水运工程学院提出的经验公式估算，经验公式为：</w:t>
            </w:r>
          </w:p>
          <w:p w14:paraId="7464FA98">
            <w:pPr>
              <w:snapToGrid w:val="0"/>
              <w:spacing w:line="360" w:lineRule="auto"/>
              <w:ind w:firstLine="3060" w:firstLineChars="1275"/>
              <w:rPr>
                <w:color w:val="auto"/>
                <w:sz w:val="24"/>
                <w:szCs w:val="22"/>
                <w:highlight w:val="none"/>
              </w:rPr>
            </w:pPr>
            <w:r>
              <w:rPr>
                <w:color w:val="auto"/>
                <w:sz w:val="24"/>
                <w:szCs w:val="22"/>
                <w:highlight w:val="none"/>
              </w:rPr>
              <w:t>Q=e</w:t>
            </w:r>
            <w:r>
              <w:rPr>
                <w:color w:val="auto"/>
                <w:sz w:val="24"/>
                <w:szCs w:val="22"/>
                <w:highlight w:val="none"/>
                <w:vertAlign w:val="superscript"/>
              </w:rPr>
              <w:t>0.61u</w:t>
            </w:r>
            <w:r>
              <w:rPr>
                <w:color w:val="auto"/>
                <w:sz w:val="24"/>
                <w:szCs w:val="22"/>
                <w:highlight w:val="none"/>
              </w:rPr>
              <w:t>（M/13.5）</w:t>
            </w:r>
          </w:p>
          <w:p w14:paraId="152C8E6A">
            <w:pPr>
              <w:snapToGrid w:val="0"/>
              <w:spacing w:line="360" w:lineRule="auto"/>
              <w:ind w:firstLine="420" w:firstLineChars="175"/>
              <w:rPr>
                <w:color w:val="auto"/>
                <w:sz w:val="24"/>
                <w:szCs w:val="22"/>
                <w:highlight w:val="none"/>
              </w:rPr>
            </w:pPr>
            <w:r>
              <w:rPr>
                <w:color w:val="auto"/>
                <w:sz w:val="24"/>
                <w:szCs w:val="22"/>
                <w:highlight w:val="none"/>
              </w:rPr>
              <w:t>式中：Q——自卸汽车卸料起尘量，g/次；</w:t>
            </w:r>
          </w:p>
          <w:p w14:paraId="0453A497">
            <w:pPr>
              <w:snapToGrid w:val="0"/>
              <w:spacing w:line="360" w:lineRule="auto"/>
              <w:ind w:firstLine="1200" w:firstLineChars="500"/>
              <w:rPr>
                <w:color w:val="auto"/>
                <w:sz w:val="24"/>
                <w:szCs w:val="22"/>
                <w:highlight w:val="none"/>
              </w:rPr>
            </w:pPr>
            <w:r>
              <w:rPr>
                <w:color w:val="auto"/>
                <w:sz w:val="24"/>
                <w:szCs w:val="22"/>
                <w:highlight w:val="none"/>
              </w:rPr>
              <w:t>U——平均风速（m/s），1；</w:t>
            </w:r>
          </w:p>
          <w:p w14:paraId="74430D3C">
            <w:pPr>
              <w:snapToGrid w:val="0"/>
              <w:spacing w:line="360" w:lineRule="auto"/>
              <w:ind w:firstLine="1200" w:firstLineChars="500"/>
              <w:rPr>
                <w:color w:val="auto"/>
                <w:sz w:val="24"/>
                <w:szCs w:val="22"/>
                <w:highlight w:val="none"/>
              </w:rPr>
            </w:pPr>
            <w:r>
              <w:rPr>
                <w:color w:val="auto"/>
                <w:sz w:val="24"/>
                <w:szCs w:val="22"/>
                <w:highlight w:val="none"/>
              </w:rPr>
              <w:t>M——汽车卸料量，t，</w:t>
            </w:r>
            <w:r>
              <w:rPr>
                <w:rFonts w:hint="eastAsia"/>
                <w:color w:val="auto"/>
                <w:sz w:val="24"/>
                <w:szCs w:val="22"/>
                <w:highlight w:val="none"/>
              </w:rPr>
              <w:t>3</w:t>
            </w:r>
            <w:r>
              <w:rPr>
                <w:color w:val="auto"/>
                <w:sz w:val="24"/>
                <w:szCs w:val="22"/>
                <w:highlight w:val="none"/>
              </w:rPr>
              <w:t>0。</w:t>
            </w:r>
          </w:p>
          <w:p w14:paraId="7096AB5C">
            <w:pPr>
              <w:snapToGrid w:val="0"/>
              <w:spacing w:line="360" w:lineRule="auto"/>
              <w:ind w:firstLine="480" w:firstLineChars="200"/>
              <w:rPr>
                <w:color w:val="auto"/>
                <w:sz w:val="24"/>
                <w:szCs w:val="22"/>
                <w:highlight w:val="none"/>
              </w:rPr>
            </w:pPr>
            <w:r>
              <w:rPr>
                <w:rFonts w:hint="eastAsia"/>
                <w:color w:val="auto"/>
                <w:sz w:val="24"/>
                <w:highlight w:val="none"/>
                <w:lang w:eastAsia="zh-CN"/>
              </w:rPr>
              <w:t>现有工程</w:t>
            </w:r>
            <w:r>
              <w:rPr>
                <w:rFonts w:hint="eastAsia"/>
                <w:color w:val="auto"/>
                <w:sz w:val="24"/>
                <w:szCs w:val="22"/>
                <w:highlight w:val="none"/>
              </w:rPr>
              <w:t>进厂原料约</w:t>
            </w:r>
            <w:r>
              <w:rPr>
                <w:color w:val="auto"/>
                <w:sz w:val="24"/>
                <w:szCs w:val="22"/>
                <w:highlight w:val="none"/>
              </w:rPr>
              <w:t>为</w:t>
            </w:r>
            <w:r>
              <w:rPr>
                <w:rFonts w:hint="eastAsia"/>
                <w:color w:val="auto"/>
                <w:sz w:val="24"/>
                <w:szCs w:val="22"/>
                <w:highlight w:val="none"/>
                <w:lang w:val="en-US" w:eastAsia="zh-CN"/>
              </w:rPr>
              <w:t>35</w:t>
            </w:r>
            <w:r>
              <w:rPr>
                <w:color w:val="auto"/>
                <w:sz w:val="24"/>
                <w:szCs w:val="22"/>
                <w:highlight w:val="none"/>
              </w:rPr>
              <w:t>万t/a，转运次数</w:t>
            </w:r>
            <w:r>
              <w:rPr>
                <w:rFonts w:hint="eastAsia"/>
                <w:color w:val="auto"/>
                <w:sz w:val="24"/>
                <w:szCs w:val="22"/>
                <w:highlight w:val="none"/>
              </w:rPr>
              <w:t>约</w:t>
            </w:r>
            <w:r>
              <w:rPr>
                <w:color w:val="auto"/>
                <w:sz w:val="24"/>
                <w:szCs w:val="22"/>
                <w:highlight w:val="none"/>
              </w:rPr>
              <w:t>为</w:t>
            </w:r>
            <w:r>
              <w:rPr>
                <w:rFonts w:hint="eastAsia"/>
                <w:color w:val="auto"/>
                <w:sz w:val="24"/>
                <w:szCs w:val="22"/>
                <w:highlight w:val="none"/>
                <w:lang w:val="en-US" w:eastAsia="zh-CN"/>
              </w:rPr>
              <w:t>11667</w:t>
            </w:r>
            <w:r>
              <w:rPr>
                <w:color w:val="auto"/>
                <w:sz w:val="24"/>
                <w:szCs w:val="22"/>
                <w:highlight w:val="none"/>
              </w:rPr>
              <w:t>次，则卸车粉尘量约为</w:t>
            </w:r>
            <w:r>
              <w:rPr>
                <w:rFonts w:hint="eastAsia"/>
                <w:color w:val="auto"/>
                <w:sz w:val="24"/>
                <w:szCs w:val="22"/>
                <w:highlight w:val="none"/>
                <w:lang w:val="en-US" w:eastAsia="zh-CN"/>
              </w:rPr>
              <w:t>47.7</w:t>
            </w:r>
            <w:r>
              <w:rPr>
                <w:color w:val="auto"/>
                <w:sz w:val="24"/>
                <w:szCs w:val="22"/>
                <w:highlight w:val="none"/>
              </w:rPr>
              <w:t>kg/a。</w:t>
            </w:r>
          </w:p>
          <w:p w14:paraId="3BC773F1">
            <w:pPr>
              <w:spacing w:line="360" w:lineRule="auto"/>
              <w:ind w:firstLine="480"/>
              <w:rPr>
                <w:color w:val="auto"/>
                <w:sz w:val="24"/>
                <w:highlight w:val="none"/>
              </w:rPr>
            </w:pPr>
            <w:r>
              <w:rPr>
                <w:rFonts w:hint="eastAsia"/>
                <w:color w:val="auto"/>
                <w:sz w:val="24"/>
                <w:highlight w:val="none"/>
              </w:rPr>
              <w:t>C.堆存粉尘</w:t>
            </w:r>
          </w:p>
          <w:p w14:paraId="18FD17D7">
            <w:pPr>
              <w:spacing w:line="360" w:lineRule="auto"/>
              <w:ind w:firstLine="480"/>
              <w:rPr>
                <w:rFonts w:hint="eastAsia"/>
                <w:color w:val="auto"/>
                <w:sz w:val="24"/>
                <w:highlight w:val="none"/>
                <w:lang w:eastAsia="zh-CN"/>
              </w:rPr>
            </w:pPr>
            <w:r>
              <w:rPr>
                <w:rFonts w:hint="eastAsia"/>
                <w:color w:val="auto"/>
                <w:sz w:val="24"/>
                <w:highlight w:val="none"/>
                <w:lang w:eastAsia="zh-CN"/>
              </w:rPr>
              <w:t>根据现场调查，厂区生产车间（仅保留出入口，剩余全封闭）内现有成品堆场一个，用以堆存现有工程产品；此外，</w:t>
            </w:r>
            <w:r>
              <w:rPr>
                <w:color w:val="auto"/>
                <w:sz w:val="24"/>
                <w:highlight w:val="none"/>
              </w:rPr>
              <w:t>本次评价要求建设单位对</w:t>
            </w:r>
            <w:r>
              <w:rPr>
                <w:rFonts w:hint="eastAsia"/>
                <w:color w:val="auto"/>
                <w:sz w:val="24"/>
                <w:highlight w:val="none"/>
                <w:lang w:eastAsia="zh-CN"/>
              </w:rPr>
              <w:t>现有</w:t>
            </w:r>
            <w:r>
              <w:rPr>
                <w:rFonts w:hint="eastAsia"/>
                <w:color w:val="auto"/>
                <w:sz w:val="24"/>
                <w:highlight w:val="none"/>
              </w:rPr>
              <w:t>原料</w:t>
            </w:r>
            <w:r>
              <w:rPr>
                <w:rFonts w:hint="eastAsia"/>
                <w:color w:val="auto"/>
                <w:sz w:val="24"/>
                <w:highlight w:val="none"/>
                <w:lang w:eastAsia="zh-CN"/>
              </w:rPr>
              <w:t>区进行</w:t>
            </w:r>
            <w:r>
              <w:rPr>
                <w:color w:val="auto"/>
                <w:sz w:val="24"/>
                <w:highlight w:val="none"/>
              </w:rPr>
              <w:t>三面封闭</w:t>
            </w:r>
            <w:r>
              <w:rPr>
                <w:rFonts w:hint="eastAsia"/>
                <w:color w:val="auto"/>
                <w:sz w:val="24"/>
                <w:highlight w:val="none"/>
                <w:lang w:val="en-US" w:eastAsia="zh-CN"/>
              </w:rPr>
              <w:t>+顶棚处理</w:t>
            </w:r>
            <w:r>
              <w:rPr>
                <w:rFonts w:hint="eastAsia"/>
                <w:color w:val="auto"/>
                <w:sz w:val="24"/>
                <w:highlight w:val="none"/>
                <w:lang w:eastAsia="zh-CN"/>
              </w:rPr>
              <w:t>。</w:t>
            </w:r>
            <w:r>
              <w:rPr>
                <w:color w:val="auto"/>
                <w:sz w:val="24"/>
                <w:highlight w:val="none"/>
              </w:rPr>
              <w:t>采取上述措施后，</w:t>
            </w:r>
            <w:r>
              <w:rPr>
                <w:rFonts w:hint="eastAsia"/>
                <w:color w:val="auto"/>
                <w:sz w:val="24"/>
                <w:highlight w:val="none"/>
              </w:rPr>
              <w:t>物料堆存粉尘</w:t>
            </w:r>
            <w:r>
              <w:rPr>
                <w:color w:val="auto"/>
                <w:sz w:val="24"/>
                <w:highlight w:val="none"/>
              </w:rPr>
              <w:t>产生量较小，且在</w:t>
            </w:r>
            <w:r>
              <w:rPr>
                <w:rFonts w:hint="eastAsia"/>
                <w:color w:val="auto"/>
                <w:sz w:val="24"/>
                <w:highlight w:val="none"/>
              </w:rPr>
              <w:t>堆存区</w:t>
            </w:r>
            <w:r>
              <w:rPr>
                <w:color w:val="auto"/>
                <w:sz w:val="24"/>
                <w:highlight w:val="none"/>
              </w:rPr>
              <w:t>内自然沉降</w:t>
            </w:r>
            <w:r>
              <w:rPr>
                <w:rFonts w:hint="eastAsia"/>
                <w:color w:val="auto"/>
                <w:sz w:val="24"/>
                <w:highlight w:val="none"/>
              </w:rPr>
              <w:t>，故本次暂不进行堆存过程粉尘的定量计算。</w:t>
            </w:r>
          </w:p>
          <w:p w14:paraId="1E6BB1C6">
            <w:pPr>
              <w:spacing w:line="360" w:lineRule="auto"/>
              <w:ind w:firstLine="480"/>
              <w:rPr>
                <w:rFonts w:hint="default"/>
                <w:color w:val="auto"/>
                <w:kern w:val="0"/>
                <w:sz w:val="24"/>
                <w:highlight w:val="none"/>
                <w:lang w:val="en-US" w:eastAsia="zh-CN"/>
              </w:rPr>
            </w:pPr>
            <w:r>
              <w:rPr>
                <w:rFonts w:hint="eastAsia"/>
                <w:color w:val="auto"/>
                <w:sz w:val="24"/>
                <w:highlight w:val="none"/>
              </w:rPr>
              <w:t>综上，</w:t>
            </w:r>
            <w:r>
              <w:rPr>
                <w:rFonts w:hint="eastAsia"/>
                <w:color w:val="auto"/>
                <w:sz w:val="24"/>
                <w:highlight w:val="none"/>
                <w:lang w:eastAsia="zh-CN"/>
              </w:rPr>
              <w:t>现有工程</w:t>
            </w:r>
            <w:r>
              <w:rPr>
                <w:rFonts w:hint="eastAsia"/>
                <w:color w:val="auto"/>
                <w:sz w:val="24"/>
                <w:highlight w:val="none"/>
              </w:rPr>
              <w:t>物</w:t>
            </w:r>
            <w:r>
              <w:rPr>
                <w:color w:val="auto"/>
                <w:sz w:val="24"/>
                <w:highlight w:val="none"/>
              </w:rPr>
              <w:t>料</w:t>
            </w:r>
            <w:r>
              <w:rPr>
                <w:rFonts w:hint="eastAsia"/>
                <w:color w:val="auto"/>
                <w:sz w:val="24"/>
                <w:highlight w:val="none"/>
              </w:rPr>
              <w:t>装卸、堆存粉尘合计产生</w:t>
            </w:r>
            <w:r>
              <w:rPr>
                <w:color w:val="auto"/>
                <w:sz w:val="24"/>
                <w:highlight w:val="none"/>
              </w:rPr>
              <w:t>量</w:t>
            </w:r>
            <w:r>
              <w:rPr>
                <w:rFonts w:hint="eastAsia"/>
                <w:color w:val="auto"/>
                <w:sz w:val="24"/>
                <w:highlight w:val="none"/>
              </w:rPr>
              <w:t>约合0.</w:t>
            </w:r>
            <w:r>
              <w:rPr>
                <w:rFonts w:hint="eastAsia"/>
                <w:color w:val="auto"/>
                <w:sz w:val="24"/>
                <w:highlight w:val="none"/>
                <w:lang w:val="en-US" w:eastAsia="zh-CN"/>
              </w:rPr>
              <w:t>058t</w:t>
            </w:r>
            <w:r>
              <w:rPr>
                <w:color w:val="auto"/>
                <w:sz w:val="24"/>
                <w:highlight w:val="none"/>
              </w:rPr>
              <w:t>/a</w:t>
            </w:r>
            <w:r>
              <w:rPr>
                <w:rFonts w:hint="eastAsia"/>
                <w:color w:val="auto"/>
                <w:sz w:val="24"/>
                <w:highlight w:val="none"/>
              </w:rPr>
              <w:t>。</w:t>
            </w:r>
          </w:p>
          <w:p w14:paraId="0ED58EAF">
            <w:pPr>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rPr>
              <w:t>治理措施：</w:t>
            </w:r>
            <w:r>
              <w:rPr>
                <w:rFonts w:hint="eastAsia"/>
                <w:color w:val="auto"/>
                <w:kern w:val="0"/>
                <w:sz w:val="24"/>
                <w:highlight w:val="none"/>
              </w:rPr>
              <w:t>物料装车</w:t>
            </w:r>
            <w:r>
              <w:rPr>
                <w:rFonts w:hint="eastAsia"/>
                <w:color w:val="auto"/>
                <w:kern w:val="0"/>
                <w:sz w:val="24"/>
                <w:highlight w:val="none"/>
                <w:lang w:eastAsia="zh-CN"/>
              </w:rPr>
              <w:t>在封闭区间内（仅保留出入口），</w:t>
            </w:r>
            <w:r>
              <w:rPr>
                <w:rFonts w:hint="eastAsia"/>
                <w:color w:val="auto"/>
                <w:kern w:val="0"/>
                <w:sz w:val="24"/>
                <w:highlight w:val="none"/>
              </w:rPr>
              <w:t>卸车</w:t>
            </w:r>
            <w:r>
              <w:rPr>
                <w:color w:val="auto"/>
                <w:kern w:val="28"/>
                <w:sz w:val="24"/>
                <w:szCs w:val="22"/>
                <w:highlight w:val="none"/>
              </w:rPr>
              <w:t>过程在半封闭</w:t>
            </w:r>
            <w:r>
              <w:rPr>
                <w:rFonts w:hint="eastAsia"/>
                <w:color w:val="auto"/>
                <w:kern w:val="28"/>
                <w:sz w:val="24"/>
                <w:szCs w:val="22"/>
                <w:highlight w:val="none"/>
                <w:lang w:eastAsia="zh-CN"/>
              </w:rPr>
              <w:t>区域</w:t>
            </w:r>
            <w:r>
              <w:rPr>
                <w:color w:val="auto"/>
                <w:kern w:val="28"/>
                <w:sz w:val="24"/>
                <w:szCs w:val="22"/>
                <w:highlight w:val="none"/>
              </w:rPr>
              <w:t>内</w:t>
            </w:r>
            <w:r>
              <w:rPr>
                <w:rFonts w:hint="eastAsia"/>
                <w:color w:val="auto"/>
                <w:kern w:val="28"/>
                <w:sz w:val="24"/>
                <w:szCs w:val="22"/>
                <w:highlight w:val="none"/>
                <w:lang w:eastAsia="zh-CN"/>
              </w:rPr>
              <w:t>。</w:t>
            </w:r>
            <w:r>
              <w:rPr>
                <w:color w:val="auto"/>
                <w:sz w:val="24"/>
                <w:highlight w:val="none"/>
              </w:rPr>
              <w:t>根据《固体物料堆存颗粒物产排污核算系数手册》附录</w:t>
            </w:r>
            <w:r>
              <w:rPr>
                <w:rFonts w:hint="eastAsia"/>
                <w:color w:val="auto"/>
                <w:sz w:val="24"/>
                <w:highlight w:val="none"/>
                <w:lang w:val="en-US" w:eastAsia="zh-CN"/>
              </w:rPr>
              <w:t>5堆场类型控制效率可知，密闭式控制效率为99%（</w:t>
            </w:r>
            <w:r>
              <w:rPr>
                <w:rFonts w:hint="eastAsia"/>
                <w:color w:val="auto"/>
                <w:sz w:val="24"/>
                <w:highlight w:val="none"/>
                <w:lang w:eastAsia="zh-CN"/>
              </w:rPr>
              <w:t>由于装车在封闭区间内，仅保留出入口，故本次按</w:t>
            </w:r>
            <w:r>
              <w:rPr>
                <w:rFonts w:hint="eastAsia"/>
                <w:color w:val="auto"/>
                <w:sz w:val="24"/>
                <w:highlight w:val="none"/>
                <w:lang w:val="en-US" w:eastAsia="zh-CN"/>
              </w:rPr>
              <w:t>90%考虑）、半敞开式控制效率为60%，综合计算</w:t>
            </w:r>
            <w:r>
              <w:rPr>
                <w:rFonts w:hint="eastAsia"/>
                <w:color w:val="auto"/>
                <w:kern w:val="28"/>
                <w:sz w:val="24"/>
                <w:szCs w:val="22"/>
                <w:highlight w:val="none"/>
              </w:rPr>
              <w:t>装卸过程粉尘排放量约合0.0</w:t>
            </w:r>
            <w:r>
              <w:rPr>
                <w:rFonts w:hint="eastAsia"/>
                <w:color w:val="auto"/>
                <w:kern w:val="28"/>
                <w:sz w:val="24"/>
                <w:szCs w:val="22"/>
                <w:highlight w:val="none"/>
                <w:lang w:val="en-US" w:eastAsia="zh-CN"/>
              </w:rPr>
              <w:t>2</w:t>
            </w:r>
            <w:r>
              <w:rPr>
                <w:rFonts w:hint="eastAsia"/>
                <w:color w:val="auto"/>
                <w:kern w:val="28"/>
                <w:sz w:val="24"/>
                <w:szCs w:val="22"/>
                <w:highlight w:val="none"/>
              </w:rPr>
              <w:t>t</w:t>
            </w:r>
            <w:r>
              <w:rPr>
                <w:color w:val="auto"/>
                <w:sz w:val="24"/>
                <w:highlight w:val="none"/>
              </w:rPr>
              <w:t>/a</w:t>
            </w:r>
            <w:r>
              <w:rPr>
                <w:color w:val="auto"/>
                <w:sz w:val="24"/>
                <w:szCs w:val="22"/>
                <w:highlight w:val="none"/>
              </w:rPr>
              <w:t>。</w:t>
            </w:r>
          </w:p>
          <w:p w14:paraId="6F65AADF">
            <w:pPr>
              <w:adjustRightInd w:val="0"/>
              <w:snapToGrid w:val="0"/>
              <w:spacing w:line="360" w:lineRule="auto"/>
              <w:ind w:firstLine="482" w:firstLineChars="200"/>
              <w:rPr>
                <w:rFonts w:hint="default"/>
                <w:color w:val="auto"/>
                <w:kern w:val="0"/>
                <w:sz w:val="24"/>
                <w:highlight w:val="none"/>
                <w:lang w:val="en-US" w:eastAsia="zh-CN"/>
              </w:rPr>
            </w:pPr>
            <w:r>
              <w:rPr>
                <w:rFonts w:hint="eastAsia"/>
                <w:b/>
                <w:bCs/>
                <w:color w:val="auto"/>
                <w:kern w:val="0"/>
                <w:sz w:val="24"/>
                <w:highlight w:val="none"/>
              </w:rPr>
              <w:t>可行性分析：</w:t>
            </w:r>
            <w:r>
              <w:rPr>
                <w:color w:val="auto"/>
                <w:sz w:val="24"/>
                <w:highlight w:val="none"/>
              </w:rPr>
              <w:t>通过合理控制</w:t>
            </w:r>
            <w:r>
              <w:rPr>
                <w:rFonts w:hint="eastAsia"/>
                <w:color w:val="auto"/>
                <w:sz w:val="24"/>
                <w:highlight w:val="none"/>
              </w:rPr>
              <w:t>卸料</w:t>
            </w:r>
            <w:r>
              <w:rPr>
                <w:color w:val="auto"/>
                <w:sz w:val="24"/>
                <w:highlight w:val="none"/>
              </w:rPr>
              <w:t>高度</w:t>
            </w:r>
            <w:r>
              <w:rPr>
                <w:rFonts w:hint="eastAsia"/>
                <w:color w:val="auto"/>
                <w:sz w:val="24"/>
                <w:highlight w:val="none"/>
                <w:lang w:eastAsia="zh-CN"/>
              </w:rPr>
              <w:t>、</w:t>
            </w:r>
            <w:r>
              <w:rPr>
                <w:rFonts w:hint="eastAsia"/>
                <w:color w:val="auto"/>
                <w:sz w:val="24"/>
                <w:highlight w:val="none"/>
              </w:rPr>
              <w:t>原料区采取</w:t>
            </w:r>
            <w:r>
              <w:rPr>
                <w:color w:val="auto"/>
                <w:sz w:val="24"/>
                <w:highlight w:val="none"/>
              </w:rPr>
              <w:t>三面封闭</w:t>
            </w:r>
            <w:r>
              <w:rPr>
                <w:rFonts w:hint="eastAsia"/>
                <w:color w:val="auto"/>
                <w:sz w:val="24"/>
                <w:highlight w:val="none"/>
                <w:lang w:val="en-US" w:eastAsia="zh-CN"/>
              </w:rPr>
              <w:t>+顶棚处理、</w:t>
            </w:r>
            <w:r>
              <w:rPr>
                <w:rFonts w:hint="eastAsia"/>
                <w:color w:val="auto"/>
                <w:sz w:val="24"/>
                <w:highlight w:val="none"/>
                <w:lang w:eastAsia="zh-CN"/>
              </w:rPr>
              <w:t>成品区封闭</w:t>
            </w:r>
            <w:r>
              <w:rPr>
                <w:rFonts w:hint="eastAsia"/>
                <w:color w:val="auto"/>
                <w:sz w:val="24"/>
                <w:highlight w:val="none"/>
              </w:rPr>
              <w:t>，可有效控制物</w:t>
            </w:r>
            <w:r>
              <w:rPr>
                <w:color w:val="auto"/>
                <w:sz w:val="24"/>
                <w:highlight w:val="none"/>
              </w:rPr>
              <w:t>料</w:t>
            </w:r>
            <w:r>
              <w:rPr>
                <w:rFonts w:hint="eastAsia"/>
                <w:color w:val="auto"/>
                <w:sz w:val="24"/>
                <w:highlight w:val="none"/>
              </w:rPr>
              <w:t>装卸、堆存粉尘产生量，对外环境影响不大，因此</w:t>
            </w:r>
            <w:r>
              <w:rPr>
                <w:rFonts w:hint="eastAsia"/>
                <w:color w:val="auto"/>
                <w:sz w:val="24"/>
                <w:highlight w:val="none"/>
                <w:lang w:eastAsia="zh-CN"/>
              </w:rPr>
              <w:t>现有工程采取</w:t>
            </w:r>
            <w:r>
              <w:rPr>
                <w:rFonts w:hint="eastAsia"/>
                <w:color w:val="auto"/>
                <w:sz w:val="24"/>
                <w:highlight w:val="none"/>
              </w:rPr>
              <w:t>上述环保措施可行。</w:t>
            </w:r>
          </w:p>
          <w:p w14:paraId="27DB0894">
            <w:pPr>
              <w:spacing w:line="360" w:lineRule="auto"/>
              <w:ind w:firstLine="480"/>
              <w:rPr>
                <w:rFonts w:hint="eastAsia"/>
                <w:color w:val="auto"/>
                <w:kern w:val="0"/>
                <w:sz w:val="24"/>
                <w:highlight w:val="none"/>
                <w:lang w:val="en-US" w:eastAsia="zh-CN"/>
              </w:rPr>
            </w:pPr>
            <w:r>
              <w:rPr>
                <w:rFonts w:hint="default"/>
                <w:color w:val="auto"/>
                <w:kern w:val="0"/>
                <w:sz w:val="24"/>
                <w:highlight w:val="none"/>
                <w:lang w:val="en-US" w:eastAsia="zh-CN"/>
              </w:rPr>
              <w:t>（2）</w:t>
            </w:r>
            <w:r>
              <w:rPr>
                <w:rFonts w:hint="eastAsia"/>
                <w:color w:val="auto"/>
                <w:kern w:val="0"/>
                <w:sz w:val="24"/>
                <w:highlight w:val="none"/>
                <w:lang w:val="en-US" w:eastAsia="zh-CN"/>
              </w:rPr>
              <w:t>运输扬尘</w:t>
            </w:r>
          </w:p>
          <w:p w14:paraId="4D8DE7B9">
            <w:pPr>
              <w:adjustRightInd w:val="0"/>
              <w:snapToGrid w:val="0"/>
              <w:spacing w:line="360" w:lineRule="auto"/>
              <w:ind w:firstLine="482" w:firstLineChars="200"/>
              <w:rPr>
                <w:color w:val="auto"/>
                <w:sz w:val="24"/>
                <w:highlight w:val="none"/>
              </w:rPr>
            </w:pPr>
            <w:r>
              <w:rPr>
                <w:rFonts w:hint="eastAsia"/>
                <w:b/>
                <w:bCs/>
                <w:color w:val="auto"/>
                <w:sz w:val="24"/>
                <w:highlight w:val="none"/>
              </w:rPr>
              <w:t>源强核算：</w:t>
            </w:r>
            <w:r>
              <w:rPr>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0B9D6C58">
            <w:pPr>
              <w:adjustRightInd w:val="0"/>
              <w:snapToGrid w:val="0"/>
              <w:spacing w:line="360" w:lineRule="auto"/>
              <w:ind w:firstLine="480" w:firstLineChars="200"/>
              <w:rPr>
                <w:color w:val="auto"/>
                <w:sz w:val="24"/>
                <w:highlight w:val="none"/>
              </w:rPr>
            </w:pPr>
            <w:r>
              <w:rPr>
                <w:color w:val="auto"/>
                <w:sz w:val="24"/>
                <w:highlight w:val="none"/>
              </w:rPr>
              <w:t>据有关文献资料介绍，车辆行驶产生的扬尘占总扬尘的60%以上。车辆行驶产生的扬尘，在完全干燥情况下，可按下列经验公式计算：</w:t>
            </w:r>
          </w:p>
          <w:p w14:paraId="1FD2ACC6">
            <w:pPr>
              <w:adjustRightInd w:val="0"/>
              <w:snapToGrid w:val="0"/>
              <w:spacing w:line="360" w:lineRule="auto"/>
              <w:ind w:firstLine="480" w:firstLineChars="200"/>
              <w:rPr>
                <w:color w:val="auto"/>
                <w:sz w:val="24"/>
                <w:highlight w:val="none"/>
              </w:rPr>
            </w:pPr>
            <w:r>
              <w:rPr>
                <w:color w:val="auto"/>
                <w:sz w:val="24"/>
                <w:highlight w:val="none"/>
              </w:rPr>
              <w:drawing>
                <wp:inline distT="0" distB="0" distL="0" distR="0">
                  <wp:extent cx="3423920" cy="223520"/>
                  <wp:effectExtent l="0" t="0" r="0" b="4445"/>
                  <wp:docPr id="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3"/>
                          <pic:cNvPicPr>
                            <a:picLocks noChangeAspect="1" noChangeArrowheads="1"/>
                          </pic:cNvPicPr>
                        </pic:nvPicPr>
                        <pic:blipFill>
                          <a:blip r:embed="rId20"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1BF8D9B6">
            <w:pPr>
              <w:adjustRightInd w:val="0"/>
              <w:snapToGrid w:val="0"/>
              <w:spacing w:line="360" w:lineRule="auto"/>
              <w:ind w:firstLine="480" w:firstLineChars="200"/>
              <w:rPr>
                <w:color w:val="auto"/>
                <w:sz w:val="24"/>
                <w:highlight w:val="none"/>
              </w:rPr>
            </w:pPr>
            <w:r>
              <w:rPr>
                <w:color w:val="auto"/>
                <w:sz w:val="24"/>
                <w:highlight w:val="none"/>
              </w:rPr>
              <w:object>
                <v:shape id="_x0000_i1030" o:spt="75" type="#_x0000_t75" style="height:16.5pt;width:91.5pt;" o:ole="t" filled="f" o:preferrelative="t" stroked="f" coordsize="21600,21600">
                  <v:path/>
                  <v:fill on="f" focussize="0,0"/>
                  <v:stroke on="f" joinstyle="miter"/>
                  <v:imagedata r:id="rId22" o:title=""/>
                  <o:lock v:ext="edit" aspectratio="t"/>
                  <w10:wrap type="none"/>
                  <w10:anchorlock/>
                </v:shape>
                <o:OLEObject Type="Embed" ProgID="Equations" ShapeID="_x0000_i1030" DrawAspect="Content" ObjectID="_1468075730" r:id="rId21">
                  <o:LockedField>false</o:LockedField>
                </o:OLEObject>
              </w:object>
            </w:r>
          </w:p>
          <w:p w14:paraId="7BCC213F">
            <w:pPr>
              <w:adjustRightInd w:val="0"/>
              <w:snapToGrid w:val="0"/>
              <w:spacing w:line="360" w:lineRule="auto"/>
              <w:ind w:firstLine="480" w:firstLineChars="200"/>
              <w:rPr>
                <w:color w:val="auto"/>
                <w:sz w:val="24"/>
                <w:highlight w:val="none"/>
              </w:rPr>
            </w:pPr>
            <w:r>
              <w:rPr>
                <w:color w:val="auto"/>
                <w:sz w:val="24"/>
                <w:highlight w:val="none"/>
              </w:rPr>
              <w:t>式中：Q——汽车行驶的扬尘，kg/km·辆；</w:t>
            </w:r>
          </w:p>
          <w:p w14:paraId="54D7008E">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drawing>
                <wp:inline distT="0" distB="0" distL="0" distR="0">
                  <wp:extent cx="53340" cy="106045"/>
                  <wp:effectExtent l="0" t="0" r="3810" b="0"/>
                  <wp:docPr id="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5"/>
                          <pic:cNvPicPr>
                            <a:picLocks noChangeAspect="1" noChangeArrowheads="1"/>
                          </pic:cNvPicPr>
                        </pic:nvPicPr>
                        <pic:blipFill>
                          <a:blip r:embed="rId23"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color w:val="auto"/>
                <w:sz w:val="24"/>
                <w:highlight w:val="none"/>
              </w:rPr>
              <w:t>——</w:t>
            </w:r>
            <w:r>
              <w:rPr>
                <w:rFonts w:hint="eastAsia"/>
                <w:color w:val="auto"/>
                <w:sz w:val="24"/>
                <w:highlight w:val="none"/>
              </w:rPr>
              <w:t>运输途中起尘量，</w:t>
            </w:r>
            <w:r>
              <w:rPr>
                <w:color w:val="auto"/>
                <w:sz w:val="24"/>
                <w:highlight w:val="none"/>
              </w:rPr>
              <w:t>kg/</w:t>
            </w:r>
            <w:r>
              <w:rPr>
                <w:rFonts w:hint="eastAsia"/>
                <w:color w:val="auto"/>
                <w:sz w:val="24"/>
                <w:highlight w:val="none"/>
              </w:rPr>
              <w:t>a；</w:t>
            </w:r>
          </w:p>
          <w:p w14:paraId="383D2874">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t>p——</w:t>
            </w:r>
            <w:r>
              <w:rPr>
                <w:rFonts w:hint="eastAsia"/>
                <w:color w:val="auto"/>
                <w:sz w:val="24"/>
                <w:highlight w:val="none"/>
              </w:rPr>
              <w:t>运输量，t</w:t>
            </w:r>
            <w:r>
              <w:rPr>
                <w:color w:val="auto"/>
                <w:sz w:val="24"/>
                <w:highlight w:val="none"/>
              </w:rPr>
              <w:t>/</w:t>
            </w:r>
            <w:r>
              <w:rPr>
                <w:rFonts w:hint="eastAsia"/>
                <w:color w:val="auto"/>
                <w:sz w:val="24"/>
                <w:highlight w:val="none"/>
              </w:rPr>
              <w:t>a；</w:t>
            </w:r>
          </w:p>
          <w:p w14:paraId="70925A79">
            <w:pPr>
              <w:adjustRightInd w:val="0"/>
              <w:snapToGrid w:val="0"/>
              <w:spacing w:line="360" w:lineRule="auto"/>
              <w:ind w:firstLine="480" w:firstLineChars="200"/>
              <w:rPr>
                <w:color w:val="auto"/>
                <w:sz w:val="24"/>
                <w:highlight w:val="none"/>
              </w:rPr>
            </w:pPr>
            <w:r>
              <w:rPr>
                <w:color w:val="auto"/>
                <w:sz w:val="24"/>
                <w:highlight w:val="none"/>
              </w:rPr>
              <w:t>V——汽车行驶速度，km/h；</w:t>
            </w:r>
          </w:p>
          <w:p w14:paraId="1055AA41">
            <w:pPr>
              <w:adjustRightInd w:val="0"/>
              <w:snapToGrid w:val="0"/>
              <w:spacing w:line="360" w:lineRule="auto"/>
              <w:ind w:firstLine="480" w:firstLineChars="200"/>
              <w:rPr>
                <w:color w:val="auto"/>
                <w:sz w:val="24"/>
                <w:highlight w:val="none"/>
              </w:rPr>
            </w:pPr>
            <w:r>
              <w:rPr>
                <w:color w:val="auto"/>
                <w:sz w:val="24"/>
                <w:highlight w:val="none"/>
              </w:rPr>
              <w:t>W——汽车载重量，吨</w:t>
            </w:r>
            <w:r>
              <w:rPr>
                <w:rFonts w:hint="eastAsia"/>
                <w:color w:val="auto"/>
                <w:sz w:val="24"/>
                <w:highlight w:val="none"/>
              </w:rPr>
              <w:t>/辆</w:t>
            </w:r>
            <w:r>
              <w:rPr>
                <w:color w:val="auto"/>
                <w:sz w:val="24"/>
                <w:highlight w:val="none"/>
              </w:rPr>
              <w:t>；</w:t>
            </w:r>
          </w:p>
          <w:p w14:paraId="612BCA1C">
            <w:pPr>
              <w:adjustRightInd w:val="0"/>
              <w:snapToGrid w:val="0"/>
              <w:spacing w:line="360" w:lineRule="auto"/>
              <w:ind w:firstLine="480" w:firstLineChars="200"/>
              <w:rPr>
                <w:color w:val="auto"/>
                <w:sz w:val="24"/>
                <w:highlight w:val="none"/>
              </w:rPr>
            </w:pPr>
            <w:r>
              <w:rPr>
                <w:color w:val="auto"/>
                <w:sz w:val="24"/>
                <w:highlight w:val="none"/>
              </w:rPr>
              <w:t>P——道路表面粉尘量，kg/m</w:t>
            </w:r>
            <w:r>
              <w:rPr>
                <w:color w:val="auto"/>
                <w:sz w:val="24"/>
                <w:highlight w:val="none"/>
                <w:vertAlign w:val="superscript"/>
              </w:rPr>
              <w:t>2</w:t>
            </w:r>
            <w:r>
              <w:rPr>
                <w:rFonts w:hint="eastAsia"/>
                <w:color w:val="auto"/>
                <w:sz w:val="24"/>
                <w:highlight w:val="none"/>
              </w:rPr>
              <w:t>；</w:t>
            </w:r>
          </w:p>
          <w:p w14:paraId="4946187D">
            <w:pPr>
              <w:adjustRightInd w:val="0"/>
              <w:snapToGrid w:val="0"/>
              <w:spacing w:line="360" w:lineRule="auto"/>
              <w:ind w:firstLine="480" w:firstLineChars="200"/>
              <w:rPr>
                <w:color w:val="auto"/>
                <w:sz w:val="24"/>
                <w:highlight w:val="none"/>
              </w:rPr>
            </w:pPr>
            <w:r>
              <w:rPr>
                <w:rFonts w:hint="eastAsia"/>
                <w:color w:val="auto"/>
                <w:sz w:val="24"/>
                <w:highlight w:val="none"/>
              </w:rPr>
              <w:t>L</w:t>
            </w:r>
            <w:r>
              <w:rPr>
                <w:color w:val="auto"/>
                <w:sz w:val="24"/>
                <w:highlight w:val="none"/>
              </w:rPr>
              <w:t>——</w:t>
            </w:r>
            <w:r>
              <w:rPr>
                <w:rFonts w:hint="eastAsia"/>
                <w:color w:val="auto"/>
                <w:sz w:val="24"/>
                <w:highlight w:val="none"/>
              </w:rPr>
              <w:t>运输距离，km</w:t>
            </w:r>
            <w:r>
              <w:rPr>
                <w:color w:val="auto"/>
                <w:sz w:val="24"/>
                <w:highlight w:val="none"/>
              </w:rPr>
              <w:t>。</w:t>
            </w:r>
          </w:p>
          <w:p w14:paraId="669B31B5">
            <w:pPr>
              <w:adjustRightInd w:val="0"/>
              <w:spacing w:line="360" w:lineRule="auto"/>
              <w:ind w:firstLine="480" w:firstLineChars="200"/>
              <w:rPr>
                <w:color w:val="auto"/>
                <w:sz w:val="24"/>
                <w:highlight w:val="none"/>
              </w:rPr>
            </w:pPr>
            <w:r>
              <w:rPr>
                <w:rFonts w:hint="eastAsia"/>
                <w:color w:val="auto"/>
                <w:sz w:val="24"/>
                <w:highlight w:val="none"/>
                <w:lang w:eastAsia="zh-CN"/>
              </w:rPr>
              <w:t>运输</w:t>
            </w:r>
            <w:r>
              <w:rPr>
                <w:color w:val="auto"/>
                <w:sz w:val="24"/>
                <w:highlight w:val="none"/>
              </w:rPr>
              <w:t>车辆在厂区内</w:t>
            </w:r>
            <w:r>
              <w:rPr>
                <w:rFonts w:hint="eastAsia"/>
                <w:color w:val="auto"/>
                <w:sz w:val="24"/>
                <w:highlight w:val="none"/>
              </w:rPr>
              <w:t>累计</w:t>
            </w:r>
            <w:r>
              <w:rPr>
                <w:color w:val="auto"/>
                <w:sz w:val="24"/>
                <w:highlight w:val="none"/>
              </w:rPr>
              <w:t>行驶距离按</w:t>
            </w:r>
            <w:r>
              <w:rPr>
                <w:rFonts w:hint="eastAsia"/>
                <w:color w:val="auto"/>
                <w:sz w:val="24"/>
                <w:highlight w:val="none"/>
              </w:rPr>
              <w:t>200m</w:t>
            </w:r>
            <w:r>
              <w:rPr>
                <w:color w:val="auto"/>
                <w:sz w:val="24"/>
                <w:highlight w:val="none"/>
              </w:rPr>
              <w:t>计，厂区道路表面粉尘量按0.2kg/m</w:t>
            </w:r>
            <w:r>
              <w:rPr>
                <w:color w:val="auto"/>
                <w:sz w:val="24"/>
                <w:highlight w:val="none"/>
                <w:vertAlign w:val="superscript"/>
              </w:rPr>
              <w:t>2</w:t>
            </w:r>
            <w:r>
              <w:rPr>
                <w:rFonts w:hint="eastAsia"/>
                <w:color w:val="auto"/>
                <w:sz w:val="24"/>
                <w:highlight w:val="none"/>
              </w:rPr>
              <w:t>，车速以5</w:t>
            </w:r>
            <w:r>
              <w:rPr>
                <w:color w:val="auto"/>
                <w:kern w:val="28"/>
                <w:sz w:val="24"/>
                <w:highlight w:val="none"/>
              </w:rPr>
              <w:t>km/h</w:t>
            </w:r>
            <w:r>
              <w:rPr>
                <w:color w:val="auto"/>
                <w:sz w:val="24"/>
                <w:highlight w:val="none"/>
              </w:rPr>
              <w:t>计</w:t>
            </w:r>
            <w:r>
              <w:rPr>
                <w:rFonts w:hint="eastAsia"/>
                <w:color w:val="auto"/>
                <w:sz w:val="24"/>
                <w:highlight w:val="none"/>
                <w:lang w:eastAsia="zh-CN"/>
              </w:rPr>
              <w:t>；现有工程</w:t>
            </w:r>
            <w:r>
              <w:rPr>
                <w:rFonts w:hint="eastAsia"/>
                <w:color w:val="auto"/>
                <w:sz w:val="24"/>
                <w:highlight w:val="none"/>
              </w:rPr>
              <w:t>原料、成品</w:t>
            </w:r>
            <w:r>
              <w:rPr>
                <w:rFonts w:hint="eastAsia"/>
                <w:color w:val="auto"/>
                <w:sz w:val="24"/>
                <w:highlight w:val="none"/>
                <w:lang w:eastAsia="zh-CN"/>
              </w:rPr>
              <w:t>合计</w:t>
            </w:r>
            <w:r>
              <w:rPr>
                <w:rFonts w:hint="eastAsia"/>
                <w:color w:val="auto"/>
                <w:sz w:val="24"/>
                <w:highlight w:val="none"/>
              </w:rPr>
              <w:t>运输量约</w:t>
            </w:r>
            <w:r>
              <w:rPr>
                <w:rFonts w:hint="eastAsia"/>
                <w:color w:val="auto"/>
                <w:sz w:val="24"/>
                <w:highlight w:val="none"/>
                <w:lang w:val="en-US" w:eastAsia="zh-CN"/>
              </w:rPr>
              <w:t>70</w:t>
            </w:r>
            <w:r>
              <w:rPr>
                <w:rFonts w:hint="eastAsia"/>
                <w:color w:val="auto"/>
                <w:sz w:val="24"/>
                <w:highlight w:val="none"/>
              </w:rPr>
              <w:t>万t，汽车载重量约20t/辆。</w:t>
            </w:r>
            <w:r>
              <w:rPr>
                <w:color w:val="auto"/>
                <w:sz w:val="24"/>
                <w:highlight w:val="none"/>
              </w:rPr>
              <w:t>经计算，厂区道路汽车运输扬尘</w:t>
            </w:r>
            <w:r>
              <w:rPr>
                <w:rFonts w:hint="eastAsia"/>
                <w:color w:val="auto"/>
                <w:sz w:val="24"/>
                <w:highlight w:val="none"/>
                <w:lang w:eastAsia="zh-CN"/>
              </w:rPr>
              <w:t>产生</w:t>
            </w:r>
            <w:r>
              <w:rPr>
                <w:color w:val="auto"/>
                <w:sz w:val="24"/>
                <w:highlight w:val="none"/>
              </w:rPr>
              <w:t>量</w:t>
            </w:r>
            <w:r>
              <w:rPr>
                <w:rFonts w:hint="eastAsia"/>
                <w:color w:val="auto"/>
                <w:sz w:val="24"/>
                <w:highlight w:val="none"/>
              </w:rPr>
              <w:t>约</w:t>
            </w:r>
            <w:r>
              <w:rPr>
                <w:rFonts w:hint="eastAsia"/>
                <w:color w:val="auto"/>
                <w:sz w:val="24"/>
                <w:highlight w:val="none"/>
                <w:lang w:val="en-US" w:eastAsia="zh-CN"/>
              </w:rPr>
              <w:t>1.0</w:t>
            </w:r>
            <w:r>
              <w:rPr>
                <w:color w:val="auto"/>
                <w:sz w:val="24"/>
                <w:highlight w:val="none"/>
              </w:rPr>
              <w:t>t/a。</w:t>
            </w:r>
          </w:p>
          <w:p w14:paraId="18EC1873">
            <w:pPr>
              <w:adjustRightInd w:val="0"/>
              <w:spacing w:line="360" w:lineRule="auto"/>
              <w:ind w:firstLine="482" w:firstLineChars="200"/>
              <w:rPr>
                <w:rFonts w:hint="eastAsia"/>
                <w:color w:val="auto"/>
                <w:kern w:val="0"/>
                <w:sz w:val="24"/>
                <w:highlight w:val="none"/>
                <w:lang w:val="en-US" w:eastAsia="zh-CN"/>
              </w:rPr>
            </w:pPr>
            <w:r>
              <w:rPr>
                <w:rFonts w:hint="eastAsia" w:ascii="宋体" w:hAnsi="宋体" w:cs="宋体"/>
                <w:b/>
                <w:bCs/>
                <w:color w:val="auto"/>
                <w:kern w:val="0"/>
                <w:sz w:val="24"/>
                <w:highlight w:val="none"/>
              </w:rPr>
              <w:t>治理措施：</w:t>
            </w:r>
            <w:r>
              <w:rPr>
                <w:rFonts w:hint="eastAsia" w:ascii="宋体" w:hAnsi="宋体" w:cs="宋体"/>
                <w:b w:val="0"/>
                <w:bCs w:val="0"/>
                <w:color w:val="auto"/>
                <w:kern w:val="0"/>
                <w:sz w:val="24"/>
                <w:highlight w:val="none"/>
                <w:lang w:eastAsia="zh-CN"/>
              </w:rPr>
              <w:t>目前厂区主干道已硬化，运行期间进行定期洒水和车辆冲洗，可有效</w:t>
            </w:r>
            <w:r>
              <w:rPr>
                <w:color w:val="auto"/>
                <w:sz w:val="24"/>
                <w:highlight w:val="none"/>
              </w:rPr>
              <w:t>减少汽车运输扬尘</w:t>
            </w:r>
            <w:r>
              <w:rPr>
                <w:rFonts w:hint="eastAsia" w:ascii="宋体" w:hAnsi="宋体" w:cs="宋体"/>
                <w:b w:val="0"/>
                <w:bCs w:val="0"/>
                <w:color w:val="auto"/>
                <w:kern w:val="0"/>
                <w:sz w:val="24"/>
                <w:highlight w:val="none"/>
                <w:lang w:eastAsia="zh-CN"/>
              </w:rPr>
              <w:t>。通过</w:t>
            </w:r>
            <w:r>
              <w:rPr>
                <w:color w:val="auto"/>
                <w:sz w:val="24"/>
                <w:highlight w:val="none"/>
              </w:rPr>
              <w:t>采取</w:t>
            </w:r>
            <w:r>
              <w:rPr>
                <w:rFonts w:hint="eastAsia"/>
                <w:color w:val="auto"/>
                <w:sz w:val="24"/>
                <w:highlight w:val="none"/>
              </w:rPr>
              <w:t>车辆冲洗、</w:t>
            </w:r>
            <w:r>
              <w:rPr>
                <w:color w:val="auto"/>
                <w:sz w:val="24"/>
                <w:highlight w:val="none"/>
              </w:rPr>
              <w:t>洒水抑尘</w:t>
            </w:r>
            <w:r>
              <w:rPr>
                <w:rFonts w:hint="eastAsia"/>
                <w:color w:val="auto"/>
                <w:sz w:val="24"/>
                <w:highlight w:val="none"/>
              </w:rPr>
              <w:t>等</w:t>
            </w:r>
            <w:r>
              <w:rPr>
                <w:color w:val="auto"/>
                <w:sz w:val="24"/>
                <w:highlight w:val="none"/>
              </w:rPr>
              <w:t>措施后，扬尘量</w:t>
            </w:r>
            <w:r>
              <w:rPr>
                <w:rFonts w:hint="eastAsia"/>
                <w:color w:val="auto"/>
                <w:sz w:val="24"/>
                <w:highlight w:val="none"/>
                <w:lang w:eastAsia="zh-CN"/>
              </w:rPr>
              <w:t>预计可</w:t>
            </w:r>
            <w:r>
              <w:rPr>
                <w:color w:val="auto"/>
                <w:sz w:val="24"/>
                <w:highlight w:val="none"/>
              </w:rPr>
              <w:t>减少</w:t>
            </w:r>
            <w:r>
              <w:rPr>
                <w:rFonts w:hint="eastAsia"/>
                <w:color w:val="auto"/>
                <w:sz w:val="24"/>
                <w:highlight w:val="none"/>
              </w:rPr>
              <w:t>8</w:t>
            </w:r>
            <w:r>
              <w:rPr>
                <w:color w:val="auto"/>
                <w:sz w:val="24"/>
                <w:highlight w:val="none"/>
              </w:rPr>
              <w:t>0%左右，则汽车运输扬尘</w:t>
            </w:r>
            <w:r>
              <w:rPr>
                <w:rFonts w:hint="eastAsia"/>
                <w:color w:val="auto"/>
                <w:sz w:val="24"/>
                <w:highlight w:val="none"/>
                <w:lang w:eastAsia="zh-CN"/>
              </w:rPr>
              <w:t>排放</w:t>
            </w:r>
            <w:r>
              <w:rPr>
                <w:color w:val="auto"/>
                <w:sz w:val="24"/>
                <w:highlight w:val="none"/>
              </w:rPr>
              <w:t>量约</w:t>
            </w:r>
            <w:r>
              <w:rPr>
                <w:rFonts w:hint="eastAsia"/>
                <w:color w:val="auto"/>
                <w:sz w:val="24"/>
                <w:highlight w:val="none"/>
                <w:lang w:val="en-US" w:eastAsia="zh-CN"/>
              </w:rPr>
              <w:t>0.2</w:t>
            </w:r>
            <w:r>
              <w:rPr>
                <w:color w:val="auto"/>
                <w:sz w:val="24"/>
                <w:highlight w:val="none"/>
              </w:rPr>
              <w:t>t/a。</w:t>
            </w:r>
          </w:p>
          <w:p w14:paraId="28949002">
            <w:pPr>
              <w:spacing w:line="360" w:lineRule="auto"/>
              <w:ind w:firstLine="480"/>
              <w:rPr>
                <w:rFonts w:hint="eastAsia"/>
                <w:color w:val="auto"/>
                <w:kern w:val="0"/>
                <w:sz w:val="24"/>
                <w:highlight w:val="none"/>
                <w:lang w:val="en-US" w:eastAsia="zh-CN"/>
              </w:rPr>
            </w:pPr>
            <w:r>
              <w:rPr>
                <w:rFonts w:hint="eastAsia"/>
                <w:color w:val="auto"/>
                <w:kern w:val="0"/>
                <w:sz w:val="24"/>
                <w:highlight w:val="none"/>
                <w:lang w:val="en-US" w:eastAsia="zh-CN"/>
              </w:rPr>
              <w:t>（3）加工粉尘</w:t>
            </w:r>
          </w:p>
          <w:p w14:paraId="03C1EF40">
            <w:pPr>
              <w:pStyle w:val="2"/>
              <w:spacing w:line="360" w:lineRule="auto"/>
              <w:ind w:firstLine="482" w:firstLineChars="200"/>
              <w:rPr>
                <w:rFonts w:hint="eastAsia" w:ascii="Times New Roman" w:hAnsi="Times New Roman" w:cs="Times New Roman"/>
                <w:color w:val="auto"/>
                <w:highlight w:val="none"/>
                <w:lang w:val="en-US" w:eastAsia="zh-CN"/>
              </w:rPr>
            </w:pPr>
            <w:r>
              <w:rPr>
                <w:rFonts w:hint="eastAsia"/>
                <w:b/>
                <w:bCs/>
                <w:color w:val="auto"/>
                <w:highlight w:val="none"/>
                <w:lang w:val="en-US" w:eastAsia="zh-CN"/>
              </w:rPr>
              <w:t>排放情况：</w:t>
            </w:r>
            <w:r>
              <w:rPr>
                <w:rFonts w:hint="eastAsia"/>
                <w:color w:val="auto"/>
                <w:highlight w:val="none"/>
                <w:lang w:val="en-US" w:eastAsia="zh-CN"/>
              </w:rPr>
              <w:t>本次对现有工程运营期间，有组织废气进行了监测，排放速率最大为</w:t>
            </w:r>
            <w:r>
              <w:rPr>
                <w:rFonts w:hint="default" w:ascii="Times New Roman" w:hAnsi="Times New Roman" w:cs="Times New Roman"/>
                <w:color w:val="auto"/>
                <w:highlight w:val="none"/>
                <w:lang w:val="en-US" w:eastAsia="zh-CN"/>
              </w:rPr>
              <w:t>0.05kg/h</w:t>
            </w:r>
            <w:r>
              <w:rPr>
                <w:rFonts w:hint="eastAsia"/>
                <w:color w:val="auto"/>
                <w:highlight w:val="none"/>
                <w:lang w:val="en-US" w:eastAsia="zh-CN"/>
              </w:rPr>
              <w:t>。结合企业年生产天数（</w:t>
            </w:r>
            <w:r>
              <w:rPr>
                <w:rFonts w:hint="default" w:ascii="Times New Roman" w:hAnsi="Times New Roman" w:cs="Times New Roman"/>
                <w:color w:val="auto"/>
                <w:highlight w:val="none"/>
                <w:lang w:val="en-US" w:eastAsia="zh-CN"/>
              </w:rPr>
              <w:t>2400/h</w:t>
            </w:r>
            <w:r>
              <w:rPr>
                <w:rFonts w:hint="eastAsia"/>
                <w:color w:val="auto"/>
                <w:highlight w:val="none"/>
                <w:lang w:val="en-US" w:eastAsia="zh-CN"/>
              </w:rPr>
              <w:t>），则有组织废气排放量最大为</w:t>
            </w:r>
            <w:r>
              <w:rPr>
                <w:rFonts w:hint="default" w:ascii="Times New Roman" w:hAnsi="Times New Roman" w:cs="Times New Roman"/>
                <w:color w:val="auto"/>
                <w:highlight w:val="none"/>
                <w:lang w:val="en-US" w:eastAsia="zh-CN"/>
              </w:rPr>
              <w:t>0.12t/a</w:t>
            </w:r>
            <w:r>
              <w:rPr>
                <w:rFonts w:hint="eastAsia" w:ascii="Times New Roman" w:hAnsi="Times New Roman" w:cs="Times New Roman"/>
                <w:color w:val="auto"/>
                <w:highlight w:val="none"/>
                <w:lang w:val="en-US" w:eastAsia="zh-CN"/>
              </w:rPr>
              <w:t>。由于现有工程加工粉尘收集效率为90%，采用的除尘器效率为99%，因此无组织粉尘排放量为1.33t/a、排放速率为0.55kg/h。</w:t>
            </w:r>
          </w:p>
          <w:p w14:paraId="1F39FA52">
            <w:pPr>
              <w:pStyle w:val="2"/>
              <w:spacing w:line="360" w:lineRule="auto"/>
              <w:ind w:firstLine="482" w:firstLineChars="200"/>
              <w:rPr>
                <w:rFonts w:hint="default" w:ascii="Times New Roman" w:hAnsi="Times New Roman" w:cs="Times New Roman"/>
                <w:color w:val="auto"/>
                <w:highlight w:val="none"/>
                <w:lang w:val="en-US" w:eastAsia="zh-CN"/>
              </w:rPr>
            </w:pPr>
            <w:r>
              <w:rPr>
                <w:rFonts w:hint="eastAsia"/>
                <w:b/>
                <w:bCs/>
                <w:color w:val="auto"/>
                <w:highlight w:val="none"/>
                <w:lang w:val="en-US" w:eastAsia="zh-CN"/>
              </w:rPr>
              <w:t>治理措施：</w:t>
            </w:r>
            <w:r>
              <w:rPr>
                <w:rFonts w:hint="eastAsia"/>
                <w:color w:val="auto"/>
                <w:highlight w:val="none"/>
                <w:lang w:val="en-US" w:eastAsia="zh-CN"/>
              </w:rPr>
              <w:t>生产车间各产尘点均布置有集气设施，统一收集后经车间中央布袋除尘器处理后通</w:t>
            </w:r>
            <w:r>
              <w:rPr>
                <w:rFonts w:hint="default" w:ascii="Times New Roman" w:hAnsi="Times New Roman" w:cs="Times New Roman"/>
                <w:color w:val="auto"/>
                <w:highlight w:val="none"/>
                <w:lang w:val="en-US" w:eastAsia="zh-CN"/>
              </w:rPr>
              <w:t>过1根15m排气筒（DA001）排放。</w:t>
            </w:r>
          </w:p>
          <w:p w14:paraId="5CD16698">
            <w:pPr>
              <w:pStyle w:val="2"/>
              <w:spacing w:line="360" w:lineRule="auto"/>
              <w:ind w:firstLine="482" w:firstLineChars="20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达标性分析：</w:t>
            </w:r>
            <w:r>
              <w:rPr>
                <w:rFonts w:hint="eastAsia" w:ascii="Times New Roman" w:hAnsi="Times New Roman" w:cs="Times New Roman"/>
                <w:b w:val="0"/>
                <w:bCs w:val="0"/>
                <w:color w:val="auto"/>
                <w:highlight w:val="none"/>
                <w:lang w:val="en-US" w:eastAsia="zh-CN"/>
              </w:rPr>
              <w:t>根据前文现有工程废气监测结果（详见表2-8和2-9）可知，现有工程运行期间有组织废气排放口颗粒物监测结果满足《大气污染物综合排放标准》（GB16297-1996）表2中的排放限值要求，无组织粉尘满足《大气污染物综合排放标准》（GB16297-1996）表2中的排放限值要求。因此，现有工程运营期间，废气可做到达标排放。</w:t>
            </w:r>
          </w:p>
          <w:p w14:paraId="26BA7431">
            <w:pPr>
              <w:pStyle w:val="2"/>
              <w:spacing w:line="360" w:lineRule="auto"/>
              <w:ind w:firstLine="482" w:firstLineChars="200"/>
              <w:rPr>
                <w:rFonts w:hint="eastAsia"/>
                <w:color w:val="auto"/>
                <w:sz w:val="24"/>
                <w:highlight w:val="none"/>
                <w:lang w:eastAsia="zh-CN"/>
              </w:rPr>
            </w:pPr>
            <w:r>
              <w:rPr>
                <w:rFonts w:hint="eastAsia" w:ascii="Times New Roman" w:hAnsi="Times New Roman" w:cs="Times New Roman"/>
                <w:b/>
                <w:bCs/>
                <w:color w:val="auto"/>
                <w:highlight w:val="none"/>
                <w:lang w:val="en-US" w:eastAsia="zh-CN"/>
              </w:rPr>
              <w:t>可行性分析：</w:t>
            </w:r>
            <w:r>
              <w:rPr>
                <w:rFonts w:hint="eastAsia" w:ascii="Times New Roman" w:hAnsi="Times New Roman" w:cs="Times New Roman"/>
                <w:b w:val="0"/>
                <w:bCs w:val="0"/>
                <w:color w:val="auto"/>
                <w:highlight w:val="none"/>
                <w:lang w:val="en-US" w:eastAsia="zh-CN"/>
              </w:rPr>
              <w:t>由于无本行业《排污许可申请与核发技术规范》相关规定，参照《排放源统计调查产排污核算方法和系数手册》（生态环境部）中“3039 其他建筑材料制造行业”，岩石、矿石、建筑固体废弃物等破碎、筛分工艺中采用袋式除尘技术可行，效率可达99%。此外，通过采取行业中常见的抑尘措施（合理控制装卸高度、堆存区三面封闭+顶棚或封闭处理）可</w:t>
            </w:r>
            <w:r>
              <w:rPr>
                <w:rFonts w:hint="eastAsia"/>
                <w:color w:val="auto"/>
                <w:sz w:val="24"/>
                <w:highlight w:val="none"/>
              </w:rPr>
              <w:t>有效降低粉尘产生量</w:t>
            </w:r>
            <w:r>
              <w:rPr>
                <w:rFonts w:hint="eastAsia" w:ascii="Times New Roman" w:hAnsi="Times New Roman" w:cs="Times New Roman"/>
                <w:b w:val="0"/>
                <w:bCs w:val="0"/>
                <w:color w:val="auto"/>
                <w:highlight w:val="none"/>
                <w:lang w:val="en-US" w:eastAsia="zh-CN"/>
              </w:rPr>
              <w:t>。</w:t>
            </w:r>
            <w:r>
              <w:rPr>
                <w:rFonts w:hint="eastAsia"/>
                <w:color w:val="auto"/>
                <w:sz w:val="24"/>
                <w:highlight w:val="none"/>
                <w:lang w:eastAsia="zh-CN"/>
              </w:rPr>
              <w:t>另有组织和无组织粉尘可做到达标排放，因此</w:t>
            </w:r>
            <w:r>
              <w:rPr>
                <w:rFonts w:hint="eastAsia"/>
                <w:color w:val="auto"/>
                <w:sz w:val="24"/>
                <w:highlight w:val="none"/>
              </w:rPr>
              <w:t>该方法可行</w:t>
            </w:r>
            <w:r>
              <w:rPr>
                <w:rFonts w:hint="eastAsia"/>
                <w:color w:val="auto"/>
                <w:sz w:val="24"/>
                <w:highlight w:val="none"/>
                <w:lang w:eastAsia="zh-CN"/>
              </w:rPr>
              <w:t>。</w:t>
            </w:r>
          </w:p>
          <w:p w14:paraId="1B7874FC">
            <w:pPr>
              <w:pStyle w:val="2"/>
              <w:numPr>
                <w:ilvl w:val="0"/>
                <w:numId w:val="0"/>
              </w:num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eastAsia"/>
                <w:color w:val="auto"/>
                <w:sz w:val="24"/>
                <w:highlight w:val="none"/>
                <w:lang w:eastAsia="zh-CN"/>
              </w:rPr>
              <w:t>）食堂油烟</w:t>
            </w:r>
          </w:p>
          <w:p w14:paraId="3F45881B">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eastAsia="zh-CN"/>
              </w:rPr>
              <w:t>目前厂区有</w:t>
            </w:r>
            <w:r>
              <w:rPr>
                <w:rFonts w:hint="default" w:ascii="Times New Roman" w:hAnsi="Times New Roman" w:cs="Times New Roman"/>
                <w:color w:val="auto"/>
                <w:sz w:val="24"/>
                <w:highlight w:val="none"/>
              </w:rPr>
              <w:t>食堂1个，</w:t>
            </w:r>
            <w:r>
              <w:rPr>
                <w:rFonts w:hint="eastAsia" w:cs="Times New Roman"/>
                <w:color w:val="auto"/>
                <w:sz w:val="24"/>
                <w:highlight w:val="none"/>
                <w:lang w:eastAsia="zh-CN"/>
              </w:rPr>
              <w:t>日常</w:t>
            </w:r>
            <w:r>
              <w:rPr>
                <w:rFonts w:hint="default" w:ascii="Times New Roman" w:hAnsi="Times New Roman" w:cs="Times New Roman"/>
                <w:color w:val="auto"/>
                <w:sz w:val="24"/>
                <w:highlight w:val="none"/>
              </w:rPr>
              <w:t>就餐人数为</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人，</w:t>
            </w:r>
            <w:r>
              <w:rPr>
                <w:rFonts w:hint="eastAsia" w:cs="Times New Roman"/>
                <w:color w:val="auto"/>
                <w:sz w:val="24"/>
                <w:highlight w:val="none"/>
                <w:lang w:eastAsia="zh-CN"/>
              </w:rPr>
              <w:t>采用电为能源。食堂</w:t>
            </w:r>
            <w:r>
              <w:rPr>
                <w:rFonts w:hint="default" w:ascii="Times New Roman" w:hAnsi="Times New Roman" w:cs="Times New Roman"/>
                <w:color w:val="auto"/>
                <w:sz w:val="24"/>
                <w:highlight w:val="none"/>
              </w:rPr>
              <w:t>每天工作约</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h，每年工作</w:t>
            </w:r>
            <w:r>
              <w:rPr>
                <w:rFonts w:hint="eastAsia"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天。食堂食用油耗油系数以0.03kg/人·d计，则本项目餐饮食用油消耗量为0.</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kg/d</w:t>
            </w:r>
            <w:r>
              <w:rPr>
                <w:rFonts w:hint="eastAsia" w:cs="Times New Roman"/>
                <w:color w:val="auto"/>
                <w:sz w:val="24"/>
                <w:highlight w:val="none"/>
                <w:lang w:eastAsia="zh-CN"/>
              </w:rPr>
              <w:t>（</w:t>
            </w:r>
            <w:r>
              <w:rPr>
                <w:rFonts w:hint="eastAsia" w:cs="Times New Roman"/>
                <w:color w:val="auto"/>
                <w:sz w:val="24"/>
                <w:highlight w:val="none"/>
                <w:lang w:val="en-US" w:eastAsia="zh-CN"/>
              </w:rPr>
              <w:t>72kg</w:t>
            </w:r>
            <w:r>
              <w:rPr>
                <w:rFonts w:hint="default" w:ascii="Times New Roman" w:hAnsi="Times New Roman" w:cs="Times New Roman"/>
                <w:color w:val="auto"/>
                <w:sz w:val="24"/>
                <w:highlight w:val="none"/>
              </w:rPr>
              <w:t>/a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。油烟挥发量占总耗油量的2%～4%之间，本</w:t>
            </w:r>
            <w:r>
              <w:rPr>
                <w:rFonts w:hint="eastAsia" w:cs="Times New Roman"/>
                <w:color w:val="auto"/>
                <w:sz w:val="24"/>
                <w:highlight w:val="none"/>
                <w:lang w:eastAsia="zh-CN"/>
              </w:rPr>
              <w:t>次</w:t>
            </w:r>
            <w:r>
              <w:rPr>
                <w:rFonts w:hint="default" w:ascii="Times New Roman" w:hAnsi="Times New Roman" w:cs="Times New Roman"/>
                <w:color w:val="auto"/>
                <w:sz w:val="24"/>
                <w:highlight w:val="none"/>
              </w:rPr>
              <w:t>取</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%，则餐饮油烟年产生量为</w:t>
            </w:r>
            <w:r>
              <w:rPr>
                <w:rFonts w:hint="eastAsia" w:cs="Times New Roman"/>
                <w:color w:val="auto"/>
                <w:sz w:val="24"/>
                <w:highlight w:val="none"/>
                <w:lang w:val="en-US" w:eastAsia="zh-CN"/>
              </w:rPr>
              <w:t>2.16</w:t>
            </w:r>
            <w:r>
              <w:rPr>
                <w:rFonts w:hint="default" w:ascii="Times New Roman" w:hAnsi="Times New Roman" w:cs="Times New Roman"/>
                <w:color w:val="auto"/>
                <w:sz w:val="24"/>
                <w:highlight w:val="none"/>
              </w:rPr>
              <w:t>kg/a。烹饪时间按</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h/d计，则</w:t>
            </w:r>
            <w:r>
              <w:rPr>
                <w:rFonts w:hint="eastAsia" w:cs="Times New Roman"/>
                <w:color w:val="auto"/>
                <w:sz w:val="24"/>
                <w:highlight w:val="none"/>
                <w:lang w:eastAsia="zh-CN"/>
              </w:rPr>
              <w:t>现有工程运营期间</w:t>
            </w:r>
            <w:r>
              <w:rPr>
                <w:rFonts w:hint="default" w:ascii="Times New Roman" w:hAnsi="Times New Roman" w:cs="Times New Roman"/>
                <w:color w:val="auto"/>
                <w:sz w:val="24"/>
                <w:highlight w:val="none"/>
              </w:rPr>
              <w:t>油烟</w:t>
            </w:r>
            <w:r>
              <w:rPr>
                <w:rFonts w:hint="eastAsia" w:ascii="Times New Roman" w:hAnsi="Times New Roman" w:cs="Times New Roman"/>
                <w:color w:val="auto"/>
                <w:sz w:val="24"/>
                <w:highlight w:val="none"/>
                <w:lang w:val="en-US" w:eastAsia="zh-CN"/>
              </w:rPr>
              <w:t>产生</w:t>
            </w:r>
            <w:r>
              <w:rPr>
                <w:rFonts w:hint="default" w:ascii="Times New Roman" w:hAnsi="Times New Roman" w:cs="Times New Roman"/>
                <w:color w:val="auto"/>
                <w:sz w:val="24"/>
                <w:highlight w:val="none"/>
              </w:rPr>
              <w:t>量为0.0</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kg/h</w:t>
            </w:r>
            <w:r>
              <w:rPr>
                <w:rFonts w:hint="eastAsia" w:cs="Times New Roman"/>
                <w:color w:val="auto"/>
                <w:sz w:val="24"/>
                <w:highlight w:val="none"/>
                <w:lang w:eastAsia="zh-CN"/>
              </w:rPr>
              <w:t>。目前采用抽油烟机（风量为</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/h计</w:t>
            </w:r>
            <w:r>
              <w:rPr>
                <w:rFonts w:hint="eastAsia" w:cs="Times New Roman"/>
                <w:color w:val="auto"/>
                <w:sz w:val="24"/>
                <w:highlight w:val="none"/>
                <w:lang w:eastAsia="zh-CN"/>
              </w:rPr>
              <w:t>）处理后通过屋顶排放，则油烟排放浓度为</w:t>
            </w:r>
            <w:r>
              <w:rPr>
                <w:rFonts w:hint="eastAsia" w:cs="Times New Roman"/>
                <w:color w:val="auto"/>
                <w:sz w:val="24"/>
                <w:highlight w:val="none"/>
                <w:lang w:val="en-US" w:eastAsia="zh-CN"/>
              </w:rPr>
              <w:t>0.96</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w:t>
            </w:r>
            <w:r>
              <w:rPr>
                <w:rFonts w:hint="default" w:ascii="Times New Roman" w:hAnsi="Times New Roman" w:cs="Times New Roman"/>
                <w:color w:val="auto"/>
                <w:sz w:val="24"/>
                <w:highlight w:val="none"/>
              </w:rPr>
              <w:t>满足《饮</w:t>
            </w:r>
            <w:r>
              <w:rPr>
                <w:rFonts w:hint="default" w:ascii="Times New Roman" w:hAnsi="Times New Roman" w:cs="Times New Roman"/>
                <w:color w:val="auto"/>
                <w:spacing w:val="-4"/>
                <w:sz w:val="24"/>
                <w:highlight w:val="none"/>
              </w:rPr>
              <w:t>食业油烟排放标准（试</w:t>
            </w:r>
            <w:r>
              <w:rPr>
                <w:rFonts w:hint="default" w:ascii="Times New Roman" w:hAnsi="Times New Roman" w:eastAsia="宋体" w:cs="Times New Roman"/>
                <w:color w:val="auto"/>
                <w:kern w:val="2"/>
                <w:sz w:val="24"/>
                <w:szCs w:val="24"/>
                <w:highlight w:val="none"/>
                <w:lang w:val="en-US" w:eastAsia="zh-CN" w:bidi="ar-SA"/>
              </w:rPr>
              <w:t>行）》（GB18483-2001）中的小型标准限值（2.0mg/m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），对周围环境影响较小。</w:t>
            </w:r>
          </w:p>
          <w:p w14:paraId="427392E3">
            <w:pPr>
              <w:pStyle w:val="2"/>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综上，现有工程运行期间，废气已做到达标排放，对周边外环境影响较小。</w:t>
            </w:r>
          </w:p>
          <w:p w14:paraId="253D7399">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2、新增工程废气产排情况</w:t>
            </w:r>
          </w:p>
          <w:p w14:paraId="473CFF83">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（1）物料装卸及堆存粉尘</w:t>
            </w:r>
          </w:p>
          <w:p w14:paraId="64023671">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A.物料装车粉尘</w:t>
            </w:r>
          </w:p>
          <w:p w14:paraId="08896625">
            <w:pPr>
              <w:spacing w:line="360" w:lineRule="auto"/>
              <w:ind w:firstLine="480"/>
              <w:rPr>
                <w:rFonts w:hint="eastAsia" w:eastAsia="宋体"/>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物料装车机械落差的起尘量</w:t>
            </w:r>
            <w:r>
              <w:rPr>
                <w:color w:val="auto"/>
                <w:sz w:val="24"/>
                <w:highlight w:val="none"/>
              </w:rPr>
              <w:t>推荐采用交通部水运研究所和武汉水运工程学院提出的铲装起尘量的经验公式估算，经验公式为</w:t>
            </w:r>
            <w:r>
              <w:rPr>
                <w:rFonts w:hint="eastAsia"/>
                <w:color w:val="auto"/>
                <w:sz w:val="24"/>
                <w:highlight w:val="none"/>
                <w:lang w:eastAsia="zh-CN"/>
              </w:rPr>
              <w:t>：</w:t>
            </w:r>
          </w:p>
          <w:p w14:paraId="6AD972ED">
            <w:pPr>
              <w:adjustRightInd w:val="0"/>
              <w:snapToGrid w:val="0"/>
              <w:spacing w:line="360" w:lineRule="auto"/>
              <w:ind w:firstLine="2640" w:firstLineChars="1100"/>
              <w:rPr>
                <w:color w:val="auto"/>
                <w:sz w:val="24"/>
                <w:highlight w:val="none"/>
              </w:rPr>
            </w:pPr>
            <w:r>
              <w:rPr>
                <w:color w:val="auto"/>
                <w:sz w:val="24"/>
                <w:highlight w:val="none"/>
              </w:rPr>
              <w:t>Q=1/t·0.03U</w:t>
            </w:r>
            <w:r>
              <w:rPr>
                <w:color w:val="auto"/>
                <w:sz w:val="24"/>
                <w:highlight w:val="none"/>
                <w:vertAlign w:val="superscript"/>
              </w:rPr>
              <w:t>1.6</w:t>
            </w:r>
            <w:r>
              <w:rPr>
                <w:color w:val="auto"/>
                <w:sz w:val="24"/>
                <w:highlight w:val="none"/>
              </w:rPr>
              <w:t>H</w:t>
            </w:r>
            <w:r>
              <w:rPr>
                <w:color w:val="auto"/>
                <w:sz w:val="24"/>
                <w:highlight w:val="none"/>
                <w:vertAlign w:val="superscript"/>
              </w:rPr>
              <w:t>1.23</w:t>
            </w:r>
            <w:r>
              <w:rPr>
                <w:color w:val="auto"/>
                <w:sz w:val="24"/>
                <w:highlight w:val="none"/>
              </w:rPr>
              <w:t>e</w:t>
            </w:r>
            <w:r>
              <w:rPr>
                <w:color w:val="auto"/>
                <w:sz w:val="24"/>
                <w:highlight w:val="none"/>
                <w:vertAlign w:val="superscript"/>
              </w:rPr>
              <w:t>-0.28w</w:t>
            </w:r>
          </w:p>
          <w:p w14:paraId="1C780A52">
            <w:pPr>
              <w:adjustRightInd w:val="0"/>
              <w:snapToGrid w:val="0"/>
              <w:spacing w:line="360" w:lineRule="auto"/>
              <w:ind w:firstLine="480" w:firstLineChars="200"/>
              <w:rPr>
                <w:color w:val="auto"/>
                <w:sz w:val="24"/>
                <w:highlight w:val="none"/>
              </w:rPr>
            </w:pPr>
            <w:r>
              <w:rPr>
                <w:color w:val="auto"/>
                <w:sz w:val="24"/>
                <w:highlight w:val="none"/>
              </w:rPr>
              <w:t>式中：Q—物料机械落差起尘量，kg/s；</w:t>
            </w:r>
          </w:p>
          <w:p w14:paraId="21CB55CE">
            <w:pPr>
              <w:adjustRightInd w:val="0"/>
              <w:snapToGrid w:val="0"/>
              <w:spacing w:line="360" w:lineRule="auto"/>
              <w:ind w:firstLine="1200" w:firstLineChars="500"/>
              <w:rPr>
                <w:color w:val="auto"/>
                <w:sz w:val="24"/>
                <w:highlight w:val="none"/>
              </w:rPr>
            </w:pPr>
            <w:r>
              <w:rPr>
                <w:color w:val="auto"/>
                <w:sz w:val="24"/>
                <w:highlight w:val="none"/>
              </w:rPr>
              <w:t>H—物料落差，0.5m；</w:t>
            </w:r>
          </w:p>
          <w:p w14:paraId="278772E3">
            <w:pPr>
              <w:adjustRightInd w:val="0"/>
              <w:snapToGrid w:val="0"/>
              <w:spacing w:line="360" w:lineRule="auto"/>
              <w:ind w:firstLine="1200" w:firstLineChars="500"/>
              <w:rPr>
                <w:color w:val="auto"/>
                <w:sz w:val="24"/>
                <w:highlight w:val="none"/>
              </w:rPr>
            </w:pPr>
            <w:r>
              <w:rPr>
                <w:color w:val="auto"/>
                <w:sz w:val="24"/>
                <w:highlight w:val="none"/>
              </w:rPr>
              <w:t>U—地面平均风速，m/s，本次取1.0m/s；</w:t>
            </w:r>
          </w:p>
          <w:p w14:paraId="7196665B">
            <w:pPr>
              <w:adjustRightInd w:val="0"/>
              <w:snapToGrid w:val="0"/>
              <w:spacing w:line="360" w:lineRule="auto"/>
              <w:ind w:firstLine="1200" w:firstLineChars="500"/>
              <w:rPr>
                <w:color w:val="auto"/>
                <w:sz w:val="24"/>
                <w:highlight w:val="none"/>
              </w:rPr>
            </w:pPr>
            <w:r>
              <w:rPr>
                <w:color w:val="auto"/>
                <w:sz w:val="24"/>
                <w:highlight w:val="none"/>
              </w:rPr>
              <w:t>W—物料含水，%，取10%；</w:t>
            </w:r>
          </w:p>
          <w:p w14:paraId="7FB46F8E">
            <w:pPr>
              <w:adjustRightInd w:val="0"/>
              <w:snapToGrid w:val="0"/>
              <w:spacing w:line="360" w:lineRule="auto"/>
              <w:ind w:firstLine="1200" w:firstLineChars="500"/>
              <w:rPr>
                <w:color w:val="auto"/>
                <w:sz w:val="24"/>
                <w:highlight w:val="none"/>
              </w:rPr>
            </w:pPr>
            <w:r>
              <w:rPr>
                <w:color w:val="auto"/>
                <w:sz w:val="24"/>
                <w:highlight w:val="none"/>
              </w:rPr>
              <w:t>t—每吨物料装车所用时间t/s，5s。</w:t>
            </w:r>
          </w:p>
          <w:p w14:paraId="58F32F5B">
            <w:pPr>
              <w:adjustRightInd w:val="0"/>
              <w:snapToGrid w:val="0"/>
              <w:spacing w:line="360" w:lineRule="auto"/>
              <w:ind w:firstLine="480" w:firstLineChars="200"/>
              <w:rPr>
                <w:color w:val="auto"/>
                <w:sz w:val="24"/>
                <w:highlight w:val="none"/>
              </w:rPr>
            </w:pPr>
            <w:r>
              <w:rPr>
                <w:color w:val="auto"/>
                <w:sz w:val="24"/>
                <w:highlight w:val="none"/>
              </w:rPr>
              <w:t>经计算，</w:t>
            </w:r>
            <w:r>
              <w:rPr>
                <w:rFonts w:hint="eastAsia"/>
                <w:color w:val="auto"/>
                <w:sz w:val="24"/>
                <w:highlight w:val="none"/>
              </w:rPr>
              <w:t>物料装车</w:t>
            </w:r>
            <w:r>
              <w:rPr>
                <w:color w:val="auto"/>
                <w:sz w:val="24"/>
                <w:highlight w:val="none"/>
              </w:rPr>
              <w:t>起尘量约为1.5×10</w:t>
            </w:r>
            <w:r>
              <w:rPr>
                <w:color w:val="auto"/>
                <w:sz w:val="24"/>
                <w:highlight w:val="none"/>
                <w:vertAlign w:val="superscript"/>
              </w:rPr>
              <w:t>-4</w:t>
            </w:r>
            <w:r>
              <w:rPr>
                <w:color w:val="auto"/>
                <w:sz w:val="24"/>
                <w:highlight w:val="none"/>
              </w:rPr>
              <w:t>kg/s，本项目</w:t>
            </w:r>
            <w:r>
              <w:rPr>
                <w:rFonts w:hint="eastAsia"/>
                <w:color w:val="auto"/>
                <w:sz w:val="24"/>
                <w:highlight w:val="none"/>
                <w:lang w:eastAsia="zh-CN"/>
              </w:rPr>
              <w:t>新增工程成品</w:t>
            </w:r>
            <w:r>
              <w:rPr>
                <w:rFonts w:hint="eastAsia"/>
                <w:color w:val="auto"/>
                <w:sz w:val="24"/>
                <w:highlight w:val="none"/>
              </w:rPr>
              <w:t>装车</w:t>
            </w:r>
            <w:r>
              <w:rPr>
                <w:color w:val="auto"/>
                <w:sz w:val="24"/>
                <w:highlight w:val="none"/>
              </w:rPr>
              <w:t>量</w:t>
            </w:r>
            <w:r>
              <w:rPr>
                <w:rFonts w:hint="eastAsia"/>
                <w:color w:val="auto"/>
                <w:sz w:val="24"/>
                <w:highlight w:val="none"/>
              </w:rPr>
              <w:t>为2</w:t>
            </w:r>
            <w:r>
              <w:rPr>
                <w:rFonts w:hint="eastAsia"/>
                <w:color w:val="auto"/>
                <w:sz w:val="24"/>
                <w:highlight w:val="none"/>
                <w:lang w:val="en-US" w:eastAsia="zh-CN"/>
              </w:rPr>
              <w:t>6</w:t>
            </w:r>
            <w:r>
              <w:rPr>
                <w:color w:val="auto"/>
                <w:sz w:val="24"/>
                <w:highlight w:val="none"/>
              </w:rPr>
              <w:t>万t/a，装车总时间约为</w:t>
            </w:r>
            <w:r>
              <w:rPr>
                <w:rFonts w:hint="eastAsia"/>
                <w:color w:val="auto"/>
                <w:sz w:val="24"/>
                <w:highlight w:val="none"/>
                <w:lang w:val="en-US" w:eastAsia="zh-CN"/>
              </w:rPr>
              <w:t>52000</w:t>
            </w:r>
            <w:r>
              <w:rPr>
                <w:color w:val="auto"/>
                <w:sz w:val="24"/>
                <w:highlight w:val="none"/>
              </w:rPr>
              <w:t>s，则粉尘产生量为</w:t>
            </w:r>
            <w:r>
              <w:rPr>
                <w:rFonts w:hint="eastAsia"/>
                <w:color w:val="auto"/>
                <w:sz w:val="24"/>
                <w:highlight w:val="none"/>
                <w:lang w:val="en-US" w:eastAsia="zh-CN"/>
              </w:rPr>
              <w:t>7.8</w:t>
            </w:r>
            <w:r>
              <w:rPr>
                <w:color w:val="auto"/>
                <w:sz w:val="24"/>
                <w:highlight w:val="none"/>
              </w:rPr>
              <w:t>kg/a。</w:t>
            </w:r>
          </w:p>
          <w:p w14:paraId="466158BB">
            <w:pPr>
              <w:adjustRightInd w:val="0"/>
              <w:snapToGrid w:val="0"/>
              <w:spacing w:line="360" w:lineRule="auto"/>
              <w:ind w:firstLine="482"/>
              <w:rPr>
                <w:color w:val="auto"/>
                <w:sz w:val="24"/>
                <w:highlight w:val="none"/>
              </w:rPr>
            </w:pPr>
            <w:r>
              <w:rPr>
                <w:color w:val="auto"/>
                <w:sz w:val="24"/>
                <w:highlight w:val="none"/>
              </w:rPr>
              <w:t>B.卸车</w:t>
            </w:r>
            <w:r>
              <w:rPr>
                <w:rFonts w:hint="eastAsia"/>
                <w:color w:val="auto"/>
                <w:sz w:val="24"/>
                <w:highlight w:val="none"/>
              </w:rPr>
              <w:t>粉尘</w:t>
            </w:r>
          </w:p>
          <w:p w14:paraId="7A7F792B">
            <w:pPr>
              <w:adjustRightInd w:val="0"/>
              <w:snapToGrid w:val="0"/>
              <w:spacing w:line="360" w:lineRule="auto"/>
              <w:ind w:firstLine="482"/>
              <w:rPr>
                <w:color w:val="auto"/>
                <w:sz w:val="24"/>
                <w:highlight w:val="none"/>
              </w:rPr>
            </w:pPr>
            <w:r>
              <w:rPr>
                <w:color w:val="auto"/>
                <w:sz w:val="24"/>
                <w:highlight w:val="none"/>
              </w:rPr>
              <w:t>自卸汽车卸料起尘量，推荐选用山西环保科研所、武汉水运工程学院提出的经验公式估算，经验公式为：</w:t>
            </w:r>
          </w:p>
          <w:p w14:paraId="33BADCC8">
            <w:pPr>
              <w:snapToGrid w:val="0"/>
              <w:spacing w:line="360" w:lineRule="auto"/>
              <w:ind w:firstLine="3060" w:firstLineChars="1275"/>
              <w:rPr>
                <w:color w:val="auto"/>
                <w:sz w:val="24"/>
                <w:szCs w:val="22"/>
                <w:highlight w:val="none"/>
              </w:rPr>
            </w:pPr>
            <w:r>
              <w:rPr>
                <w:color w:val="auto"/>
                <w:sz w:val="24"/>
                <w:szCs w:val="22"/>
                <w:highlight w:val="none"/>
              </w:rPr>
              <w:t>Q=e</w:t>
            </w:r>
            <w:r>
              <w:rPr>
                <w:color w:val="auto"/>
                <w:sz w:val="24"/>
                <w:szCs w:val="22"/>
                <w:highlight w:val="none"/>
                <w:vertAlign w:val="superscript"/>
              </w:rPr>
              <w:t>0.61u</w:t>
            </w:r>
            <w:r>
              <w:rPr>
                <w:color w:val="auto"/>
                <w:sz w:val="24"/>
                <w:szCs w:val="22"/>
                <w:highlight w:val="none"/>
              </w:rPr>
              <w:t>（M/13.5）</w:t>
            </w:r>
          </w:p>
          <w:p w14:paraId="41C6195C">
            <w:pPr>
              <w:snapToGrid w:val="0"/>
              <w:spacing w:line="360" w:lineRule="auto"/>
              <w:ind w:firstLine="420" w:firstLineChars="175"/>
              <w:rPr>
                <w:color w:val="auto"/>
                <w:sz w:val="24"/>
                <w:szCs w:val="22"/>
                <w:highlight w:val="none"/>
              </w:rPr>
            </w:pPr>
            <w:r>
              <w:rPr>
                <w:color w:val="auto"/>
                <w:sz w:val="24"/>
                <w:szCs w:val="22"/>
                <w:highlight w:val="none"/>
              </w:rPr>
              <w:t>式中：Q——自卸汽车卸料起尘量，g/次；</w:t>
            </w:r>
          </w:p>
          <w:p w14:paraId="0D592AFD">
            <w:pPr>
              <w:snapToGrid w:val="0"/>
              <w:spacing w:line="360" w:lineRule="auto"/>
              <w:ind w:firstLine="1200" w:firstLineChars="500"/>
              <w:rPr>
                <w:color w:val="auto"/>
                <w:sz w:val="24"/>
                <w:szCs w:val="22"/>
                <w:highlight w:val="none"/>
              </w:rPr>
            </w:pPr>
            <w:r>
              <w:rPr>
                <w:color w:val="auto"/>
                <w:sz w:val="24"/>
                <w:szCs w:val="22"/>
                <w:highlight w:val="none"/>
              </w:rPr>
              <w:t>U——平均风速（m/s），1；</w:t>
            </w:r>
          </w:p>
          <w:p w14:paraId="63CA31B3">
            <w:pPr>
              <w:snapToGrid w:val="0"/>
              <w:spacing w:line="360" w:lineRule="auto"/>
              <w:ind w:firstLine="1200" w:firstLineChars="500"/>
              <w:rPr>
                <w:color w:val="auto"/>
                <w:sz w:val="24"/>
                <w:szCs w:val="22"/>
                <w:highlight w:val="none"/>
              </w:rPr>
            </w:pPr>
            <w:r>
              <w:rPr>
                <w:color w:val="auto"/>
                <w:sz w:val="24"/>
                <w:szCs w:val="22"/>
                <w:highlight w:val="none"/>
              </w:rPr>
              <w:t>M——汽车卸料量，t，</w:t>
            </w:r>
            <w:r>
              <w:rPr>
                <w:rFonts w:hint="eastAsia"/>
                <w:color w:val="auto"/>
                <w:sz w:val="24"/>
                <w:szCs w:val="22"/>
                <w:highlight w:val="none"/>
              </w:rPr>
              <w:t>3</w:t>
            </w:r>
            <w:r>
              <w:rPr>
                <w:color w:val="auto"/>
                <w:sz w:val="24"/>
                <w:szCs w:val="22"/>
                <w:highlight w:val="none"/>
              </w:rPr>
              <w:t>0。</w:t>
            </w:r>
          </w:p>
          <w:p w14:paraId="1F52AF87">
            <w:pPr>
              <w:snapToGrid w:val="0"/>
              <w:spacing w:line="360" w:lineRule="auto"/>
              <w:ind w:firstLine="480" w:firstLineChars="200"/>
              <w:rPr>
                <w:color w:val="auto"/>
                <w:sz w:val="24"/>
                <w:szCs w:val="22"/>
                <w:highlight w:val="none"/>
              </w:rPr>
            </w:pPr>
            <w:r>
              <w:rPr>
                <w:color w:val="auto"/>
                <w:sz w:val="24"/>
                <w:szCs w:val="22"/>
                <w:highlight w:val="none"/>
              </w:rPr>
              <w:t>本项目</w:t>
            </w:r>
            <w:r>
              <w:rPr>
                <w:rFonts w:hint="eastAsia"/>
                <w:color w:val="auto"/>
                <w:sz w:val="24"/>
                <w:highlight w:val="none"/>
                <w:lang w:eastAsia="zh-CN"/>
              </w:rPr>
              <w:t>新增工程</w:t>
            </w:r>
            <w:r>
              <w:rPr>
                <w:rFonts w:hint="eastAsia"/>
                <w:color w:val="auto"/>
                <w:sz w:val="24"/>
                <w:szCs w:val="22"/>
                <w:highlight w:val="none"/>
              </w:rPr>
              <w:t>进厂原料约</w:t>
            </w:r>
            <w:r>
              <w:rPr>
                <w:color w:val="auto"/>
                <w:sz w:val="24"/>
                <w:szCs w:val="22"/>
                <w:highlight w:val="none"/>
              </w:rPr>
              <w:t>为</w:t>
            </w:r>
            <w:r>
              <w:rPr>
                <w:rFonts w:hint="eastAsia"/>
                <w:color w:val="auto"/>
                <w:sz w:val="24"/>
                <w:szCs w:val="22"/>
                <w:highlight w:val="none"/>
                <w:lang w:val="en-US" w:eastAsia="zh-CN"/>
              </w:rPr>
              <w:t>26</w:t>
            </w:r>
            <w:r>
              <w:rPr>
                <w:color w:val="auto"/>
                <w:sz w:val="24"/>
                <w:szCs w:val="22"/>
                <w:highlight w:val="none"/>
              </w:rPr>
              <w:t>万t/a，转运次数</w:t>
            </w:r>
            <w:r>
              <w:rPr>
                <w:rFonts w:hint="eastAsia"/>
                <w:color w:val="auto"/>
                <w:sz w:val="24"/>
                <w:szCs w:val="22"/>
                <w:highlight w:val="none"/>
              </w:rPr>
              <w:t>约</w:t>
            </w:r>
            <w:r>
              <w:rPr>
                <w:color w:val="auto"/>
                <w:sz w:val="24"/>
                <w:szCs w:val="22"/>
                <w:highlight w:val="none"/>
              </w:rPr>
              <w:t>为</w:t>
            </w:r>
            <w:r>
              <w:rPr>
                <w:rFonts w:hint="eastAsia"/>
                <w:color w:val="auto"/>
                <w:sz w:val="24"/>
                <w:szCs w:val="22"/>
                <w:highlight w:val="none"/>
                <w:lang w:val="en-US" w:eastAsia="zh-CN"/>
              </w:rPr>
              <w:t>8667</w:t>
            </w:r>
            <w:r>
              <w:rPr>
                <w:color w:val="auto"/>
                <w:sz w:val="24"/>
                <w:szCs w:val="22"/>
                <w:highlight w:val="none"/>
              </w:rPr>
              <w:t>次，则卸车粉尘量约为</w:t>
            </w:r>
            <w:r>
              <w:rPr>
                <w:rFonts w:hint="eastAsia"/>
                <w:color w:val="auto"/>
                <w:sz w:val="24"/>
                <w:szCs w:val="22"/>
                <w:highlight w:val="none"/>
                <w:lang w:val="en-US" w:eastAsia="zh-CN"/>
              </w:rPr>
              <w:t>35.45</w:t>
            </w:r>
            <w:r>
              <w:rPr>
                <w:color w:val="auto"/>
                <w:sz w:val="24"/>
                <w:szCs w:val="22"/>
                <w:highlight w:val="none"/>
              </w:rPr>
              <w:t>kg/a。</w:t>
            </w:r>
          </w:p>
          <w:p w14:paraId="5A10C8AA">
            <w:pPr>
              <w:spacing w:line="360" w:lineRule="auto"/>
              <w:ind w:firstLine="480"/>
              <w:rPr>
                <w:color w:val="auto"/>
                <w:sz w:val="24"/>
                <w:highlight w:val="none"/>
              </w:rPr>
            </w:pPr>
            <w:r>
              <w:rPr>
                <w:rFonts w:hint="eastAsia"/>
                <w:color w:val="auto"/>
                <w:sz w:val="24"/>
                <w:highlight w:val="none"/>
              </w:rPr>
              <w:t>C.堆存粉尘</w:t>
            </w:r>
          </w:p>
          <w:p w14:paraId="47F4AD6B">
            <w:pPr>
              <w:spacing w:line="360" w:lineRule="auto"/>
              <w:ind w:firstLine="480"/>
              <w:rPr>
                <w:rFonts w:hint="eastAsia"/>
                <w:color w:val="auto"/>
                <w:sz w:val="24"/>
                <w:highlight w:val="none"/>
                <w:lang w:eastAsia="zh-CN"/>
              </w:rPr>
            </w:pPr>
            <w:r>
              <w:rPr>
                <w:rFonts w:hint="eastAsia"/>
                <w:color w:val="auto"/>
                <w:sz w:val="24"/>
                <w:highlight w:val="none"/>
                <w:lang w:eastAsia="zh-CN"/>
              </w:rPr>
              <w:t>根据现场调查，厂区生产车间（仅保留出入口，剩余全封闭）内现有成品堆场一个，尚有近一半的闲置区域，足以堆存本次新增的产品；此外，</w:t>
            </w:r>
            <w:r>
              <w:rPr>
                <w:color w:val="auto"/>
                <w:sz w:val="24"/>
                <w:highlight w:val="none"/>
              </w:rPr>
              <w:t>本次评价要求建设单位对</w:t>
            </w:r>
            <w:r>
              <w:rPr>
                <w:rFonts w:hint="eastAsia"/>
                <w:color w:val="auto"/>
                <w:sz w:val="24"/>
                <w:highlight w:val="none"/>
                <w:lang w:eastAsia="zh-CN"/>
              </w:rPr>
              <w:t>新增</w:t>
            </w:r>
            <w:r>
              <w:rPr>
                <w:rFonts w:hint="eastAsia"/>
                <w:color w:val="auto"/>
                <w:sz w:val="24"/>
                <w:highlight w:val="none"/>
              </w:rPr>
              <w:t>原料</w:t>
            </w:r>
            <w:r>
              <w:rPr>
                <w:rFonts w:hint="eastAsia"/>
                <w:color w:val="auto"/>
                <w:sz w:val="24"/>
                <w:highlight w:val="none"/>
                <w:lang w:eastAsia="zh-CN"/>
              </w:rPr>
              <w:t>区进行</w:t>
            </w:r>
            <w:r>
              <w:rPr>
                <w:color w:val="auto"/>
                <w:sz w:val="24"/>
                <w:highlight w:val="none"/>
              </w:rPr>
              <w:t>三面封闭</w:t>
            </w:r>
            <w:r>
              <w:rPr>
                <w:rFonts w:hint="eastAsia"/>
                <w:color w:val="auto"/>
                <w:sz w:val="24"/>
                <w:highlight w:val="none"/>
                <w:lang w:val="en-US" w:eastAsia="zh-CN"/>
              </w:rPr>
              <w:t>+顶棚处理</w:t>
            </w:r>
            <w:r>
              <w:rPr>
                <w:rFonts w:hint="eastAsia"/>
                <w:color w:val="auto"/>
                <w:sz w:val="24"/>
                <w:highlight w:val="none"/>
                <w:lang w:eastAsia="zh-CN"/>
              </w:rPr>
              <w:t>。</w:t>
            </w:r>
            <w:r>
              <w:rPr>
                <w:color w:val="auto"/>
                <w:sz w:val="24"/>
                <w:highlight w:val="none"/>
              </w:rPr>
              <w:t>采取上述措施后，</w:t>
            </w:r>
            <w:r>
              <w:rPr>
                <w:rFonts w:hint="eastAsia"/>
                <w:color w:val="auto"/>
                <w:sz w:val="24"/>
                <w:highlight w:val="none"/>
              </w:rPr>
              <w:t>物料堆存粉尘</w:t>
            </w:r>
            <w:r>
              <w:rPr>
                <w:color w:val="auto"/>
                <w:sz w:val="24"/>
                <w:highlight w:val="none"/>
              </w:rPr>
              <w:t>产生量较小，且在</w:t>
            </w:r>
            <w:r>
              <w:rPr>
                <w:rFonts w:hint="eastAsia"/>
                <w:color w:val="auto"/>
                <w:sz w:val="24"/>
                <w:highlight w:val="none"/>
              </w:rPr>
              <w:t>堆存区</w:t>
            </w:r>
            <w:r>
              <w:rPr>
                <w:color w:val="auto"/>
                <w:sz w:val="24"/>
                <w:highlight w:val="none"/>
              </w:rPr>
              <w:t>内自然沉降</w:t>
            </w:r>
            <w:r>
              <w:rPr>
                <w:rFonts w:hint="eastAsia"/>
                <w:color w:val="auto"/>
                <w:sz w:val="24"/>
                <w:highlight w:val="none"/>
              </w:rPr>
              <w:t>，故本次暂不进行堆存过程粉尘的定量计算。</w:t>
            </w:r>
          </w:p>
          <w:p w14:paraId="12BFAE88">
            <w:pPr>
              <w:spacing w:line="360" w:lineRule="auto"/>
              <w:ind w:firstLine="480"/>
              <w:rPr>
                <w:color w:val="auto"/>
                <w:kern w:val="0"/>
                <w:sz w:val="24"/>
                <w:highlight w:val="none"/>
              </w:rPr>
            </w:pPr>
            <w:r>
              <w:rPr>
                <w:rFonts w:hint="eastAsia"/>
                <w:color w:val="auto"/>
                <w:sz w:val="24"/>
                <w:highlight w:val="none"/>
              </w:rPr>
              <w:t>综上，</w:t>
            </w:r>
            <w:r>
              <w:rPr>
                <w:color w:val="auto"/>
                <w:sz w:val="24"/>
                <w:highlight w:val="none"/>
              </w:rPr>
              <w:t>本项目</w:t>
            </w:r>
            <w:r>
              <w:rPr>
                <w:rFonts w:hint="eastAsia"/>
                <w:color w:val="auto"/>
                <w:sz w:val="24"/>
                <w:highlight w:val="none"/>
                <w:lang w:eastAsia="zh-CN"/>
              </w:rPr>
              <w:t>新增工程</w:t>
            </w:r>
            <w:r>
              <w:rPr>
                <w:rFonts w:hint="eastAsia"/>
                <w:color w:val="auto"/>
                <w:sz w:val="24"/>
                <w:highlight w:val="none"/>
              </w:rPr>
              <w:t>物</w:t>
            </w:r>
            <w:r>
              <w:rPr>
                <w:color w:val="auto"/>
                <w:sz w:val="24"/>
                <w:highlight w:val="none"/>
              </w:rPr>
              <w:t>料</w:t>
            </w:r>
            <w:r>
              <w:rPr>
                <w:rFonts w:hint="eastAsia"/>
                <w:color w:val="auto"/>
                <w:sz w:val="24"/>
                <w:highlight w:val="none"/>
              </w:rPr>
              <w:t>装卸、堆存粉尘合计产生</w:t>
            </w:r>
            <w:r>
              <w:rPr>
                <w:color w:val="auto"/>
                <w:sz w:val="24"/>
                <w:highlight w:val="none"/>
              </w:rPr>
              <w:t>量</w:t>
            </w:r>
            <w:r>
              <w:rPr>
                <w:rFonts w:hint="eastAsia"/>
                <w:color w:val="auto"/>
                <w:sz w:val="24"/>
                <w:highlight w:val="none"/>
              </w:rPr>
              <w:t>约合0.</w:t>
            </w:r>
            <w:r>
              <w:rPr>
                <w:rFonts w:hint="eastAsia"/>
                <w:color w:val="auto"/>
                <w:sz w:val="24"/>
                <w:highlight w:val="none"/>
                <w:lang w:val="en-US" w:eastAsia="zh-CN"/>
              </w:rPr>
              <w:t>043t</w:t>
            </w:r>
            <w:r>
              <w:rPr>
                <w:color w:val="auto"/>
                <w:sz w:val="24"/>
                <w:highlight w:val="none"/>
              </w:rPr>
              <w:t>/a</w:t>
            </w:r>
            <w:r>
              <w:rPr>
                <w:rFonts w:hint="eastAsia"/>
                <w:color w:val="auto"/>
                <w:sz w:val="24"/>
                <w:highlight w:val="none"/>
              </w:rPr>
              <w:t>。</w:t>
            </w:r>
          </w:p>
          <w:p w14:paraId="65C816CC">
            <w:pPr>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rPr>
              <w:t>治理措施：</w:t>
            </w:r>
            <w:r>
              <w:rPr>
                <w:rFonts w:hint="eastAsia"/>
                <w:color w:val="auto"/>
                <w:kern w:val="0"/>
                <w:sz w:val="24"/>
                <w:highlight w:val="none"/>
              </w:rPr>
              <w:t>物料装车</w:t>
            </w:r>
            <w:r>
              <w:rPr>
                <w:rFonts w:hint="eastAsia"/>
                <w:color w:val="auto"/>
                <w:kern w:val="0"/>
                <w:sz w:val="24"/>
                <w:highlight w:val="none"/>
                <w:lang w:eastAsia="zh-CN"/>
              </w:rPr>
              <w:t>在封闭区间内（仅保留出入口），</w:t>
            </w:r>
            <w:r>
              <w:rPr>
                <w:rFonts w:hint="eastAsia"/>
                <w:color w:val="auto"/>
                <w:kern w:val="0"/>
                <w:sz w:val="24"/>
                <w:highlight w:val="none"/>
              </w:rPr>
              <w:t>卸车</w:t>
            </w:r>
            <w:r>
              <w:rPr>
                <w:color w:val="auto"/>
                <w:kern w:val="28"/>
                <w:sz w:val="24"/>
                <w:szCs w:val="22"/>
                <w:highlight w:val="none"/>
              </w:rPr>
              <w:t>过程在半封闭</w:t>
            </w:r>
            <w:r>
              <w:rPr>
                <w:rFonts w:hint="eastAsia"/>
                <w:color w:val="auto"/>
                <w:kern w:val="28"/>
                <w:sz w:val="24"/>
                <w:szCs w:val="22"/>
                <w:highlight w:val="none"/>
                <w:lang w:eastAsia="zh-CN"/>
              </w:rPr>
              <w:t>区域</w:t>
            </w:r>
            <w:r>
              <w:rPr>
                <w:color w:val="auto"/>
                <w:kern w:val="28"/>
                <w:sz w:val="24"/>
                <w:szCs w:val="22"/>
                <w:highlight w:val="none"/>
              </w:rPr>
              <w:t>内</w:t>
            </w:r>
            <w:r>
              <w:rPr>
                <w:rFonts w:hint="eastAsia"/>
                <w:color w:val="auto"/>
                <w:kern w:val="28"/>
                <w:sz w:val="24"/>
                <w:szCs w:val="22"/>
                <w:highlight w:val="none"/>
                <w:lang w:eastAsia="zh-CN"/>
              </w:rPr>
              <w:t>。</w:t>
            </w:r>
            <w:r>
              <w:rPr>
                <w:color w:val="auto"/>
                <w:sz w:val="24"/>
                <w:highlight w:val="none"/>
              </w:rPr>
              <w:t>根据《固体物料堆存颗粒物产排污核算系数手册》附录</w:t>
            </w:r>
            <w:r>
              <w:rPr>
                <w:rFonts w:hint="eastAsia"/>
                <w:color w:val="auto"/>
                <w:sz w:val="24"/>
                <w:highlight w:val="none"/>
                <w:lang w:val="en-US" w:eastAsia="zh-CN"/>
              </w:rPr>
              <w:t>5堆场类型控制效率可知，密闭式控制效率为99%（</w:t>
            </w:r>
            <w:r>
              <w:rPr>
                <w:rFonts w:hint="eastAsia"/>
                <w:color w:val="auto"/>
                <w:sz w:val="24"/>
                <w:highlight w:val="none"/>
                <w:lang w:eastAsia="zh-CN"/>
              </w:rPr>
              <w:t>由于装车在封闭区间内，仅保留出入口，故本次按</w:t>
            </w:r>
            <w:r>
              <w:rPr>
                <w:rFonts w:hint="eastAsia"/>
                <w:color w:val="auto"/>
                <w:sz w:val="24"/>
                <w:highlight w:val="none"/>
                <w:lang w:val="en-US" w:eastAsia="zh-CN"/>
              </w:rPr>
              <w:t>90%考虑）、半敞开式控制效率为60%，综合计算</w:t>
            </w:r>
            <w:r>
              <w:rPr>
                <w:rFonts w:hint="eastAsia"/>
                <w:color w:val="auto"/>
                <w:kern w:val="28"/>
                <w:sz w:val="24"/>
                <w:szCs w:val="22"/>
                <w:highlight w:val="none"/>
              </w:rPr>
              <w:t>装卸过程粉尘排放量约合0.0</w:t>
            </w:r>
            <w:r>
              <w:rPr>
                <w:rFonts w:hint="eastAsia"/>
                <w:color w:val="auto"/>
                <w:kern w:val="28"/>
                <w:sz w:val="24"/>
                <w:szCs w:val="22"/>
                <w:highlight w:val="none"/>
                <w:lang w:val="en-US" w:eastAsia="zh-CN"/>
              </w:rPr>
              <w:t>15</w:t>
            </w:r>
            <w:r>
              <w:rPr>
                <w:rFonts w:hint="eastAsia"/>
                <w:color w:val="auto"/>
                <w:kern w:val="28"/>
                <w:sz w:val="24"/>
                <w:szCs w:val="22"/>
                <w:highlight w:val="none"/>
              </w:rPr>
              <w:t>t</w:t>
            </w:r>
            <w:r>
              <w:rPr>
                <w:color w:val="auto"/>
                <w:sz w:val="24"/>
                <w:highlight w:val="none"/>
              </w:rPr>
              <w:t>/a</w:t>
            </w:r>
            <w:r>
              <w:rPr>
                <w:color w:val="auto"/>
                <w:sz w:val="24"/>
                <w:szCs w:val="22"/>
                <w:highlight w:val="none"/>
              </w:rPr>
              <w:t>。</w:t>
            </w:r>
          </w:p>
          <w:p w14:paraId="18A22EB4">
            <w:pPr>
              <w:adjustRightInd w:val="0"/>
              <w:snapToGrid w:val="0"/>
              <w:spacing w:line="360" w:lineRule="auto"/>
              <w:ind w:firstLine="482" w:firstLineChars="200"/>
              <w:rPr>
                <w:color w:val="auto"/>
                <w:sz w:val="24"/>
                <w:highlight w:val="none"/>
              </w:rPr>
            </w:pPr>
            <w:r>
              <w:rPr>
                <w:rFonts w:hint="eastAsia"/>
                <w:b/>
                <w:bCs/>
                <w:color w:val="auto"/>
                <w:kern w:val="0"/>
                <w:sz w:val="24"/>
                <w:highlight w:val="none"/>
              </w:rPr>
              <w:t>可行性分析：</w:t>
            </w:r>
            <w:r>
              <w:rPr>
                <w:color w:val="auto"/>
                <w:sz w:val="24"/>
                <w:highlight w:val="none"/>
              </w:rPr>
              <w:t>通过合理控制</w:t>
            </w:r>
            <w:r>
              <w:rPr>
                <w:rFonts w:hint="eastAsia"/>
                <w:color w:val="auto"/>
                <w:sz w:val="24"/>
                <w:highlight w:val="none"/>
              </w:rPr>
              <w:t>卸料</w:t>
            </w:r>
            <w:r>
              <w:rPr>
                <w:color w:val="auto"/>
                <w:sz w:val="24"/>
                <w:highlight w:val="none"/>
              </w:rPr>
              <w:t>高度</w:t>
            </w:r>
            <w:r>
              <w:rPr>
                <w:rFonts w:hint="eastAsia"/>
                <w:color w:val="auto"/>
                <w:sz w:val="24"/>
                <w:highlight w:val="none"/>
                <w:lang w:eastAsia="zh-CN"/>
              </w:rPr>
              <w:t>、</w:t>
            </w:r>
            <w:r>
              <w:rPr>
                <w:rFonts w:hint="eastAsia"/>
                <w:color w:val="auto"/>
                <w:sz w:val="24"/>
                <w:highlight w:val="none"/>
              </w:rPr>
              <w:t>原料区采取</w:t>
            </w:r>
            <w:r>
              <w:rPr>
                <w:color w:val="auto"/>
                <w:sz w:val="24"/>
                <w:highlight w:val="none"/>
              </w:rPr>
              <w:t>三面封闭</w:t>
            </w:r>
            <w:r>
              <w:rPr>
                <w:rFonts w:hint="eastAsia"/>
                <w:color w:val="auto"/>
                <w:sz w:val="24"/>
                <w:highlight w:val="none"/>
                <w:lang w:val="en-US" w:eastAsia="zh-CN"/>
              </w:rPr>
              <w:t>+顶棚处理、</w:t>
            </w:r>
            <w:r>
              <w:rPr>
                <w:rFonts w:hint="eastAsia"/>
                <w:color w:val="auto"/>
                <w:sz w:val="24"/>
                <w:highlight w:val="none"/>
                <w:lang w:eastAsia="zh-CN"/>
              </w:rPr>
              <w:t>成品区封闭</w:t>
            </w:r>
            <w:r>
              <w:rPr>
                <w:rFonts w:hint="eastAsia"/>
                <w:color w:val="auto"/>
                <w:sz w:val="24"/>
                <w:highlight w:val="none"/>
              </w:rPr>
              <w:t>，可有效控制物</w:t>
            </w:r>
            <w:r>
              <w:rPr>
                <w:color w:val="auto"/>
                <w:sz w:val="24"/>
                <w:highlight w:val="none"/>
              </w:rPr>
              <w:t>料</w:t>
            </w:r>
            <w:r>
              <w:rPr>
                <w:rFonts w:hint="eastAsia"/>
                <w:color w:val="auto"/>
                <w:sz w:val="24"/>
                <w:highlight w:val="none"/>
              </w:rPr>
              <w:t>装卸、堆存粉尘产生量，对外环境影响不大，因此上述环保措施可行。</w:t>
            </w:r>
          </w:p>
          <w:p w14:paraId="5F67B983">
            <w:pPr>
              <w:adjustRightInd w:val="0"/>
              <w:snapToGrid w:val="0"/>
              <w:spacing w:line="360" w:lineRule="auto"/>
              <w:ind w:firstLine="480" w:firstLineChars="200"/>
              <w:rPr>
                <w:bCs/>
                <w:color w:val="auto"/>
                <w:sz w:val="24"/>
                <w:highlight w:val="none"/>
              </w:rPr>
            </w:pPr>
            <w:r>
              <w:rPr>
                <w:rFonts w:hint="eastAsia"/>
                <w:bCs/>
                <w:color w:val="auto"/>
                <w:sz w:val="24"/>
                <w:highlight w:val="none"/>
                <w:lang w:eastAsia="zh-CN"/>
              </w:rPr>
              <w:t>（</w:t>
            </w:r>
            <w:r>
              <w:rPr>
                <w:rFonts w:hint="eastAsia"/>
                <w:bCs/>
                <w:color w:val="auto"/>
                <w:sz w:val="24"/>
                <w:highlight w:val="none"/>
                <w:lang w:val="en-US" w:eastAsia="zh-CN"/>
              </w:rPr>
              <w:t>2</w:t>
            </w:r>
            <w:r>
              <w:rPr>
                <w:rFonts w:hint="eastAsia"/>
                <w:bCs/>
                <w:color w:val="auto"/>
                <w:sz w:val="24"/>
                <w:highlight w:val="none"/>
                <w:lang w:eastAsia="zh-CN"/>
              </w:rPr>
              <w:t>）加工</w:t>
            </w:r>
            <w:r>
              <w:rPr>
                <w:rFonts w:hint="eastAsia"/>
                <w:bCs/>
                <w:color w:val="auto"/>
                <w:sz w:val="24"/>
                <w:highlight w:val="none"/>
              </w:rPr>
              <w:t>粉尘</w:t>
            </w:r>
          </w:p>
          <w:p w14:paraId="50ABDC4D">
            <w:pPr>
              <w:snapToGrid w:val="0"/>
              <w:spacing w:line="360" w:lineRule="auto"/>
              <w:ind w:firstLine="482" w:firstLineChars="200"/>
              <w:rPr>
                <w:rFonts w:hint="eastAsia"/>
                <w:b w:val="0"/>
                <w:bCs w:val="0"/>
                <w:color w:val="auto"/>
                <w:sz w:val="24"/>
                <w:highlight w:val="none"/>
                <w:lang w:val="en-US" w:eastAsia="zh-CN"/>
              </w:rPr>
            </w:pPr>
            <w:r>
              <w:rPr>
                <w:rFonts w:hint="eastAsia"/>
                <w:b/>
                <w:bCs/>
                <w:color w:val="auto"/>
                <w:sz w:val="24"/>
                <w:highlight w:val="none"/>
              </w:rPr>
              <w:t>源强核算：</w:t>
            </w:r>
            <w:r>
              <w:rPr>
                <w:rFonts w:hint="eastAsia"/>
                <w:b w:val="0"/>
                <w:bCs w:val="0"/>
                <w:color w:val="auto"/>
                <w:sz w:val="24"/>
                <w:highlight w:val="none"/>
                <w:u w:val="none"/>
                <w:lang w:eastAsia="zh-CN"/>
              </w:rPr>
              <w:t>根据前文工艺可知，</w:t>
            </w:r>
            <w:r>
              <w:rPr>
                <w:rFonts w:hint="eastAsia"/>
                <w:color w:val="auto"/>
                <w:sz w:val="24"/>
                <w:szCs w:val="32"/>
                <w:highlight w:val="none"/>
                <w:lang w:val="en-US" w:eastAsia="zh-CN"/>
              </w:rPr>
              <w:t>新增的腻子粉、石膏粉和砂浆生产线中搅拌及包装环节均会有粉尘产生。</w:t>
            </w:r>
            <w:r>
              <w:rPr>
                <w:rFonts w:hint="eastAsia"/>
                <w:b w:val="0"/>
                <w:bCs w:val="0"/>
                <w:color w:val="auto"/>
                <w:sz w:val="24"/>
                <w:highlight w:val="none"/>
                <w:lang w:val="en-US" w:eastAsia="zh-CN"/>
              </w:rPr>
              <w:t>考虑到本行业无适合的源强参考依据，本次参照《</w:t>
            </w:r>
            <w:r>
              <w:rPr>
                <w:rFonts w:ascii="宋体" w:hAnsi="宋体" w:eastAsia="宋体" w:cs="宋体"/>
                <w:color w:val="auto"/>
                <w:sz w:val="24"/>
                <w:szCs w:val="24"/>
                <w:highlight w:val="none"/>
              </w:rPr>
              <w:t>排放源统计调查产排污核算方法和系数手册</w:t>
            </w:r>
            <w:r>
              <w:rPr>
                <w:rFonts w:hint="eastAsia"/>
                <w:b w:val="0"/>
                <w:bCs w:val="0"/>
                <w:color w:val="auto"/>
                <w:sz w:val="24"/>
                <w:highlight w:val="none"/>
                <w:lang w:val="en-US" w:eastAsia="zh-CN"/>
              </w:rPr>
              <w:t>》（生态环境部）中“3021水泥制品制造（含3022砼结构构件、3029其他水泥类似制品制造）行业”</w:t>
            </w:r>
            <w:r>
              <w:rPr>
                <w:rFonts w:hint="eastAsia"/>
                <w:b w:val="0"/>
                <w:bCs w:val="0"/>
                <w:color w:val="auto"/>
                <w:sz w:val="24"/>
                <w:highlight w:val="none"/>
                <w:lang w:eastAsia="zh-CN"/>
              </w:rPr>
              <w:t>，混凝土制品物料混合搅拌</w:t>
            </w:r>
            <w:r>
              <w:rPr>
                <w:rFonts w:hint="eastAsia"/>
                <w:b w:val="0"/>
                <w:bCs w:val="0"/>
                <w:color w:val="auto"/>
                <w:sz w:val="24"/>
                <w:highlight w:val="none"/>
                <w:lang w:val="en-US" w:eastAsia="zh-CN"/>
              </w:rPr>
              <w:t>工艺产污系数为0.13kg/t</w:t>
            </w:r>
            <w:r>
              <w:rPr>
                <w:rFonts w:hint="eastAsia" w:ascii="Times New Roman" w:hAnsi="Times New Roman" w:cs="Times New Roman"/>
                <w:color w:val="auto"/>
                <w:kern w:val="2"/>
                <w:sz w:val="24"/>
                <w:szCs w:val="24"/>
                <w:highlight w:val="none"/>
                <w:lang w:val="en-US" w:eastAsia="zh-CN" w:bidi="ar"/>
              </w:rPr>
              <w:t>-</w:t>
            </w:r>
            <w:r>
              <w:rPr>
                <w:rFonts w:hint="eastAsia"/>
                <w:b w:val="0"/>
                <w:bCs w:val="0"/>
                <w:color w:val="auto"/>
                <w:sz w:val="24"/>
                <w:highlight w:val="none"/>
                <w:lang w:val="en-US" w:eastAsia="zh-CN"/>
              </w:rPr>
              <w:t>产品；</w:t>
            </w:r>
            <w:r>
              <w:rPr>
                <w:rFonts w:hint="eastAsia" w:ascii="Times New Roman" w:hAnsi="Times New Roman" w:eastAsia="宋体" w:cs="宋体"/>
                <w:color w:val="auto"/>
                <w:kern w:val="2"/>
                <w:sz w:val="24"/>
                <w:szCs w:val="24"/>
                <w:highlight w:val="none"/>
                <w:lang w:val="en-US" w:eastAsia="zh-CN" w:bidi="ar"/>
              </w:rPr>
              <w:t>成品装袋的产污源强类比参照《逸散性工业粉尘控制技术》【（美）奥里蒙（</w:t>
            </w:r>
            <w:r>
              <w:rPr>
                <w:rFonts w:hint="default" w:ascii="Times New Roman" w:hAnsi="Times New Roman" w:eastAsia="宋体" w:cs="Times New Roman"/>
                <w:color w:val="auto"/>
                <w:kern w:val="2"/>
                <w:sz w:val="24"/>
                <w:szCs w:val="24"/>
                <w:highlight w:val="none"/>
                <w:lang w:val="en-US" w:eastAsia="zh-CN" w:bidi="ar"/>
              </w:rPr>
              <w:t>Orlemann,J.A.</w:t>
            </w:r>
            <w:r>
              <w:rPr>
                <w:rFonts w:hint="eastAsia" w:ascii="Times New Roman" w:hAnsi="Times New Roman" w:eastAsia="宋体" w:cs="宋体"/>
                <w:color w:val="auto"/>
                <w:kern w:val="2"/>
                <w:sz w:val="24"/>
                <w:szCs w:val="24"/>
                <w:highlight w:val="none"/>
                <w:lang w:val="en-US" w:eastAsia="zh-CN" w:bidi="ar"/>
              </w:rPr>
              <w:t>）等编著；张良壁，刘敬严编译；中国环境科学出版社；</w:t>
            </w:r>
            <w:r>
              <w:rPr>
                <w:rFonts w:hint="default" w:ascii="Times New Roman" w:hAnsi="Times New Roman" w:eastAsia="宋体" w:cs="Times New Roman"/>
                <w:color w:val="auto"/>
                <w:kern w:val="2"/>
                <w:sz w:val="24"/>
                <w:szCs w:val="24"/>
                <w:highlight w:val="none"/>
                <w:lang w:val="en-US" w:eastAsia="zh-CN" w:bidi="ar"/>
              </w:rPr>
              <w:t>1989</w:t>
            </w:r>
            <w:r>
              <w:rPr>
                <w:rFonts w:hint="eastAsia" w:ascii="Times New Roman" w:hAnsi="Times New Roman" w:eastAsia="宋体" w:cs="宋体"/>
                <w:color w:val="auto"/>
                <w:kern w:val="2"/>
                <w:sz w:val="24"/>
                <w:szCs w:val="24"/>
                <w:highlight w:val="none"/>
                <w:lang w:val="en-US" w:eastAsia="zh-CN" w:bidi="ar"/>
              </w:rPr>
              <w:t>年</w:t>
            </w:r>
            <w:r>
              <w:rPr>
                <w:rFonts w:hint="default" w:ascii="Times New Roman" w:hAnsi="Times New Roman" w:eastAsia="宋体" w:cs="Times New Roman"/>
                <w:color w:val="auto"/>
                <w:kern w:val="2"/>
                <w:sz w:val="24"/>
                <w:szCs w:val="24"/>
                <w:highlight w:val="none"/>
                <w:lang w:val="en-US" w:eastAsia="zh-CN" w:bidi="ar"/>
              </w:rPr>
              <w:t>12</w:t>
            </w:r>
            <w:r>
              <w:rPr>
                <w:rFonts w:hint="eastAsia" w:ascii="Times New Roman" w:hAnsi="Times New Roman" w:eastAsia="宋体" w:cs="宋体"/>
                <w:color w:val="auto"/>
                <w:kern w:val="2"/>
                <w:sz w:val="24"/>
                <w:szCs w:val="24"/>
                <w:highlight w:val="none"/>
                <w:lang w:val="en-US" w:eastAsia="zh-CN" w:bidi="ar"/>
              </w:rPr>
              <w:t>月出版】中第十三章</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Times New Roman" w:hAnsi="Times New Roman" w:eastAsia="宋体" w:cs="宋体"/>
                <w:color w:val="auto"/>
                <w:kern w:val="2"/>
                <w:sz w:val="24"/>
                <w:szCs w:val="24"/>
                <w:highlight w:val="none"/>
                <w:lang w:val="en-US" w:eastAsia="zh-CN" w:bidi="ar"/>
              </w:rPr>
              <w:t>水泥厂</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Times New Roman" w:hAnsi="Times New Roman" w:eastAsia="宋体" w:cs="宋体"/>
                <w:color w:val="auto"/>
                <w:kern w:val="2"/>
                <w:sz w:val="24"/>
                <w:szCs w:val="24"/>
                <w:highlight w:val="none"/>
                <w:lang w:val="en-US" w:eastAsia="zh-CN" w:bidi="ar"/>
              </w:rPr>
              <w:t>表</w:t>
            </w:r>
            <w:r>
              <w:rPr>
                <w:rFonts w:hint="default" w:ascii="Times New Roman" w:hAnsi="Times New Roman" w:eastAsia="宋体" w:cs="Times New Roman"/>
                <w:color w:val="auto"/>
                <w:kern w:val="2"/>
                <w:sz w:val="24"/>
                <w:szCs w:val="24"/>
                <w:highlight w:val="none"/>
                <w:lang w:val="en-US" w:eastAsia="zh-CN" w:bidi="ar"/>
              </w:rPr>
              <w:t>13-2</w:t>
            </w:r>
            <w:r>
              <w:rPr>
                <w:rFonts w:hint="eastAsia" w:ascii="Times New Roman" w:hAnsi="Times New Roman" w:eastAsia="宋体" w:cs="宋体"/>
                <w:color w:val="auto"/>
                <w:kern w:val="2"/>
                <w:sz w:val="24"/>
                <w:szCs w:val="24"/>
                <w:highlight w:val="none"/>
                <w:lang w:val="en-US" w:eastAsia="zh-CN" w:bidi="ar"/>
              </w:rPr>
              <w:t>中水泥装袋的排放因子，为</w:t>
            </w:r>
            <w:r>
              <w:rPr>
                <w:rFonts w:hint="default" w:ascii="Times New Roman" w:hAnsi="Times New Roman" w:eastAsia="宋体" w:cs="Times New Roman"/>
                <w:color w:val="auto"/>
                <w:kern w:val="2"/>
                <w:sz w:val="24"/>
                <w:szCs w:val="24"/>
                <w:highlight w:val="none"/>
                <w:lang w:val="en-US" w:eastAsia="zh-CN" w:bidi="ar"/>
              </w:rPr>
              <w:t>0.005kg/t</w:t>
            </w:r>
            <w:r>
              <w:rPr>
                <w:rFonts w:hint="eastAsia" w:ascii="Times New Roman" w:hAnsi="Times New Roman" w:cs="Times New Roman"/>
                <w:color w:val="auto"/>
                <w:kern w:val="2"/>
                <w:sz w:val="24"/>
                <w:szCs w:val="24"/>
                <w:highlight w:val="none"/>
                <w:lang w:val="en-US" w:eastAsia="zh-CN" w:bidi="ar"/>
              </w:rPr>
              <w:t>-</w:t>
            </w:r>
            <w:r>
              <w:rPr>
                <w:rFonts w:hint="eastAsia"/>
                <w:b w:val="0"/>
                <w:bCs w:val="0"/>
                <w:color w:val="auto"/>
                <w:sz w:val="24"/>
                <w:highlight w:val="none"/>
                <w:lang w:val="en-US" w:eastAsia="zh-CN"/>
              </w:rPr>
              <w:t>产品。</w:t>
            </w:r>
          </w:p>
          <w:p w14:paraId="2D19BD51">
            <w:pPr>
              <w:snapToGrid w:val="0"/>
              <w:spacing w:line="360" w:lineRule="auto"/>
              <w:ind w:firstLine="480" w:firstLineChars="200"/>
              <w:rPr>
                <w:rFonts w:hint="eastAsia" w:ascii="Times New Roman" w:hAnsi="Times New Roman" w:eastAsia="宋体" w:cs="宋体"/>
                <w:color w:val="auto"/>
                <w:kern w:val="2"/>
                <w:sz w:val="24"/>
                <w:szCs w:val="24"/>
                <w:highlight w:val="none"/>
                <w:lang w:val="en-US" w:eastAsia="zh-CN" w:bidi="ar"/>
              </w:rPr>
            </w:pPr>
            <w:r>
              <w:rPr>
                <w:rFonts w:hint="eastAsia"/>
                <w:b w:val="0"/>
                <w:bCs w:val="0"/>
                <w:color w:val="auto"/>
                <w:sz w:val="24"/>
                <w:highlight w:val="none"/>
                <w:lang w:val="en-US" w:eastAsia="zh-CN"/>
              </w:rPr>
              <w:t>项目年生产腻子粉12万吨、石膏粉8万吨、砂浆6万吨，</w:t>
            </w:r>
            <w:r>
              <w:rPr>
                <w:rFonts w:hint="eastAsia" w:ascii="Times New Roman" w:hAnsi="Times New Roman" w:eastAsia="宋体" w:cs="宋体"/>
                <w:color w:val="auto"/>
                <w:kern w:val="2"/>
                <w:sz w:val="24"/>
                <w:szCs w:val="24"/>
                <w:highlight w:val="none"/>
                <w:lang w:val="en-US" w:eastAsia="zh-CN" w:bidi="ar"/>
              </w:rPr>
              <w:t>则</w:t>
            </w:r>
            <w:r>
              <w:rPr>
                <w:rFonts w:hint="eastAsia" w:ascii="Times New Roman" w:hAnsi="Times New Roman" w:cs="宋体"/>
                <w:color w:val="auto"/>
                <w:kern w:val="2"/>
                <w:sz w:val="24"/>
                <w:szCs w:val="24"/>
                <w:highlight w:val="none"/>
                <w:lang w:val="en-US" w:eastAsia="zh-CN" w:bidi="ar"/>
              </w:rPr>
              <w:t>腻子粉和石膏粉生产线搅拌粉尘合计产生量为26t/a，包装过程粉尘产生量合计为1.0t/a；</w:t>
            </w:r>
            <w:r>
              <w:rPr>
                <w:rFonts w:hint="eastAsia"/>
                <w:b w:val="0"/>
                <w:bCs w:val="0"/>
                <w:color w:val="auto"/>
                <w:sz w:val="24"/>
                <w:highlight w:val="none"/>
                <w:lang w:val="en-US" w:eastAsia="zh-CN"/>
              </w:rPr>
              <w:t>砂浆</w:t>
            </w:r>
            <w:r>
              <w:rPr>
                <w:rFonts w:hint="eastAsia" w:ascii="Times New Roman" w:hAnsi="Times New Roman" w:cs="宋体"/>
                <w:color w:val="auto"/>
                <w:kern w:val="2"/>
                <w:sz w:val="24"/>
                <w:szCs w:val="24"/>
                <w:highlight w:val="none"/>
                <w:lang w:val="en-US" w:eastAsia="zh-CN" w:bidi="ar"/>
              </w:rPr>
              <w:t>生产线搅拌粉尘产生量为7.8t/a，包装过程粉尘产生量为0.3t/a</w:t>
            </w:r>
          </w:p>
          <w:p w14:paraId="34440EE7">
            <w:pPr>
              <w:adjustRightInd w:val="0"/>
              <w:snapToGrid w:val="0"/>
              <w:spacing w:line="360" w:lineRule="auto"/>
              <w:ind w:firstLine="482" w:firstLineChars="200"/>
              <w:rPr>
                <w:rFonts w:hint="default"/>
                <w:color w:val="auto"/>
                <w:kern w:val="0"/>
                <w:sz w:val="24"/>
                <w:highlight w:val="none"/>
                <w:lang w:val="en-US" w:eastAsia="zh-CN"/>
              </w:rPr>
            </w:pPr>
            <w:r>
              <w:rPr>
                <w:rFonts w:hint="eastAsia" w:ascii="宋体" w:hAnsi="宋体" w:cs="宋体"/>
                <w:b/>
                <w:bCs/>
                <w:color w:val="auto"/>
                <w:kern w:val="0"/>
                <w:sz w:val="24"/>
                <w:highlight w:val="none"/>
              </w:rPr>
              <w:t>治理措施：</w:t>
            </w:r>
            <w:r>
              <w:rPr>
                <w:color w:val="auto"/>
                <w:kern w:val="0"/>
                <w:sz w:val="24"/>
                <w:highlight w:val="none"/>
              </w:rPr>
              <w:t>建设单位拟将</w:t>
            </w:r>
            <w:r>
              <w:rPr>
                <w:rFonts w:hint="eastAsia"/>
                <w:color w:val="auto"/>
                <w:kern w:val="0"/>
                <w:sz w:val="24"/>
                <w:highlight w:val="none"/>
                <w:lang w:eastAsia="zh-CN"/>
              </w:rPr>
              <w:t>各产生点上方设置集气设施，收集效率约</w:t>
            </w:r>
            <w:r>
              <w:rPr>
                <w:rFonts w:hint="eastAsia"/>
                <w:color w:val="auto"/>
                <w:kern w:val="0"/>
                <w:sz w:val="24"/>
                <w:highlight w:val="none"/>
                <w:lang w:val="en-US" w:eastAsia="zh-CN"/>
              </w:rPr>
              <w:t>90%。其中腻子粉和</w:t>
            </w:r>
            <w:r>
              <w:rPr>
                <w:rFonts w:hint="eastAsia" w:ascii="Times New Roman" w:hAnsi="Times New Roman" w:cs="宋体"/>
                <w:color w:val="auto"/>
                <w:kern w:val="2"/>
                <w:sz w:val="24"/>
                <w:szCs w:val="24"/>
                <w:highlight w:val="none"/>
                <w:lang w:val="en-US" w:eastAsia="zh-CN" w:bidi="ar"/>
              </w:rPr>
              <w:t>石膏粉</w:t>
            </w:r>
            <w:r>
              <w:rPr>
                <w:rFonts w:hint="eastAsia"/>
                <w:color w:val="auto"/>
                <w:kern w:val="0"/>
                <w:sz w:val="24"/>
                <w:highlight w:val="none"/>
                <w:lang w:val="en-US" w:eastAsia="zh-CN"/>
              </w:rPr>
              <w:t>生产线粉尘统一收集后，经布袋除尘器处理后通过15m高排气筒（DA002）排放；</w:t>
            </w:r>
            <w:r>
              <w:rPr>
                <w:rFonts w:hint="eastAsia" w:ascii="Times New Roman" w:hAnsi="Times New Roman" w:cs="宋体"/>
                <w:color w:val="auto"/>
                <w:kern w:val="2"/>
                <w:sz w:val="24"/>
                <w:szCs w:val="24"/>
                <w:highlight w:val="none"/>
                <w:lang w:val="en-US" w:eastAsia="zh-CN" w:bidi="ar"/>
              </w:rPr>
              <w:t>砂浆</w:t>
            </w:r>
            <w:r>
              <w:rPr>
                <w:rFonts w:hint="eastAsia"/>
                <w:color w:val="auto"/>
                <w:kern w:val="0"/>
                <w:sz w:val="24"/>
                <w:highlight w:val="none"/>
                <w:lang w:val="en-US" w:eastAsia="zh-CN"/>
              </w:rPr>
              <w:t>生产线搅拌和包装粉尘统一收集后，经布袋除尘器处理后通过15m高排气筒（DA003）排放，除尘效率按99%计。具体加工粉尘产排情况见下表：</w:t>
            </w:r>
          </w:p>
          <w:p w14:paraId="22A6B62F">
            <w:pPr>
              <w:widowControl/>
              <w:snapToGrid w:val="0"/>
              <w:jc w:val="center"/>
              <w:rPr>
                <w:color w:val="auto"/>
                <w:highlight w:val="none"/>
              </w:rPr>
            </w:pPr>
            <w:r>
              <w:rPr>
                <w:rFonts w:hint="eastAsia" w:ascii="宋体" w:hAnsi="宋体" w:cs="宋体"/>
                <w:b/>
                <w:bCs/>
                <w:color w:val="auto"/>
                <w:kern w:val="0"/>
                <w:szCs w:val="21"/>
                <w:highlight w:val="none"/>
              </w:rPr>
              <w:t>表</w:t>
            </w:r>
            <w:r>
              <w:rPr>
                <w:b/>
                <w:bCs/>
                <w:color w:val="auto"/>
                <w:kern w:val="0"/>
                <w:szCs w:val="21"/>
                <w:highlight w:val="none"/>
              </w:rPr>
              <w:t>4-</w:t>
            </w:r>
            <w:r>
              <w:rPr>
                <w:rFonts w:hint="eastAsia"/>
                <w:b/>
                <w:bCs/>
                <w:color w:val="auto"/>
                <w:kern w:val="0"/>
                <w:szCs w:val="21"/>
                <w:highlight w:val="none"/>
              </w:rPr>
              <w:t xml:space="preserve">1  </w:t>
            </w:r>
            <w:r>
              <w:rPr>
                <w:rFonts w:hint="eastAsia" w:ascii="宋体" w:hAnsi="宋体" w:cs="宋体"/>
                <w:b/>
                <w:bCs/>
                <w:color w:val="auto"/>
                <w:kern w:val="0"/>
                <w:szCs w:val="21"/>
                <w:highlight w:val="none"/>
                <w:lang w:eastAsia="zh-CN"/>
              </w:rPr>
              <w:t>新增工程运营期间加工粉尘</w:t>
            </w:r>
            <w:r>
              <w:rPr>
                <w:rFonts w:hint="eastAsia" w:ascii="宋体" w:hAnsi="宋体" w:cs="宋体"/>
                <w:b/>
                <w:bCs/>
                <w:color w:val="auto"/>
                <w:kern w:val="0"/>
                <w:szCs w:val="21"/>
                <w:highlight w:val="none"/>
              </w:rPr>
              <w:t>产排情况一览表</w:t>
            </w:r>
          </w:p>
          <w:tbl>
            <w:tblPr>
              <w:tblStyle w:val="36"/>
              <w:tblW w:w="84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5"/>
              <w:gridCol w:w="817"/>
              <w:gridCol w:w="819"/>
              <w:gridCol w:w="1383"/>
              <w:gridCol w:w="1667"/>
              <w:gridCol w:w="965"/>
              <w:gridCol w:w="1067"/>
              <w:gridCol w:w="968"/>
            </w:tblGrid>
            <w:tr w14:paraId="67FA2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Align w:val="center"/>
                </w:tcPr>
                <w:p w14:paraId="21EEF582">
                  <w:pPr>
                    <w:widowControl/>
                    <w:jc w:val="center"/>
                    <w:rPr>
                      <w:rFonts w:hint="eastAsia" w:eastAsia="宋体"/>
                      <w:color w:val="auto"/>
                      <w:szCs w:val="21"/>
                      <w:highlight w:val="none"/>
                      <w:lang w:eastAsia="zh-CN"/>
                    </w:rPr>
                  </w:pPr>
                  <w:r>
                    <w:rPr>
                      <w:rFonts w:hint="eastAsia" w:ascii="宋体" w:hAnsi="宋体" w:cs="宋体"/>
                      <w:color w:val="auto"/>
                      <w:kern w:val="0"/>
                      <w:szCs w:val="21"/>
                      <w:highlight w:val="none"/>
                      <w:lang w:eastAsia="zh-CN"/>
                    </w:rPr>
                    <w:t>生产线</w:t>
                  </w:r>
                </w:p>
              </w:tc>
              <w:tc>
                <w:tcPr>
                  <w:tcW w:w="484" w:type="pct"/>
                  <w:vAlign w:val="center"/>
                </w:tcPr>
                <w:p w14:paraId="3B034379">
                  <w:pPr>
                    <w:widowControl/>
                    <w:jc w:val="center"/>
                    <w:rPr>
                      <w:color w:val="auto"/>
                      <w:szCs w:val="21"/>
                      <w:highlight w:val="none"/>
                    </w:rPr>
                  </w:pPr>
                  <w:r>
                    <w:rPr>
                      <w:rFonts w:hint="eastAsia" w:ascii="宋体" w:hAnsi="宋体" w:cs="宋体"/>
                      <w:color w:val="auto"/>
                      <w:kern w:val="0"/>
                      <w:szCs w:val="21"/>
                      <w:highlight w:val="none"/>
                    </w:rPr>
                    <w:t>污染物</w:t>
                  </w:r>
                </w:p>
              </w:tc>
              <w:tc>
                <w:tcPr>
                  <w:tcW w:w="485" w:type="pct"/>
                  <w:vAlign w:val="center"/>
                </w:tcPr>
                <w:p w14:paraId="4F0C236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产生量</w:t>
                  </w:r>
                </w:p>
              </w:tc>
              <w:tc>
                <w:tcPr>
                  <w:tcW w:w="820" w:type="pct"/>
                  <w:vAlign w:val="center"/>
                </w:tcPr>
                <w:p w14:paraId="1B07C9F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治理措施</w:t>
                  </w:r>
                </w:p>
              </w:tc>
              <w:tc>
                <w:tcPr>
                  <w:tcW w:w="988" w:type="pct"/>
                  <w:vAlign w:val="center"/>
                </w:tcPr>
                <w:p w14:paraId="762BBA3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处理效率</w:t>
                  </w:r>
                </w:p>
              </w:tc>
              <w:tc>
                <w:tcPr>
                  <w:tcW w:w="572" w:type="pct"/>
                  <w:vAlign w:val="center"/>
                </w:tcPr>
                <w:p w14:paraId="2F7F8E4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排放量</w:t>
                  </w:r>
                </w:p>
              </w:tc>
              <w:tc>
                <w:tcPr>
                  <w:tcW w:w="632" w:type="pct"/>
                  <w:vAlign w:val="center"/>
                </w:tcPr>
                <w:p w14:paraId="134F72A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排放速率</w:t>
                  </w:r>
                </w:p>
              </w:tc>
              <w:tc>
                <w:tcPr>
                  <w:tcW w:w="574" w:type="pct"/>
                  <w:vAlign w:val="center"/>
                </w:tcPr>
                <w:p w14:paraId="31D6CED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排放浓度</w:t>
                  </w:r>
                </w:p>
              </w:tc>
            </w:tr>
            <w:tr w14:paraId="083B0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restart"/>
                  <w:vAlign w:val="center"/>
                </w:tcPr>
                <w:p w14:paraId="554D0D64">
                  <w:pPr>
                    <w:snapToGrid w:val="0"/>
                    <w:jc w:val="center"/>
                    <w:rPr>
                      <w:color w:val="auto"/>
                      <w:szCs w:val="21"/>
                      <w:highlight w:val="none"/>
                    </w:rPr>
                  </w:pPr>
                  <w:r>
                    <w:rPr>
                      <w:rFonts w:hint="eastAsia"/>
                      <w:color w:val="auto"/>
                      <w:szCs w:val="21"/>
                      <w:highlight w:val="none"/>
                      <w:lang w:val="en-US" w:eastAsia="zh-CN"/>
                    </w:rPr>
                    <w:t>腻子粉和石膏粉生产线</w:t>
                  </w:r>
                </w:p>
              </w:tc>
              <w:tc>
                <w:tcPr>
                  <w:tcW w:w="484" w:type="pct"/>
                  <w:vMerge w:val="restart"/>
                  <w:vAlign w:val="center"/>
                </w:tcPr>
                <w:p w14:paraId="6645774A">
                  <w:pPr>
                    <w:widowControl/>
                    <w:jc w:val="center"/>
                    <w:rPr>
                      <w:color w:val="auto"/>
                      <w:szCs w:val="21"/>
                      <w:highlight w:val="none"/>
                    </w:rPr>
                  </w:pPr>
                  <w:r>
                    <w:rPr>
                      <w:rFonts w:hint="eastAsia"/>
                      <w:color w:val="auto"/>
                      <w:szCs w:val="21"/>
                      <w:highlight w:val="none"/>
                    </w:rPr>
                    <w:t>粉尘</w:t>
                  </w:r>
                </w:p>
              </w:tc>
              <w:tc>
                <w:tcPr>
                  <w:tcW w:w="485" w:type="pct"/>
                  <w:vMerge w:val="restart"/>
                  <w:vAlign w:val="center"/>
                </w:tcPr>
                <w:p w14:paraId="3F4C870F">
                  <w:pPr>
                    <w:widowControl/>
                    <w:jc w:val="center"/>
                    <w:rPr>
                      <w:color w:val="auto"/>
                      <w:szCs w:val="21"/>
                      <w:highlight w:val="none"/>
                    </w:rPr>
                  </w:pPr>
                  <w:r>
                    <w:rPr>
                      <w:rFonts w:hint="eastAsia"/>
                      <w:color w:val="auto"/>
                      <w:kern w:val="0"/>
                      <w:szCs w:val="21"/>
                      <w:highlight w:val="none"/>
                      <w:lang w:val="en-US" w:eastAsia="zh-CN"/>
                    </w:rPr>
                    <w:t>27</w:t>
                  </w:r>
                  <w:r>
                    <w:rPr>
                      <w:rFonts w:hint="eastAsia"/>
                      <w:color w:val="auto"/>
                      <w:kern w:val="0"/>
                      <w:szCs w:val="21"/>
                      <w:highlight w:val="none"/>
                    </w:rPr>
                    <w:t>t</w:t>
                  </w:r>
                  <w:r>
                    <w:rPr>
                      <w:color w:val="auto"/>
                      <w:kern w:val="0"/>
                      <w:szCs w:val="21"/>
                      <w:highlight w:val="none"/>
                    </w:rPr>
                    <w:t>/a</w:t>
                  </w:r>
                </w:p>
              </w:tc>
              <w:tc>
                <w:tcPr>
                  <w:tcW w:w="820" w:type="pct"/>
                  <w:vMerge w:val="restart"/>
                  <w:vAlign w:val="center"/>
                </w:tcPr>
                <w:p w14:paraId="04A6925F">
                  <w:pPr>
                    <w:snapToGrid w:val="0"/>
                    <w:jc w:val="center"/>
                    <w:rPr>
                      <w:color w:val="auto"/>
                      <w:szCs w:val="21"/>
                      <w:highlight w:val="none"/>
                    </w:rPr>
                  </w:pPr>
                  <w:r>
                    <w:rPr>
                      <w:rFonts w:hint="eastAsia"/>
                      <w:color w:val="auto"/>
                      <w:szCs w:val="21"/>
                      <w:highlight w:val="none"/>
                    </w:rPr>
                    <w:t>集尘设施</w:t>
                  </w:r>
                </w:p>
                <w:p w14:paraId="785A78D8">
                  <w:pPr>
                    <w:snapToGrid w:val="0"/>
                    <w:jc w:val="center"/>
                    <w:rPr>
                      <w:color w:val="auto"/>
                      <w:szCs w:val="21"/>
                      <w:highlight w:val="none"/>
                    </w:rPr>
                  </w:pPr>
                  <w:r>
                    <w:rPr>
                      <w:rFonts w:hint="eastAsia"/>
                      <w:color w:val="auto"/>
                      <w:szCs w:val="21"/>
                      <w:highlight w:val="none"/>
                    </w:rPr>
                    <w:t>+袋式除尘器</w:t>
                  </w:r>
                </w:p>
              </w:tc>
              <w:tc>
                <w:tcPr>
                  <w:tcW w:w="988" w:type="pct"/>
                  <w:vMerge w:val="restart"/>
                  <w:vAlign w:val="center"/>
                </w:tcPr>
                <w:p w14:paraId="3811EB68">
                  <w:pPr>
                    <w:widowControl/>
                    <w:jc w:val="center"/>
                    <w:rPr>
                      <w:color w:val="auto"/>
                      <w:kern w:val="0"/>
                      <w:szCs w:val="21"/>
                      <w:highlight w:val="none"/>
                    </w:rPr>
                  </w:pPr>
                  <w:r>
                    <w:rPr>
                      <w:rFonts w:hint="eastAsia"/>
                      <w:color w:val="auto"/>
                      <w:kern w:val="0"/>
                      <w:szCs w:val="21"/>
                      <w:highlight w:val="none"/>
                    </w:rPr>
                    <w:t>集气效率为90%，除尘效率为99%</w:t>
                  </w:r>
                </w:p>
              </w:tc>
              <w:tc>
                <w:tcPr>
                  <w:tcW w:w="1779" w:type="pct"/>
                  <w:gridSpan w:val="3"/>
                  <w:vAlign w:val="center"/>
                </w:tcPr>
                <w:p w14:paraId="32BA3D8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有组织</w:t>
                  </w:r>
                </w:p>
              </w:tc>
            </w:tr>
            <w:tr w14:paraId="1B511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084264D9">
                  <w:pPr>
                    <w:snapToGrid w:val="0"/>
                    <w:jc w:val="center"/>
                    <w:rPr>
                      <w:color w:val="auto"/>
                      <w:szCs w:val="21"/>
                      <w:highlight w:val="none"/>
                    </w:rPr>
                  </w:pPr>
                </w:p>
              </w:tc>
              <w:tc>
                <w:tcPr>
                  <w:tcW w:w="484" w:type="pct"/>
                  <w:vMerge w:val="continue"/>
                  <w:vAlign w:val="center"/>
                </w:tcPr>
                <w:p w14:paraId="1448F5AD">
                  <w:pPr>
                    <w:widowControl/>
                    <w:jc w:val="center"/>
                    <w:rPr>
                      <w:color w:val="auto"/>
                      <w:szCs w:val="21"/>
                      <w:highlight w:val="none"/>
                    </w:rPr>
                  </w:pPr>
                </w:p>
              </w:tc>
              <w:tc>
                <w:tcPr>
                  <w:tcW w:w="485" w:type="pct"/>
                  <w:vMerge w:val="continue"/>
                  <w:vAlign w:val="center"/>
                </w:tcPr>
                <w:p w14:paraId="0D9F7093">
                  <w:pPr>
                    <w:widowControl/>
                    <w:jc w:val="center"/>
                    <w:rPr>
                      <w:color w:val="auto"/>
                      <w:szCs w:val="21"/>
                      <w:highlight w:val="none"/>
                    </w:rPr>
                  </w:pPr>
                </w:p>
              </w:tc>
              <w:tc>
                <w:tcPr>
                  <w:tcW w:w="820" w:type="pct"/>
                  <w:vMerge w:val="continue"/>
                  <w:vAlign w:val="center"/>
                </w:tcPr>
                <w:p w14:paraId="65B4A4AB">
                  <w:pPr>
                    <w:snapToGrid w:val="0"/>
                    <w:jc w:val="center"/>
                    <w:rPr>
                      <w:color w:val="auto"/>
                      <w:szCs w:val="21"/>
                      <w:highlight w:val="none"/>
                    </w:rPr>
                  </w:pPr>
                </w:p>
              </w:tc>
              <w:tc>
                <w:tcPr>
                  <w:tcW w:w="988" w:type="pct"/>
                  <w:vMerge w:val="continue"/>
                  <w:vAlign w:val="center"/>
                </w:tcPr>
                <w:p w14:paraId="3D387457">
                  <w:pPr>
                    <w:widowControl/>
                    <w:jc w:val="center"/>
                    <w:rPr>
                      <w:color w:val="auto"/>
                      <w:kern w:val="0"/>
                      <w:szCs w:val="21"/>
                      <w:highlight w:val="none"/>
                    </w:rPr>
                  </w:pPr>
                </w:p>
              </w:tc>
              <w:tc>
                <w:tcPr>
                  <w:tcW w:w="572" w:type="pct"/>
                  <w:vAlign w:val="center"/>
                </w:tcPr>
                <w:p w14:paraId="7C4B81D4">
                  <w:pPr>
                    <w:widowControl/>
                    <w:jc w:val="center"/>
                    <w:rPr>
                      <w:color w:val="auto"/>
                      <w:highlight w:val="none"/>
                    </w:rPr>
                  </w:pPr>
                  <w:r>
                    <w:rPr>
                      <w:rFonts w:hint="eastAsia"/>
                      <w:color w:val="auto"/>
                      <w:highlight w:val="none"/>
                    </w:rPr>
                    <w:t>0.</w:t>
                  </w:r>
                  <w:r>
                    <w:rPr>
                      <w:rFonts w:hint="eastAsia"/>
                      <w:color w:val="auto"/>
                      <w:highlight w:val="none"/>
                      <w:lang w:val="en-US" w:eastAsia="zh-CN"/>
                    </w:rPr>
                    <w:t>243</w:t>
                  </w:r>
                  <w:r>
                    <w:rPr>
                      <w:rFonts w:hint="eastAsia"/>
                      <w:color w:val="auto"/>
                      <w:highlight w:val="none"/>
                    </w:rPr>
                    <w:t>t/a</w:t>
                  </w:r>
                </w:p>
              </w:tc>
              <w:tc>
                <w:tcPr>
                  <w:tcW w:w="632" w:type="pct"/>
                  <w:vAlign w:val="center"/>
                </w:tcPr>
                <w:p w14:paraId="586F8931">
                  <w:pPr>
                    <w:widowControl/>
                    <w:jc w:val="center"/>
                    <w:rPr>
                      <w:color w:val="auto"/>
                      <w:kern w:val="0"/>
                      <w:szCs w:val="21"/>
                      <w:highlight w:val="none"/>
                    </w:rPr>
                  </w:pPr>
                  <w:r>
                    <w:rPr>
                      <w:rFonts w:hint="eastAsia"/>
                      <w:color w:val="auto"/>
                      <w:kern w:val="0"/>
                      <w:szCs w:val="21"/>
                      <w:highlight w:val="none"/>
                    </w:rPr>
                    <w:t>0.</w:t>
                  </w:r>
                  <w:r>
                    <w:rPr>
                      <w:rFonts w:hint="eastAsia"/>
                      <w:color w:val="auto"/>
                      <w:kern w:val="0"/>
                      <w:szCs w:val="21"/>
                      <w:highlight w:val="none"/>
                      <w:lang w:val="en-US" w:eastAsia="zh-CN"/>
                    </w:rPr>
                    <w:t>101</w:t>
                  </w:r>
                  <w:r>
                    <w:rPr>
                      <w:rFonts w:hint="eastAsia"/>
                      <w:color w:val="auto"/>
                      <w:kern w:val="0"/>
                      <w:szCs w:val="21"/>
                      <w:highlight w:val="none"/>
                    </w:rPr>
                    <w:t>kg/h</w:t>
                  </w:r>
                </w:p>
              </w:tc>
              <w:tc>
                <w:tcPr>
                  <w:tcW w:w="574" w:type="pct"/>
                  <w:vAlign w:val="center"/>
                </w:tcPr>
                <w:p w14:paraId="71D35CE6">
                  <w:pPr>
                    <w:widowControl/>
                    <w:jc w:val="center"/>
                    <w:rPr>
                      <w:color w:val="auto"/>
                      <w:kern w:val="0"/>
                      <w:szCs w:val="21"/>
                      <w:highlight w:val="none"/>
                    </w:rPr>
                  </w:pPr>
                  <w:r>
                    <w:rPr>
                      <w:rFonts w:hint="eastAsia"/>
                      <w:color w:val="auto"/>
                      <w:kern w:val="0"/>
                      <w:szCs w:val="21"/>
                      <w:highlight w:val="none"/>
                      <w:lang w:val="en-US" w:eastAsia="zh-CN"/>
                    </w:rPr>
                    <w:t>10.1</w:t>
                  </w:r>
                  <w:r>
                    <w:rPr>
                      <w:rFonts w:hint="eastAsia"/>
                      <w:color w:val="auto"/>
                      <w:kern w:val="0"/>
                      <w:szCs w:val="21"/>
                      <w:highlight w:val="none"/>
                    </w:rPr>
                    <w:t>mg/m</w:t>
                  </w:r>
                  <w:r>
                    <w:rPr>
                      <w:rFonts w:hint="eastAsia"/>
                      <w:color w:val="auto"/>
                      <w:kern w:val="0"/>
                      <w:szCs w:val="21"/>
                      <w:highlight w:val="none"/>
                      <w:vertAlign w:val="superscript"/>
                    </w:rPr>
                    <w:t>3</w:t>
                  </w:r>
                </w:p>
              </w:tc>
            </w:tr>
            <w:tr w14:paraId="20F92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23AEA30A">
                  <w:pPr>
                    <w:snapToGrid w:val="0"/>
                    <w:jc w:val="center"/>
                    <w:rPr>
                      <w:color w:val="auto"/>
                      <w:szCs w:val="21"/>
                      <w:highlight w:val="none"/>
                    </w:rPr>
                  </w:pPr>
                </w:p>
              </w:tc>
              <w:tc>
                <w:tcPr>
                  <w:tcW w:w="484" w:type="pct"/>
                  <w:vMerge w:val="continue"/>
                  <w:vAlign w:val="center"/>
                </w:tcPr>
                <w:p w14:paraId="70CBFFFA">
                  <w:pPr>
                    <w:widowControl/>
                    <w:jc w:val="center"/>
                    <w:rPr>
                      <w:color w:val="auto"/>
                      <w:szCs w:val="21"/>
                      <w:highlight w:val="none"/>
                    </w:rPr>
                  </w:pPr>
                </w:p>
              </w:tc>
              <w:tc>
                <w:tcPr>
                  <w:tcW w:w="485" w:type="pct"/>
                  <w:vMerge w:val="continue"/>
                  <w:vAlign w:val="center"/>
                </w:tcPr>
                <w:p w14:paraId="6CA7DBF5">
                  <w:pPr>
                    <w:widowControl/>
                    <w:jc w:val="center"/>
                    <w:rPr>
                      <w:color w:val="auto"/>
                      <w:szCs w:val="21"/>
                      <w:highlight w:val="none"/>
                    </w:rPr>
                  </w:pPr>
                </w:p>
              </w:tc>
              <w:tc>
                <w:tcPr>
                  <w:tcW w:w="820" w:type="pct"/>
                  <w:vMerge w:val="continue"/>
                  <w:vAlign w:val="center"/>
                </w:tcPr>
                <w:p w14:paraId="6932493B">
                  <w:pPr>
                    <w:snapToGrid w:val="0"/>
                    <w:jc w:val="center"/>
                    <w:rPr>
                      <w:color w:val="auto"/>
                      <w:szCs w:val="21"/>
                      <w:highlight w:val="none"/>
                    </w:rPr>
                  </w:pPr>
                </w:p>
              </w:tc>
              <w:tc>
                <w:tcPr>
                  <w:tcW w:w="988" w:type="pct"/>
                  <w:vMerge w:val="continue"/>
                  <w:vAlign w:val="center"/>
                </w:tcPr>
                <w:p w14:paraId="4452DA68">
                  <w:pPr>
                    <w:widowControl/>
                    <w:jc w:val="center"/>
                    <w:rPr>
                      <w:color w:val="auto"/>
                      <w:kern w:val="0"/>
                      <w:szCs w:val="21"/>
                      <w:highlight w:val="none"/>
                    </w:rPr>
                  </w:pPr>
                </w:p>
              </w:tc>
              <w:tc>
                <w:tcPr>
                  <w:tcW w:w="1779" w:type="pct"/>
                  <w:gridSpan w:val="3"/>
                  <w:vAlign w:val="center"/>
                </w:tcPr>
                <w:p w14:paraId="1B2FF797">
                  <w:pPr>
                    <w:widowControl/>
                    <w:jc w:val="center"/>
                    <w:rPr>
                      <w:color w:val="auto"/>
                      <w:kern w:val="0"/>
                      <w:szCs w:val="21"/>
                      <w:highlight w:val="none"/>
                    </w:rPr>
                  </w:pPr>
                  <w:r>
                    <w:rPr>
                      <w:rFonts w:hint="eastAsia"/>
                      <w:color w:val="auto"/>
                      <w:kern w:val="0"/>
                      <w:szCs w:val="21"/>
                      <w:highlight w:val="none"/>
                    </w:rPr>
                    <w:t>无组织</w:t>
                  </w:r>
                </w:p>
              </w:tc>
            </w:tr>
            <w:tr w14:paraId="3A3AE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292DADE1">
                  <w:pPr>
                    <w:snapToGrid w:val="0"/>
                    <w:jc w:val="center"/>
                    <w:rPr>
                      <w:color w:val="auto"/>
                      <w:szCs w:val="21"/>
                      <w:highlight w:val="none"/>
                    </w:rPr>
                  </w:pPr>
                </w:p>
              </w:tc>
              <w:tc>
                <w:tcPr>
                  <w:tcW w:w="484" w:type="pct"/>
                  <w:vMerge w:val="continue"/>
                  <w:vAlign w:val="center"/>
                </w:tcPr>
                <w:p w14:paraId="3008DADE">
                  <w:pPr>
                    <w:widowControl/>
                    <w:jc w:val="center"/>
                    <w:rPr>
                      <w:color w:val="auto"/>
                      <w:szCs w:val="21"/>
                      <w:highlight w:val="none"/>
                    </w:rPr>
                  </w:pPr>
                </w:p>
              </w:tc>
              <w:tc>
                <w:tcPr>
                  <w:tcW w:w="485" w:type="pct"/>
                  <w:vMerge w:val="continue"/>
                  <w:vAlign w:val="center"/>
                </w:tcPr>
                <w:p w14:paraId="73ACD25C">
                  <w:pPr>
                    <w:widowControl/>
                    <w:jc w:val="center"/>
                    <w:rPr>
                      <w:color w:val="auto"/>
                      <w:kern w:val="0"/>
                      <w:szCs w:val="21"/>
                      <w:highlight w:val="none"/>
                    </w:rPr>
                  </w:pPr>
                </w:p>
              </w:tc>
              <w:tc>
                <w:tcPr>
                  <w:tcW w:w="820" w:type="pct"/>
                  <w:vMerge w:val="continue"/>
                  <w:vAlign w:val="center"/>
                </w:tcPr>
                <w:p w14:paraId="2939ED17">
                  <w:pPr>
                    <w:snapToGrid w:val="0"/>
                    <w:jc w:val="center"/>
                    <w:rPr>
                      <w:color w:val="auto"/>
                      <w:szCs w:val="21"/>
                      <w:highlight w:val="none"/>
                    </w:rPr>
                  </w:pPr>
                </w:p>
              </w:tc>
              <w:tc>
                <w:tcPr>
                  <w:tcW w:w="988" w:type="pct"/>
                  <w:vMerge w:val="continue"/>
                  <w:vAlign w:val="center"/>
                </w:tcPr>
                <w:p w14:paraId="24BD21BD">
                  <w:pPr>
                    <w:widowControl/>
                    <w:jc w:val="center"/>
                    <w:rPr>
                      <w:color w:val="auto"/>
                      <w:kern w:val="0"/>
                      <w:szCs w:val="21"/>
                      <w:highlight w:val="none"/>
                    </w:rPr>
                  </w:pPr>
                </w:p>
              </w:tc>
              <w:tc>
                <w:tcPr>
                  <w:tcW w:w="572" w:type="pct"/>
                  <w:vAlign w:val="center"/>
                </w:tcPr>
                <w:p w14:paraId="1DFC4C9F">
                  <w:pPr>
                    <w:widowControl/>
                    <w:jc w:val="center"/>
                    <w:rPr>
                      <w:color w:val="auto"/>
                      <w:highlight w:val="none"/>
                    </w:rPr>
                  </w:pPr>
                  <w:r>
                    <w:rPr>
                      <w:rFonts w:hint="eastAsia"/>
                      <w:color w:val="auto"/>
                      <w:highlight w:val="none"/>
                      <w:lang w:val="en-US" w:eastAsia="zh-CN"/>
                    </w:rPr>
                    <w:t>2.7</w:t>
                  </w:r>
                  <w:r>
                    <w:rPr>
                      <w:rFonts w:hint="eastAsia"/>
                      <w:color w:val="auto"/>
                      <w:highlight w:val="none"/>
                    </w:rPr>
                    <w:t>t/a</w:t>
                  </w:r>
                </w:p>
              </w:tc>
              <w:tc>
                <w:tcPr>
                  <w:tcW w:w="632" w:type="pct"/>
                  <w:vAlign w:val="center"/>
                </w:tcPr>
                <w:p w14:paraId="30FF7B02">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1.125</w:t>
                  </w:r>
                  <w:r>
                    <w:rPr>
                      <w:rFonts w:hint="eastAsia"/>
                      <w:color w:val="auto"/>
                      <w:kern w:val="0"/>
                      <w:szCs w:val="21"/>
                      <w:highlight w:val="none"/>
                    </w:rPr>
                    <w:t>kg/h</w:t>
                  </w:r>
                </w:p>
              </w:tc>
              <w:tc>
                <w:tcPr>
                  <w:tcW w:w="574" w:type="pct"/>
                  <w:vAlign w:val="center"/>
                </w:tcPr>
                <w:p w14:paraId="2B44F679">
                  <w:pPr>
                    <w:widowControl/>
                    <w:jc w:val="center"/>
                    <w:rPr>
                      <w:color w:val="auto"/>
                      <w:kern w:val="0"/>
                      <w:szCs w:val="21"/>
                      <w:highlight w:val="none"/>
                    </w:rPr>
                  </w:pPr>
                  <w:r>
                    <w:rPr>
                      <w:rFonts w:hint="eastAsia"/>
                      <w:color w:val="auto"/>
                      <w:kern w:val="0"/>
                      <w:szCs w:val="21"/>
                      <w:highlight w:val="none"/>
                    </w:rPr>
                    <w:t>/</w:t>
                  </w:r>
                </w:p>
              </w:tc>
            </w:tr>
            <w:tr w14:paraId="54739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restart"/>
                  <w:vAlign w:val="center"/>
                </w:tcPr>
                <w:p w14:paraId="5FED2440">
                  <w:pPr>
                    <w:snapToGrid w:val="0"/>
                    <w:jc w:val="center"/>
                    <w:rPr>
                      <w:color w:val="auto"/>
                      <w:szCs w:val="21"/>
                      <w:highlight w:val="none"/>
                    </w:rPr>
                  </w:pPr>
                  <w:r>
                    <w:rPr>
                      <w:rFonts w:hint="eastAsia"/>
                      <w:color w:val="auto"/>
                      <w:szCs w:val="21"/>
                      <w:highlight w:val="none"/>
                      <w:lang w:val="en-US" w:eastAsia="zh-CN"/>
                    </w:rPr>
                    <w:t>砂浆生产线</w:t>
                  </w:r>
                </w:p>
              </w:tc>
              <w:tc>
                <w:tcPr>
                  <w:tcW w:w="484" w:type="pct"/>
                  <w:vMerge w:val="restart"/>
                  <w:vAlign w:val="center"/>
                </w:tcPr>
                <w:p w14:paraId="12235026">
                  <w:pPr>
                    <w:widowControl/>
                    <w:jc w:val="center"/>
                    <w:rPr>
                      <w:rFonts w:ascii="宋体" w:hAnsi="宋体" w:cs="宋体"/>
                      <w:color w:val="auto"/>
                      <w:kern w:val="0"/>
                      <w:szCs w:val="21"/>
                      <w:highlight w:val="none"/>
                    </w:rPr>
                  </w:pPr>
                  <w:r>
                    <w:rPr>
                      <w:rFonts w:hint="eastAsia"/>
                      <w:color w:val="auto"/>
                      <w:szCs w:val="21"/>
                      <w:highlight w:val="none"/>
                    </w:rPr>
                    <w:t>粉尘</w:t>
                  </w:r>
                </w:p>
              </w:tc>
              <w:tc>
                <w:tcPr>
                  <w:tcW w:w="485" w:type="pct"/>
                  <w:vMerge w:val="restart"/>
                  <w:vAlign w:val="center"/>
                </w:tcPr>
                <w:p w14:paraId="5665DED3">
                  <w:pPr>
                    <w:widowControl/>
                    <w:jc w:val="center"/>
                    <w:rPr>
                      <w:color w:val="auto"/>
                      <w:kern w:val="0"/>
                      <w:szCs w:val="21"/>
                      <w:highlight w:val="none"/>
                    </w:rPr>
                  </w:pPr>
                  <w:r>
                    <w:rPr>
                      <w:rFonts w:hint="eastAsia"/>
                      <w:color w:val="auto"/>
                      <w:kern w:val="0"/>
                      <w:szCs w:val="21"/>
                      <w:highlight w:val="none"/>
                      <w:lang w:val="en-US" w:eastAsia="zh-CN"/>
                    </w:rPr>
                    <w:t>8.1</w:t>
                  </w:r>
                  <w:r>
                    <w:rPr>
                      <w:rFonts w:hint="eastAsia"/>
                      <w:color w:val="auto"/>
                      <w:kern w:val="0"/>
                      <w:szCs w:val="21"/>
                      <w:highlight w:val="none"/>
                    </w:rPr>
                    <w:t>t/a</w:t>
                  </w:r>
                </w:p>
              </w:tc>
              <w:tc>
                <w:tcPr>
                  <w:tcW w:w="820" w:type="pct"/>
                  <w:vMerge w:val="restart"/>
                  <w:vAlign w:val="center"/>
                </w:tcPr>
                <w:p w14:paraId="2005660C">
                  <w:pPr>
                    <w:snapToGrid w:val="0"/>
                    <w:jc w:val="center"/>
                    <w:rPr>
                      <w:color w:val="auto"/>
                      <w:szCs w:val="21"/>
                      <w:highlight w:val="none"/>
                    </w:rPr>
                  </w:pPr>
                  <w:r>
                    <w:rPr>
                      <w:rFonts w:hint="eastAsia"/>
                      <w:color w:val="auto"/>
                      <w:szCs w:val="21"/>
                      <w:highlight w:val="none"/>
                    </w:rPr>
                    <w:t>集尘设施</w:t>
                  </w:r>
                </w:p>
                <w:p w14:paraId="1ED6D77C">
                  <w:pPr>
                    <w:snapToGrid w:val="0"/>
                    <w:jc w:val="center"/>
                    <w:rPr>
                      <w:color w:val="auto"/>
                      <w:szCs w:val="21"/>
                      <w:highlight w:val="none"/>
                    </w:rPr>
                  </w:pPr>
                  <w:r>
                    <w:rPr>
                      <w:rFonts w:hint="eastAsia"/>
                      <w:color w:val="auto"/>
                      <w:szCs w:val="21"/>
                      <w:highlight w:val="none"/>
                    </w:rPr>
                    <w:t>+袋式除尘器</w:t>
                  </w:r>
                </w:p>
              </w:tc>
              <w:tc>
                <w:tcPr>
                  <w:tcW w:w="988" w:type="pct"/>
                  <w:vMerge w:val="restart"/>
                  <w:vAlign w:val="center"/>
                </w:tcPr>
                <w:p w14:paraId="7A0A8A6F">
                  <w:pPr>
                    <w:widowControl/>
                    <w:jc w:val="center"/>
                    <w:rPr>
                      <w:color w:val="auto"/>
                      <w:kern w:val="0"/>
                      <w:szCs w:val="21"/>
                      <w:highlight w:val="none"/>
                    </w:rPr>
                  </w:pPr>
                  <w:r>
                    <w:rPr>
                      <w:rFonts w:hint="eastAsia"/>
                      <w:color w:val="auto"/>
                      <w:kern w:val="0"/>
                      <w:szCs w:val="21"/>
                      <w:highlight w:val="none"/>
                    </w:rPr>
                    <w:t>集气效率为90%，除尘效率为99%</w:t>
                  </w:r>
                </w:p>
              </w:tc>
              <w:tc>
                <w:tcPr>
                  <w:tcW w:w="1779" w:type="pct"/>
                  <w:gridSpan w:val="3"/>
                  <w:vAlign w:val="center"/>
                </w:tcPr>
                <w:p w14:paraId="61525E6B">
                  <w:pPr>
                    <w:widowControl/>
                    <w:jc w:val="center"/>
                    <w:rPr>
                      <w:color w:val="auto"/>
                      <w:kern w:val="0"/>
                      <w:szCs w:val="21"/>
                      <w:highlight w:val="none"/>
                    </w:rPr>
                  </w:pPr>
                  <w:r>
                    <w:rPr>
                      <w:rFonts w:hint="eastAsia"/>
                      <w:color w:val="auto"/>
                      <w:kern w:val="0"/>
                      <w:szCs w:val="21"/>
                      <w:highlight w:val="none"/>
                    </w:rPr>
                    <w:t>有组织</w:t>
                  </w:r>
                </w:p>
              </w:tc>
            </w:tr>
            <w:tr w14:paraId="44E1E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3673CFD3">
                  <w:pPr>
                    <w:snapToGrid w:val="0"/>
                    <w:jc w:val="center"/>
                    <w:rPr>
                      <w:color w:val="auto"/>
                      <w:szCs w:val="21"/>
                      <w:highlight w:val="none"/>
                    </w:rPr>
                  </w:pPr>
                </w:p>
              </w:tc>
              <w:tc>
                <w:tcPr>
                  <w:tcW w:w="484" w:type="pct"/>
                  <w:vMerge w:val="continue"/>
                  <w:vAlign w:val="center"/>
                </w:tcPr>
                <w:p w14:paraId="287A284A">
                  <w:pPr>
                    <w:widowControl/>
                    <w:jc w:val="center"/>
                    <w:rPr>
                      <w:rFonts w:ascii="宋体" w:hAnsi="宋体" w:cs="宋体"/>
                      <w:color w:val="auto"/>
                      <w:kern w:val="0"/>
                      <w:szCs w:val="21"/>
                      <w:highlight w:val="none"/>
                    </w:rPr>
                  </w:pPr>
                </w:p>
              </w:tc>
              <w:tc>
                <w:tcPr>
                  <w:tcW w:w="485" w:type="pct"/>
                  <w:vMerge w:val="continue"/>
                  <w:vAlign w:val="center"/>
                </w:tcPr>
                <w:p w14:paraId="6CFF235F">
                  <w:pPr>
                    <w:widowControl/>
                    <w:jc w:val="center"/>
                    <w:rPr>
                      <w:color w:val="auto"/>
                      <w:kern w:val="0"/>
                      <w:szCs w:val="21"/>
                      <w:highlight w:val="none"/>
                    </w:rPr>
                  </w:pPr>
                </w:p>
              </w:tc>
              <w:tc>
                <w:tcPr>
                  <w:tcW w:w="820" w:type="pct"/>
                  <w:vMerge w:val="continue"/>
                  <w:vAlign w:val="center"/>
                </w:tcPr>
                <w:p w14:paraId="6826C3E7">
                  <w:pPr>
                    <w:snapToGrid w:val="0"/>
                    <w:jc w:val="center"/>
                    <w:rPr>
                      <w:color w:val="auto"/>
                      <w:szCs w:val="21"/>
                      <w:highlight w:val="none"/>
                    </w:rPr>
                  </w:pPr>
                </w:p>
              </w:tc>
              <w:tc>
                <w:tcPr>
                  <w:tcW w:w="988" w:type="pct"/>
                  <w:vMerge w:val="continue"/>
                  <w:vAlign w:val="center"/>
                </w:tcPr>
                <w:p w14:paraId="6364F543">
                  <w:pPr>
                    <w:widowControl/>
                    <w:jc w:val="center"/>
                    <w:rPr>
                      <w:color w:val="auto"/>
                      <w:kern w:val="0"/>
                      <w:szCs w:val="21"/>
                      <w:highlight w:val="none"/>
                    </w:rPr>
                  </w:pPr>
                </w:p>
              </w:tc>
              <w:tc>
                <w:tcPr>
                  <w:tcW w:w="572" w:type="pct"/>
                  <w:vAlign w:val="center"/>
                </w:tcPr>
                <w:p w14:paraId="65A012A3">
                  <w:pPr>
                    <w:widowControl/>
                    <w:jc w:val="center"/>
                    <w:rPr>
                      <w:color w:val="auto"/>
                      <w:kern w:val="0"/>
                      <w:szCs w:val="21"/>
                      <w:highlight w:val="none"/>
                    </w:rPr>
                  </w:pPr>
                  <w:r>
                    <w:rPr>
                      <w:rFonts w:hint="eastAsia"/>
                      <w:color w:val="auto"/>
                      <w:kern w:val="0"/>
                      <w:szCs w:val="21"/>
                      <w:highlight w:val="none"/>
                    </w:rPr>
                    <w:t>0.0</w:t>
                  </w:r>
                  <w:r>
                    <w:rPr>
                      <w:rFonts w:hint="eastAsia"/>
                      <w:color w:val="auto"/>
                      <w:kern w:val="0"/>
                      <w:szCs w:val="21"/>
                      <w:highlight w:val="none"/>
                      <w:lang w:val="en-US" w:eastAsia="zh-CN"/>
                    </w:rPr>
                    <w:t>73</w:t>
                  </w:r>
                  <w:r>
                    <w:rPr>
                      <w:rFonts w:hint="eastAsia"/>
                      <w:color w:val="auto"/>
                      <w:kern w:val="0"/>
                      <w:szCs w:val="21"/>
                      <w:highlight w:val="none"/>
                    </w:rPr>
                    <w:t>t/a</w:t>
                  </w:r>
                </w:p>
              </w:tc>
              <w:tc>
                <w:tcPr>
                  <w:tcW w:w="632" w:type="pct"/>
                  <w:vAlign w:val="center"/>
                </w:tcPr>
                <w:p w14:paraId="748E9C70">
                  <w:pPr>
                    <w:widowControl/>
                    <w:jc w:val="center"/>
                    <w:rPr>
                      <w:color w:val="auto"/>
                      <w:kern w:val="0"/>
                      <w:szCs w:val="21"/>
                      <w:highlight w:val="none"/>
                    </w:rPr>
                  </w:pPr>
                  <w:r>
                    <w:rPr>
                      <w:rFonts w:hint="eastAsia"/>
                      <w:color w:val="auto"/>
                      <w:kern w:val="0"/>
                      <w:szCs w:val="21"/>
                      <w:highlight w:val="none"/>
                    </w:rPr>
                    <w:t>0.03kg/h</w:t>
                  </w:r>
                </w:p>
              </w:tc>
              <w:tc>
                <w:tcPr>
                  <w:tcW w:w="574" w:type="pct"/>
                  <w:vAlign w:val="center"/>
                </w:tcPr>
                <w:p w14:paraId="2078070E">
                  <w:pPr>
                    <w:widowControl/>
                    <w:jc w:val="center"/>
                    <w:rPr>
                      <w:color w:val="auto"/>
                      <w:kern w:val="0"/>
                      <w:szCs w:val="21"/>
                      <w:highlight w:val="none"/>
                    </w:rPr>
                  </w:pPr>
                  <w:r>
                    <w:rPr>
                      <w:rFonts w:hint="eastAsia"/>
                      <w:color w:val="auto"/>
                      <w:kern w:val="0"/>
                      <w:szCs w:val="21"/>
                      <w:highlight w:val="none"/>
                      <w:lang w:val="en-US" w:eastAsia="zh-CN"/>
                    </w:rPr>
                    <w:t>3</w:t>
                  </w:r>
                  <w:r>
                    <w:rPr>
                      <w:rFonts w:hint="eastAsia"/>
                      <w:color w:val="auto"/>
                      <w:kern w:val="0"/>
                      <w:szCs w:val="21"/>
                      <w:highlight w:val="none"/>
                    </w:rPr>
                    <w:t>mg/m</w:t>
                  </w:r>
                  <w:r>
                    <w:rPr>
                      <w:rFonts w:hint="eastAsia"/>
                      <w:color w:val="auto"/>
                      <w:kern w:val="0"/>
                      <w:szCs w:val="21"/>
                      <w:highlight w:val="none"/>
                      <w:vertAlign w:val="superscript"/>
                    </w:rPr>
                    <w:t>3</w:t>
                  </w:r>
                </w:p>
              </w:tc>
            </w:tr>
            <w:tr w14:paraId="4C289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7968B80E">
                  <w:pPr>
                    <w:snapToGrid w:val="0"/>
                    <w:jc w:val="center"/>
                    <w:rPr>
                      <w:color w:val="auto"/>
                      <w:szCs w:val="21"/>
                      <w:highlight w:val="none"/>
                    </w:rPr>
                  </w:pPr>
                </w:p>
              </w:tc>
              <w:tc>
                <w:tcPr>
                  <w:tcW w:w="484" w:type="pct"/>
                  <w:vMerge w:val="continue"/>
                  <w:vAlign w:val="center"/>
                </w:tcPr>
                <w:p w14:paraId="070A9762">
                  <w:pPr>
                    <w:widowControl/>
                    <w:jc w:val="center"/>
                    <w:rPr>
                      <w:rFonts w:ascii="宋体" w:hAnsi="宋体" w:cs="宋体"/>
                      <w:color w:val="auto"/>
                      <w:kern w:val="0"/>
                      <w:szCs w:val="21"/>
                      <w:highlight w:val="none"/>
                    </w:rPr>
                  </w:pPr>
                </w:p>
              </w:tc>
              <w:tc>
                <w:tcPr>
                  <w:tcW w:w="485" w:type="pct"/>
                  <w:vMerge w:val="continue"/>
                  <w:vAlign w:val="center"/>
                </w:tcPr>
                <w:p w14:paraId="22012074">
                  <w:pPr>
                    <w:widowControl/>
                    <w:jc w:val="center"/>
                    <w:rPr>
                      <w:color w:val="auto"/>
                      <w:kern w:val="0"/>
                      <w:szCs w:val="21"/>
                      <w:highlight w:val="none"/>
                    </w:rPr>
                  </w:pPr>
                </w:p>
              </w:tc>
              <w:tc>
                <w:tcPr>
                  <w:tcW w:w="820" w:type="pct"/>
                  <w:vMerge w:val="continue"/>
                  <w:vAlign w:val="center"/>
                </w:tcPr>
                <w:p w14:paraId="4896923B">
                  <w:pPr>
                    <w:snapToGrid w:val="0"/>
                    <w:jc w:val="center"/>
                    <w:rPr>
                      <w:color w:val="auto"/>
                      <w:szCs w:val="21"/>
                      <w:highlight w:val="none"/>
                    </w:rPr>
                  </w:pPr>
                </w:p>
              </w:tc>
              <w:tc>
                <w:tcPr>
                  <w:tcW w:w="988" w:type="pct"/>
                  <w:vMerge w:val="continue"/>
                  <w:vAlign w:val="center"/>
                </w:tcPr>
                <w:p w14:paraId="290FEF38">
                  <w:pPr>
                    <w:widowControl/>
                    <w:jc w:val="center"/>
                    <w:rPr>
                      <w:color w:val="auto"/>
                      <w:kern w:val="0"/>
                      <w:szCs w:val="21"/>
                      <w:highlight w:val="none"/>
                    </w:rPr>
                  </w:pPr>
                </w:p>
              </w:tc>
              <w:tc>
                <w:tcPr>
                  <w:tcW w:w="1779" w:type="pct"/>
                  <w:gridSpan w:val="3"/>
                  <w:vAlign w:val="center"/>
                </w:tcPr>
                <w:p w14:paraId="68AF9105">
                  <w:pPr>
                    <w:widowControl/>
                    <w:jc w:val="center"/>
                    <w:rPr>
                      <w:color w:val="auto"/>
                      <w:kern w:val="0"/>
                      <w:szCs w:val="21"/>
                      <w:highlight w:val="none"/>
                    </w:rPr>
                  </w:pPr>
                  <w:r>
                    <w:rPr>
                      <w:rFonts w:hint="eastAsia"/>
                      <w:color w:val="auto"/>
                      <w:kern w:val="0"/>
                      <w:szCs w:val="21"/>
                      <w:highlight w:val="none"/>
                    </w:rPr>
                    <w:t>无组织</w:t>
                  </w:r>
                </w:p>
              </w:tc>
            </w:tr>
            <w:tr w14:paraId="346DB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1" w:type="pct"/>
                  <w:vMerge w:val="continue"/>
                  <w:vAlign w:val="center"/>
                </w:tcPr>
                <w:p w14:paraId="1D901E35">
                  <w:pPr>
                    <w:snapToGrid w:val="0"/>
                    <w:jc w:val="center"/>
                    <w:rPr>
                      <w:color w:val="auto"/>
                      <w:szCs w:val="21"/>
                      <w:highlight w:val="none"/>
                    </w:rPr>
                  </w:pPr>
                </w:p>
              </w:tc>
              <w:tc>
                <w:tcPr>
                  <w:tcW w:w="484" w:type="pct"/>
                  <w:vMerge w:val="continue"/>
                  <w:vAlign w:val="center"/>
                </w:tcPr>
                <w:p w14:paraId="4E677A62">
                  <w:pPr>
                    <w:widowControl/>
                    <w:jc w:val="center"/>
                    <w:rPr>
                      <w:rFonts w:ascii="宋体" w:hAnsi="宋体" w:cs="宋体"/>
                      <w:color w:val="auto"/>
                      <w:kern w:val="0"/>
                      <w:szCs w:val="21"/>
                      <w:highlight w:val="none"/>
                    </w:rPr>
                  </w:pPr>
                </w:p>
              </w:tc>
              <w:tc>
                <w:tcPr>
                  <w:tcW w:w="485" w:type="pct"/>
                  <w:vMerge w:val="continue"/>
                  <w:vAlign w:val="center"/>
                </w:tcPr>
                <w:p w14:paraId="31C12168">
                  <w:pPr>
                    <w:widowControl/>
                    <w:jc w:val="center"/>
                    <w:rPr>
                      <w:color w:val="auto"/>
                      <w:kern w:val="0"/>
                      <w:szCs w:val="21"/>
                      <w:highlight w:val="none"/>
                    </w:rPr>
                  </w:pPr>
                </w:p>
              </w:tc>
              <w:tc>
                <w:tcPr>
                  <w:tcW w:w="820" w:type="pct"/>
                  <w:vMerge w:val="continue"/>
                  <w:vAlign w:val="center"/>
                </w:tcPr>
                <w:p w14:paraId="5E1B7800">
                  <w:pPr>
                    <w:snapToGrid w:val="0"/>
                    <w:jc w:val="center"/>
                    <w:rPr>
                      <w:color w:val="auto"/>
                      <w:szCs w:val="21"/>
                      <w:highlight w:val="none"/>
                    </w:rPr>
                  </w:pPr>
                </w:p>
              </w:tc>
              <w:tc>
                <w:tcPr>
                  <w:tcW w:w="988" w:type="pct"/>
                  <w:vMerge w:val="continue"/>
                  <w:vAlign w:val="center"/>
                </w:tcPr>
                <w:p w14:paraId="6B96BF50">
                  <w:pPr>
                    <w:widowControl/>
                    <w:jc w:val="center"/>
                    <w:rPr>
                      <w:color w:val="auto"/>
                      <w:kern w:val="0"/>
                      <w:szCs w:val="21"/>
                      <w:highlight w:val="none"/>
                    </w:rPr>
                  </w:pPr>
                </w:p>
              </w:tc>
              <w:tc>
                <w:tcPr>
                  <w:tcW w:w="572" w:type="pct"/>
                  <w:vAlign w:val="center"/>
                </w:tcPr>
                <w:p w14:paraId="1B046A0F">
                  <w:pPr>
                    <w:widowControl/>
                    <w:jc w:val="center"/>
                    <w:rPr>
                      <w:color w:val="auto"/>
                      <w:highlight w:val="none"/>
                    </w:rPr>
                  </w:pPr>
                  <w:r>
                    <w:rPr>
                      <w:rFonts w:hint="eastAsia"/>
                      <w:color w:val="auto"/>
                      <w:highlight w:val="none"/>
                      <w:lang w:val="en-US" w:eastAsia="zh-CN"/>
                    </w:rPr>
                    <w:t>0.81</w:t>
                  </w:r>
                  <w:r>
                    <w:rPr>
                      <w:rFonts w:hint="eastAsia"/>
                      <w:color w:val="auto"/>
                      <w:highlight w:val="none"/>
                    </w:rPr>
                    <w:t>t/a</w:t>
                  </w:r>
                </w:p>
              </w:tc>
              <w:tc>
                <w:tcPr>
                  <w:tcW w:w="632" w:type="pct"/>
                  <w:vAlign w:val="center"/>
                </w:tcPr>
                <w:p w14:paraId="50143E00">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0.337</w:t>
                  </w:r>
                  <w:r>
                    <w:rPr>
                      <w:rFonts w:hint="eastAsia"/>
                      <w:color w:val="auto"/>
                      <w:kern w:val="0"/>
                      <w:szCs w:val="21"/>
                      <w:highlight w:val="none"/>
                    </w:rPr>
                    <w:t>kg/h</w:t>
                  </w:r>
                </w:p>
              </w:tc>
              <w:tc>
                <w:tcPr>
                  <w:tcW w:w="574" w:type="pct"/>
                  <w:vAlign w:val="center"/>
                </w:tcPr>
                <w:p w14:paraId="2F990556">
                  <w:pPr>
                    <w:widowControl/>
                    <w:jc w:val="center"/>
                    <w:rPr>
                      <w:color w:val="auto"/>
                      <w:kern w:val="0"/>
                      <w:szCs w:val="21"/>
                      <w:highlight w:val="none"/>
                    </w:rPr>
                  </w:pPr>
                </w:p>
              </w:tc>
            </w:tr>
            <w:tr w14:paraId="3CD83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vAlign w:val="center"/>
                </w:tcPr>
                <w:p w14:paraId="3CD1E653">
                  <w:pPr>
                    <w:widowControl/>
                    <w:jc w:val="both"/>
                    <w:rPr>
                      <w:rFonts w:hint="default" w:eastAsia="宋体"/>
                      <w:color w:val="auto"/>
                      <w:kern w:val="0"/>
                      <w:szCs w:val="21"/>
                      <w:highlight w:val="none"/>
                      <w:lang w:val="en-US" w:eastAsia="zh-CN"/>
                    </w:rPr>
                  </w:pPr>
                  <w:r>
                    <w:rPr>
                      <w:rFonts w:hint="eastAsia"/>
                      <w:color w:val="auto"/>
                      <w:kern w:val="0"/>
                      <w:szCs w:val="21"/>
                      <w:highlight w:val="none"/>
                      <w:lang w:eastAsia="zh-CN"/>
                    </w:rPr>
                    <w:t>注：风机风量为</w:t>
                  </w:r>
                  <w:r>
                    <w:rPr>
                      <w:rFonts w:hint="eastAsia"/>
                      <w:color w:val="auto"/>
                      <w:kern w:val="0"/>
                      <w:szCs w:val="21"/>
                      <w:highlight w:val="none"/>
                      <w:lang w:val="en-US" w:eastAsia="zh-CN"/>
                    </w:rPr>
                    <w:t>10000m</w:t>
                  </w:r>
                  <w:r>
                    <w:rPr>
                      <w:rFonts w:hint="eastAsia"/>
                      <w:color w:val="auto"/>
                      <w:kern w:val="0"/>
                      <w:szCs w:val="21"/>
                      <w:highlight w:val="none"/>
                      <w:vertAlign w:val="superscript"/>
                      <w:lang w:val="en-US" w:eastAsia="zh-CN"/>
                    </w:rPr>
                    <w:t>3</w:t>
                  </w:r>
                  <w:r>
                    <w:rPr>
                      <w:rFonts w:hint="eastAsia"/>
                      <w:color w:val="auto"/>
                      <w:kern w:val="0"/>
                      <w:szCs w:val="21"/>
                      <w:highlight w:val="none"/>
                      <w:lang w:val="en-US" w:eastAsia="zh-CN"/>
                    </w:rPr>
                    <w:t>/h。</w:t>
                  </w:r>
                </w:p>
              </w:tc>
            </w:tr>
          </w:tbl>
          <w:p w14:paraId="73ADB44C">
            <w:pPr>
              <w:adjustRightInd w:val="0"/>
              <w:snapToGrid w:val="0"/>
              <w:spacing w:line="360" w:lineRule="auto"/>
              <w:ind w:firstLine="482" w:firstLineChars="200"/>
              <w:rPr>
                <w:rFonts w:hint="eastAsia"/>
                <w:b/>
                <w:bCs/>
                <w:color w:val="auto"/>
                <w:sz w:val="24"/>
                <w:highlight w:val="none"/>
              </w:rPr>
            </w:pPr>
            <w:r>
              <w:rPr>
                <w:rFonts w:hint="eastAsia"/>
                <w:b/>
                <w:bCs/>
                <w:color w:val="auto"/>
                <w:sz w:val="24"/>
                <w:highlight w:val="none"/>
              </w:rPr>
              <w:t>达标性分析：</w:t>
            </w:r>
          </w:p>
          <w:p w14:paraId="011F8411">
            <w:pPr>
              <w:adjustRightInd w:val="0"/>
              <w:snapToGrid w:val="0"/>
              <w:spacing w:line="360" w:lineRule="auto"/>
              <w:ind w:firstLine="480" w:firstLineChars="200"/>
              <w:rPr>
                <w:rFonts w:hint="eastAsia" w:eastAsia="宋体"/>
                <w:b w:val="0"/>
                <w:bCs w:val="0"/>
                <w:color w:val="auto"/>
                <w:sz w:val="24"/>
                <w:highlight w:val="none"/>
                <w:lang w:eastAsia="zh-CN"/>
              </w:rPr>
            </w:pPr>
            <w:r>
              <w:rPr>
                <w:rFonts w:hint="default" w:ascii="Times New Roman" w:hAnsi="Times New Roman" w:eastAsia="宋体" w:cs="Times New Roman"/>
                <w:b w:val="0"/>
                <w:bCs w:val="0"/>
                <w:color w:val="auto"/>
                <w:kern w:val="0"/>
                <w:sz w:val="24"/>
                <w:highlight w:val="none"/>
              </w:rPr>
              <w:t>①</w:t>
            </w:r>
            <w:r>
              <w:rPr>
                <w:rFonts w:hint="eastAsia" w:eastAsia="宋体"/>
                <w:b w:val="0"/>
                <w:bCs w:val="0"/>
                <w:color w:val="auto"/>
                <w:sz w:val="24"/>
                <w:highlight w:val="none"/>
                <w:lang w:eastAsia="zh-CN"/>
              </w:rPr>
              <w:t>有组织达标性分析</w:t>
            </w:r>
          </w:p>
          <w:p w14:paraId="31819D44">
            <w:pPr>
              <w:pStyle w:val="46"/>
              <w:rPr>
                <w:rFonts w:hint="eastAsia" w:ascii="Times New Roman" w:hAnsi="Times New Roman" w:eastAsia="宋体"/>
                <w:color w:val="auto"/>
                <w:szCs w:val="24"/>
                <w:highlight w:val="none"/>
                <w:lang w:eastAsia="zh-CN"/>
              </w:rPr>
            </w:pPr>
            <w:r>
              <w:rPr>
                <w:rFonts w:ascii="Times New Roman" w:hAnsi="Times New Roman"/>
                <w:color w:val="auto"/>
                <w:szCs w:val="24"/>
                <w:highlight w:val="none"/>
              </w:rPr>
              <w:t>根据</w:t>
            </w:r>
            <w:r>
              <w:rPr>
                <w:rFonts w:hint="eastAsia" w:ascii="Times New Roman" w:hAnsi="Times New Roman"/>
                <w:color w:val="auto"/>
                <w:szCs w:val="24"/>
                <w:highlight w:val="none"/>
              </w:rPr>
              <w:t>表4-1可知，</w:t>
            </w:r>
            <w:r>
              <w:rPr>
                <w:rFonts w:hint="eastAsia" w:ascii="Times New Roman" w:hAnsi="Times New Roman"/>
                <w:color w:val="auto"/>
                <w:szCs w:val="24"/>
                <w:highlight w:val="none"/>
                <w:lang w:eastAsia="zh-CN"/>
              </w:rPr>
              <w:t>新增工程运营期间</w:t>
            </w:r>
            <w:r>
              <w:rPr>
                <w:rFonts w:hint="eastAsia"/>
                <w:color w:val="auto"/>
                <w:szCs w:val="21"/>
                <w:highlight w:val="none"/>
                <w:lang w:val="en-US" w:eastAsia="zh-CN"/>
              </w:rPr>
              <w:t>腻子粉和石膏粉生产线</w:t>
            </w:r>
            <w:r>
              <w:rPr>
                <w:rFonts w:hint="eastAsia" w:ascii="Times New Roman" w:hAnsi="Times New Roman"/>
                <w:color w:val="auto"/>
                <w:szCs w:val="24"/>
                <w:highlight w:val="none"/>
              </w:rPr>
              <w:t>粉尘</w:t>
            </w:r>
            <w:r>
              <w:rPr>
                <w:rFonts w:hint="eastAsia" w:ascii="Times New Roman" w:hAnsi="Times New Roman"/>
                <w:color w:val="auto"/>
                <w:szCs w:val="24"/>
                <w:highlight w:val="none"/>
                <w:lang w:eastAsia="zh-CN"/>
              </w:rPr>
              <w:t>排放浓度《水泥工业大气污染物排放标准》（GB4915-2013）表1中标准限值（</w:t>
            </w:r>
            <w:r>
              <w:rPr>
                <w:rFonts w:hint="eastAsia" w:ascii="Times New Roman" w:hAnsi="Times New Roman"/>
                <w:color w:val="auto"/>
                <w:szCs w:val="24"/>
                <w:highlight w:val="none"/>
                <w:lang w:val="en-US" w:eastAsia="zh-CN"/>
              </w:rPr>
              <w:t>20mg/m</w:t>
            </w:r>
            <w:r>
              <w:rPr>
                <w:rFonts w:hint="eastAsia" w:ascii="Times New Roman" w:hAnsi="Times New Roman"/>
                <w:color w:val="auto"/>
                <w:szCs w:val="24"/>
                <w:highlight w:val="none"/>
                <w:vertAlign w:val="superscript"/>
                <w:lang w:val="en-US" w:eastAsia="zh-CN"/>
              </w:rPr>
              <w:t>3</w:t>
            </w:r>
            <w:r>
              <w:rPr>
                <w:rFonts w:hint="eastAsia" w:ascii="Times New Roman" w:hAnsi="Times New Roman"/>
                <w:color w:val="auto"/>
                <w:szCs w:val="24"/>
                <w:highlight w:val="none"/>
                <w:lang w:eastAsia="zh-CN"/>
              </w:rPr>
              <w:t>），</w:t>
            </w:r>
            <w:r>
              <w:rPr>
                <w:rFonts w:hint="eastAsia"/>
                <w:color w:val="auto"/>
                <w:szCs w:val="21"/>
                <w:highlight w:val="none"/>
                <w:lang w:val="en-US" w:eastAsia="zh-CN"/>
              </w:rPr>
              <w:t>砂浆生产线</w:t>
            </w:r>
            <w:r>
              <w:rPr>
                <w:rFonts w:hint="eastAsia" w:ascii="Times New Roman" w:hAnsi="Times New Roman"/>
                <w:color w:val="auto"/>
                <w:szCs w:val="24"/>
                <w:highlight w:val="none"/>
              </w:rPr>
              <w:t>粉尘</w:t>
            </w:r>
            <w:r>
              <w:rPr>
                <w:rFonts w:hint="eastAsia" w:ascii="Times New Roman" w:hAnsi="Times New Roman"/>
                <w:color w:val="auto"/>
                <w:szCs w:val="24"/>
                <w:highlight w:val="none"/>
                <w:lang w:eastAsia="zh-CN"/>
              </w:rPr>
              <w:t>同样满足《水泥工业大气污染物排放标准》（GB4915-2013）表1中标准限值（</w:t>
            </w:r>
            <w:r>
              <w:rPr>
                <w:rFonts w:hint="eastAsia" w:ascii="Times New Roman" w:hAnsi="Times New Roman"/>
                <w:color w:val="auto"/>
                <w:szCs w:val="24"/>
                <w:highlight w:val="none"/>
                <w:lang w:val="en-US" w:eastAsia="zh-CN"/>
              </w:rPr>
              <w:t>20mg/m</w:t>
            </w:r>
            <w:r>
              <w:rPr>
                <w:rFonts w:hint="eastAsia" w:ascii="Times New Roman" w:hAnsi="Times New Roman"/>
                <w:color w:val="auto"/>
                <w:szCs w:val="24"/>
                <w:highlight w:val="none"/>
                <w:vertAlign w:val="superscript"/>
                <w:lang w:val="en-US" w:eastAsia="zh-CN"/>
              </w:rPr>
              <w:t>3</w:t>
            </w:r>
            <w:r>
              <w:rPr>
                <w:rFonts w:hint="eastAsia" w:ascii="Times New Roman" w:hAnsi="Times New Roman"/>
                <w:color w:val="auto"/>
                <w:szCs w:val="24"/>
                <w:highlight w:val="none"/>
                <w:lang w:eastAsia="zh-CN"/>
              </w:rPr>
              <w:t>），故有组织粉尘可达标排放。</w:t>
            </w:r>
          </w:p>
          <w:p w14:paraId="5D5BAF27">
            <w:pPr>
              <w:pStyle w:val="46"/>
              <w:rPr>
                <w:rFonts w:hint="eastAsia" w:eastAsia="宋体"/>
                <w:b/>
                <w:bCs/>
                <w:color w:val="auto"/>
                <w:sz w:val="24"/>
                <w:highlight w:val="none"/>
                <w:lang w:eastAsia="zh-CN"/>
              </w:rPr>
            </w:pPr>
            <w:r>
              <w:rPr>
                <w:rFonts w:hint="eastAsia" w:ascii="宋体" w:hAnsi="宋体" w:eastAsia="宋体" w:cs="宋体"/>
                <w:color w:val="auto"/>
                <w:szCs w:val="24"/>
                <w:highlight w:val="none"/>
              </w:rPr>
              <w:t>②</w:t>
            </w:r>
            <w:r>
              <w:rPr>
                <w:rFonts w:hint="eastAsia" w:ascii="Times New Roman" w:hAnsi="Times New Roman" w:eastAsia="宋体"/>
                <w:color w:val="auto"/>
                <w:szCs w:val="24"/>
                <w:highlight w:val="none"/>
                <w:lang w:eastAsia="zh-CN"/>
              </w:rPr>
              <w:t>无组织达标性分析</w:t>
            </w:r>
          </w:p>
          <w:p w14:paraId="1694E1E8">
            <w:pPr>
              <w:pStyle w:val="2"/>
              <w:spacing w:line="360" w:lineRule="auto"/>
              <w:ind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由于新增工程在原有车间内进行，故本次将现有工程与新增工程无组织粉尘整体进行估算（详见本章第3小节达标性分析）。</w:t>
            </w:r>
          </w:p>
          <w:p w14:paraId="1BB2C29A">
            <w:pPr>
              <w:adjustRightInd w:val="0"/>
              <w:snapToGrid w:val="0"/>
              <w:spacing w:line="360" w:lineRule="auto"/>
              <w:ind w:firstLine="482" w:firstLineChars="200"/>
              <w:rPr>
                <w:rFonts w:hint="eastAsia" w:eastAsia="宋体"/>
                <w:b/>
                <w:bCs/>
                <w:color w:val="auto"/>
                <w:sz w:val="24"/>
                <w:highlight w:val="none"/>
                <w:lang w:val="en-US" w:eastAsia="zh-CN"/>
              </w:rPr>
            </w:pPr>
            <w:r>
              <w:rPr>
                <w:rFonts w:hint="eastAsia"/>
                <w:b/>
                <w:bCs/>
                <w:color w:val="auto"/>
                <w:sz w:val="24"/>
                <w:highlight w:val="none"/>
              </w:rPr>
              <w:t>可行性分析：</w:t>
            </w:r>
            <w:r>
              <w:rPr>
                <w:rFonts w:hint="eastAsia"/>
                <w:b w:val="0"/>
                <w:bCs w:val="0"/>
                <w:color w:val="auto"/>
                <w:sz w:val="24"/>
                <w:highlight w:val="none"/>
                <w:lang w:eastAsia="zh-CN"/>
              </w:rPr>
              <w:t>本次参照《排污许可证申请与核发技术规范</w:t>
            </w:r>
            <w:r>
              <w:rPr>
                <w:rFonts w:hint="eastAsia"/>
                <w:b w:val="0"/>
                <w:bCs w:val="0"/>
                <w:color w:val="auto"/>
                <w:sz w:val="24"/>
                <w:highlight w:val="none"/>
                <w:lang w:val="en-US" w:eastAsia="zh-CN"/>
              </w:rPr>
              <w:t xml:space="preserve">  </w:t>
            </w:r>
            <w:r>
              <w:rPr>
                <w:rFonts w:hint="eastAsia"/>
                <w:b w:val="0"/>
                <w:bCs w:val="0"/>
                <w:color w:val="auto"/>
                <w:sz w:val="24"/>
                <w:highlight w:val="none"/>
                <w:lang w:eastAsia="zh-CN"/>
              </w:rPr>
              <w:t>水泥工业》（HJ847</w:t>
            </w:r>
            <w:r>
              <w:rPr>
                <w:rFonts w:hint="eastAsia"/>
                <w:b w:val="0"/>
                <w:bCs w:val="0"/>
                <w:color w:val="auto"/>
                <w:sz w:val="24"/>
                <w:highlight w:val="none"/>
                <w:lang w:val="en-US" w:eastAsia="zh-CN"/>
              </w:rPr>
              <w:t>-</w:t>
            </w:r>
            <w:r>
              <w:rPr>
                <w:rFonts w:hint="eastAsia"/>
                <w:b w:val="0"/>
                <w:bCs w:val="0"/>
                <w:color w:val="auto"/>
                <w:sz w:val="24"/>
                <w:highlight w:val="none"/>
                <w:lang w:eastAsia="zh-CN"/>
              </w:rPr>
              <w:t>2017）附录</w:t>
            </w:r>
            <w:r>
              <w:rPr>
                <w:rFonts w:hint="eastAsia"/>
                <w:b w:val="0"/>
                <w:bCs w:val="0"/>
                <w:color w:val="auto"/>
                <w:sz w:val="24"/>
                <w:highlight w:val="none"/>
                <w:lang w:val="en-US" w:eastAsia="zh-CN"/>
              </w:rPr>
              <w:t>B中污染防治可行技术可知，新增工程搅拌、包装环节采取布袋除尘器处理粉尘可行；</w:t>
            </w:r>
            <w:r>
              <w:rPr>
                <w:rFonts w:hint="eastAsia"/>
                <w:b w:val="0"/>
                <w:bCs w:val="0"/>
                <w:color w:val="auto"/>
                <w:kern w:val="0"/>
                <w:sz w:val="24"/>
                <w:highlight w:val="none"/>
              </w:rPr>
              <w:t>同时，</w:t>
            </w:r>
            <w:r>
              <w:rPr>
                <w:rFonts w:hint="eastAsia"/>
                <w:b w:val="0"/>
                <w:bCs w:val="0"/>
                <w:color w:val="auto"/>
                <w:sz w:val="24"/>
                <w:highlight w:val="none"/>
              </w:rPr>
              <w:t>通过采取</w:t>
            </w:r>
            <w:r>
              <w:rPr>
                <w:rFonts w:hint="eastAsia"/>
                <w:b w:val="0"/>
                <w:bCs w:val="0"/>
                <w:color w:val="auto"/>
                <w:sz w:val="24"/>
                <w:highlight w:val="none"/>
                <w:lang w:eastAsia="zh-CN"/>
              </w:rPr>
              <w:t>车间封闭</w:t>
            </w:r>
            <w:r>
              <w:rPr>
                <w:rFonts w:hint="eastAsia"/>
                <w:b w:val="0"/>
                <w:bCs w:val="0"/>
                <w:color w:val="auto"/>
                <w:sz w:val="24"/>
                <w:highlight w:val="none"/>
              </w:rPr>
              <w:t>、</w:t>
            </w:r>
            <w:r>
              <w:rPr>
                <w:rFonts w:hint="eastAsia"/>
                <w:b w:val="0"/>
                <w:bCs w:val="0"/>
                <w:color w:val="auto"/>
                <w:sz w:val="24"/>
                <w:highlight w:val="none"/>
                <w:lang w:eastAsia="zh-CN"/>
              </w:rPr>
              <w:t>原料区三面封闭</w:t>
            </w:r>
            <w:r>
              <w:rPr>
                <w:rFonts w:hint="eastAsia"/>
                <w:b w:val="0"/>
                <w:bCs w:val="0"/>
                <w:color w:val="auto"/>
                <w:sz w:val="24"/>
                <w:highlight w:val="none"/>
                <w:lang w:val="en-US" w:eastAsia="zh-CN"/>
              </w:rPr>
              <w:t>+顶棚处置、</w:t>
            </w:r>
            <w:r>
              <w:rPr>
                <w:b w:val="0"/>
                <w:bCs w:val="0"/>
                <w:color w:val="auto"/>
                <w:sz w:val="24"/>
                <w:highlight w:val="none"/>
              </w:rPr>
              <w:t>合理控制</w:t>
            </w:r>
            <w:r>
              <w:rPr>
                <w:rFonts w:hint="eastAsia"/>
                <w:b w:val="0"/>
                <w:bCs w:val="0"/>
                <w:color w:val="auto"/>
                <w:sz w:val="24"/>
                <w:highlight w:val="none"/>
              </w:rPr>
              <w:t>卸料</w:t>
            </w:r>
            <w:r>
              <w:rPr>
                <w:b w:val="0"/>
                <w:bCs w:val="0"/>
                <w:color w:val="auto"/>
                <w:sz w:val="24"/>
                <w:highlight w:val="none"/>
              </w:rPr>
              <w:t>高度</w:t>
            </w:r>
            <w:r>
              <w:rPr>
                <w:rFonts w:hint="eastAsia"/>
                <w:b w:val="0"/>
                <w:bCs w:val="0"/>
                <w:color w:val="auto"/>
                <w:sz w:val="24"/>
                <w:highlight w:val="none"/>
              </w:rPr>
              <w:t>等措施可有效降低</w:t>
            </w:r>
            <w:r>
              <w:rPr>
                <w:rFonts w:hint="eastAsia"/>
                <w:b w:val="0"/>
                <w:bCs w:val="0"/>
                <w:color w:val="auto"/>
                <w:sz w:val="24"/>
                <w:highlight w:val="none"/>
                <w:lang w:eastAsia="zh-CN"/>
              </w:rPr>
              <w:t>无组织</w:t>
            </w:r>
            <w:r>
              <w:rPr>
                <w:rFonts w:hint="eastAsia"/>
                <w:b w:val="0"/>
                <w:bCs w:val="0"/>
                <w:color w:val="auto"/>
                <w:sz w:val="24"/>
                <w:highlight w:val="none"/>
              </w:rPr>
              <w:t>粉尘产生量</w:t>
            </w:r>
            <w:r>
              <w:rPr>
                <w:rFonts w:hint="eastAsia"/>
                <w:b w:val="0"/>
                <w:bCs w:val="0"/>
                <w:color w:val="auto"/>
                <w:sz w:val="24"/>
                <w:highlight w:val="none"/>
                <w:lang w:eastAsia="zh-CN"/>
              </w:rPr>
              <w:t>；此外，粉尘可做到达标排放。因此，上述环保措施可行。</w:t>
            </w:r>
          </w:p>
          <w:p w14:paraId="0A70758B">
            <w:pPr>
              <w:adjustRightInd w:val="0"/>
              <w:snapToGrid w:val="0"/>
              <w:spacing w:line="360" w:lineRule="auto"/>
              <w:ind w:firstLine="480" w:firstLineChars="200"/>
              <w:rPr>
                <w:bCs/>
                <w:color w:val="auto"/>
                <w:sz w:val="24"/>
                <w:highlight w:val="none"/>
              </w:rPr>
            </w:pPr>
            <w:r>
              <w:rPr>
                <w:rFonts w:hint="eastAsia"/>
                <w:bCs/>
                <w:color w:val="auto"/>
                <w:sz w:val="24"/>
                <w:highlight w:val="none"/>
                <w:lang w:eastAsia="zh-CN"/>
              </w:rPr>
              <w:t>（</w:t>
            </w:r>
            <w:r>
              <w:rPr>
                <w:rFonts w:hint="eastAsia"/>
                <w:bCs/>
                <w:color w:val="auto"/>
                <w:sz w:val="24"/>
                <w:highlight w:val="none"/>
                <w:lang w:val="en-US" w:eastAsia="zh-CN"/>
              </w:rPr>
              <w:t>3</w:t>
            </w:r>
            <w:r>
              <w:rPr>
                <w:rFonts w:hint="eastAsia"/>
                <w:bCs/>
                <w:color w:val="auto"/>
                <w:sz w:val="24"/>
                <w:highlight w:val="none"/>
                <w:lang w:eastAsia="zh-CN"/>
              </w:rPr>
              <w:t>）</w:t>
            </w:r>
            <w:r>
              <w:rPr>
                <w:bCs/>
                <w:color w:val="auto"/>
                <w:sz w:val="24"/>
                <w:highlight w:val="none"/>
              </w:rPr>
              <w:t>运输扬尘</w:t>
            </w:r>
          </w:p>
          <w:p w14:paraId="3A66752A">
            <w:pPr>
              <w:adjustRightInd w:val="0"/>
              <w:snapToGrid w:val="0"/>
              <w:spacing w:line="360" w:lineRule="auto"/>
              <w:ind w:firstLine="482" w:firstLineChars="200"/>
              <w:rPr>
                <w:color w:val="auto"/>
                <w:sz w:val="24"/>
                <w:highlight w:val="none"/>
              </w:rPr>
            </w:pPr>
            <w:r>
              <w:rPr>
                <w:rFonts w:hint="eastAsia"/>
                <w:b/>
                <w:bCs/>
                <w:color w:val="auto"/>
                <w:sz w:val="24"/>
                <w:highlight w:val="none"/>
              </w:rPr>
              <w:t>源强核算：</w:t>
            </w:r>
            <w:r>
              <w:rPr>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4A17FBC8">
            <w:pPr>
              <w:adjustRightInd w:val="0"/>
              <w:snapToGrid w:val="0"/>
              <w:spacing w:line="360" w:lineRule="auto"/>
              <w:ind w:firstLine="480" w:firstLineChars="200"/>
              <w:rPr>
                <w:color w:val="auto"/>
                <w:sz w:val="24"/>
                <w:highlight w:val="none"/>
              </w:rPr>
            </w:pPr>
            <w:r>
              <w:rPr>
                <w:color w:val="auto"/>
                <w:sz w:val="24"/>
                <w:highlight w:val="none"/>
              </w:rPr>
              <w:t>据有关文献资料介绍，车辆行驶产生的扬尘占总扬尘的60%以上。车辆行驶产生的扬尘，在完全干燥情况下，可按下列经验公式计算：</w:t>
            </w:r>
          </w:p>
          <w:p w14:paraId="4C7B5C17">
            <w:pPr>
              <w:adjustRightInd w:val="0"/>
              <w:snapToGrid w:val="0"/>
              <w:spacing w:line="360" w:lineRule="auto"/>
              <w:ind w:firstLine="480" w:firstLineChars="200"/>
              <w:rPr>
                <w:color w:val="auto"/>
                <w:sz w:val="24"/>
                <w:highlight w:val="none"/>
              </w:rPr>
            </w:pPr>
            <w:r>
              <w:rPr>
                <w:color w:val="auto"/>
                <w:sz w:val="24"/>
                <w:highlight w:val="none"/>
              </w:rPr>
              <w:drawing>
                <wp:inline distT="0" distB="0" distL="0" distR="0">
                  <wp:extent cx="3423920" cy="223520"/>
                  <wp:effectExtent l="0" t="0" r="0" b="4445"/>
                  <wp:docPr id="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3"/>
                          <pic:cNvPicPr>
                            <a:picLocks noChangeAspect="1" noChangeArrowheads="1"/>
                          </pic:cNvPicPr>
                        </pic:nvPicPr>
                        <pic:blipFill>
                          <a:blip r:embed="rId20"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74D2582B">
            <w:pPr>
              <w:adjustRightInd w:val="0"/>
              <w:snapToGrid w:val="0"/>
              <w:spacing w:line="360" w:lineRule="auto"/>
              <w:ind w:firstLine="480" w:firstLineChars="200"/>
              <w:rPr>
                <w:color w:val="auto"/>
                <w:sz w:val="24"/>
                <w:highlight w:val="none"/>
              </w:rPr>
            </w:pPr>
            <w:r>
              <w:rPr>
                <w:color w:val="auto"/>
                <w:sz w:val="24"/>
                <w:highlight w:val="none"/>
              </w:rPr>
              <w:object>
                <v:shape id="_x0000_i1031" o:spt="75" type="#_x0000_t75" style="height:16.5pt;width:91.5pt;" o:ole="t" filled="f" o:preferrelative="t" stroked="f" coordsize="21600,21600">
                  <v:path/>
                  <v:fill on="f" focussize="0,0"/>
                  <v:stroke on="f" joinstyle="miter"/>
                  <v:imagedata r:id="rId22" o:title=""/>
                  <o:lock v:ext="edit" aspectratio="t"/>
                  <w10:wrap type="none"/>
                  <w10:anchorlock/>
                </v:shape>
                <o:OLEObject Type="Embed" ProgID="Equations" ShapeID="_x0000_i1031" DrawAspect="Content" ObjectID="_1468075731" r:id="rId24">
                  <o:LockedField>false</o:LockedField>
                </o:OLEObject>
              </w:object>
            </w:r>
          </w:p>
          <w:p w14:paraId="6ABDF153">
            <w:pPr>
              <w:adjustRightInd w:val="0"/>
              <w:snapToGrid w:val="0"/>
              <w:spacing w:line="360" w:lineRule="auto"/>
              <w:ind w:firstLine="480" w:firstLineChars="200"/>
              <w:rPr>
                <w:color w:val="auto"/>
                <w:sz w:val="24"/>
                <w:highlight w:val="none"/>
              </w:rPr>
            </w:pPr>
            <w:r>
              <w:rPr>
                <w:color w:val="auto"/>
                <w:sz w:val="24"/>
                <w:highlight w:val="none"/>
              </w:rPr>
              <w:t>式中：Q——汽车行驶的扬尘，kg/km·辆；</w:t>
            </w:r>
          </w:p>
          <w:p w14:paraId="2836E7FC">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drawing>
                <wp:inline distT="0" distB="0" distL="0" distR="0">
                  <wp:extent cx="53340" cy="106045"/>
                  <wp:effectExtent l="0" t="0" r="3810" b="0"/>
                  <wp:docPr id="2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5"/>
                          <pic:cNvPicPr>
                            <a:picLocks noChangeAspect="1" noChangeArrowheads="1"/>
                          </pic:cNvPicPr>
                        </pic:nvPicPr>
                        <pic:blipFill>
                          <a:blip r:embed="rId23"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color w:val="auto"/>
                <w:sz w:val="24"/>
                <w:highlight w:val="none"/>
              </w:rPr>
              <w:t>——</w:t>
            </w:r>
            <w:r>
              <w:rPr>
                <w:rFonts w:hint="eastAsia"/>
                <w:color w:val="auto"/>
                <w:sz w:val="24"/>
                <w:highlight w:val="none"/>
              </w:rPr>
              <w:t>运输途中起尘量，</w:t>
            </w:r>
            <w:r>
              <w:rPr>
                <w:color w:val="auto"/>
                <w:sz w:val="24"/>
                <w:highlight w:val="none"/>
              </w:rPr>
              <w:t>kg/</w:t>
            </w:r>
            <w:r>
              <w:rPr>
                <w:rFonts w:hint="eastAsia"/>
                <w:color w:val="auto"/>
                <w:sz w:val="24"/>
                <w:highlight w:val="none"/>
              </w:rPr>
              <w:t>a；</w:t>
            </w:r>
          </w:p>
          <w:p w14:paraId="4CDACB29">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t>p——</w:t>
            </w:r>
            <w:r>
              <w:rPr>
                <w:rFonts w:hint="eastAsia"/>
                <w:color w:val="auto"/>
                <w:sz w:val="24"/>
                <w:highlight w:val="none"/>
              </w:rPr>
              <w:t>运输量，t</w:t>
            </w:r>
            <w:r>
              <w:rPr>
                <w:color w:val="auto"/>
                <w:sz w:val="24"/>
                <w:highlight w:val="none"/>
              </w:rPr>
              <w:t>/</w:t>
            </w:r>
            <w:r>
              <w:rPr>
                <w:rFonts w:hint="eastAsia"/>
                <w:color w:val="auto"/>
                <w:sz w:val="24"/>
                <w:highlight w:val="none"/>
              </w:rPr>
              <w:t>a；</w:t>
            </w:r>
          </w:p>
          <w:p w14:paraId="6C4BE45A">
            <w:pPr>
              <w:adjustRightInd w:val="0"/>
              <w:snapToGrid w:val="0"/>
              <w:spacing w:line="360" w:lineRule="auto"/>
              <w:ind w:firstLine="480" w:firstLineChars="200"/>
              <w:rPr>
                <w:color w:val="auto"/>
                <w:sz w:val="24"/>
                <w:highlight w:val="none"/>
              </w:rPr>
            </w:pPr>
            <w:r>
              <w:rPr>
                <w:color w:val="auto"/>
                <w:sz w:val="24"/>
                <w:highlight w:val="none"/>
              </w:rPr>
              <w:t>V——汽车行驶速度，km/h；</w:t>
            </w:r>
          </w:p>
          <w:p w14:paraId="7D749059">
            <w:pPr>
              <w:adjustRightInd w:val="0"/>
              <w:snapToGrid w:val="0"/>
              <w:spacing w:line="360" w:lineRule="auto"/>
              <w:ind w:firstLine="480" w:firstLineChars="200"/>
              <w:rPr>
                <w:color w:val="auto"/>
                <w:sz w:val="24"/>
                <w:highlight w:val="none"/>
              </w:rPr>
            </w:pPr>
            <w:r>
              <w:rPr>
                <w:color w:val="auto"/>
                <w:sz w:val="24"/>
                <w:highlight w:val="none"/>
              </w:rPr>
              <w:t>W——汽车载重量，吨</w:t>
            </w:r>
            <w:r>
              <w:rPr>
                <w:rFonts w:hint="eastAsia"/>
                <w:color w:val="auto"/>
                <w:sz w:val="24"/>
                <w:highlight w:val="none"/>
              </w:rPr>
              <w:t>/辆</w:t>
            </w:r>
            <w:r>
              <w:rPr>
                <w:color w:val="auto"/>
                <w:sz w:val="24"/>
                <w:highlight w:val="none"/>
              </w:rPr>
              <w:t>；</w:t>
            </w:r>
          </w:p>
          <w:p w14:paraId="2F555196">
            <w:pPr>
              <w:adjustRightInd w:val="0"/>
              <w:snapToGrid w:val="0"/>
              <w:spacing w:line="360" w:lineRule="auto"/>
              <w:ind w:firstLine="480" w:firstLineChars="200"/>
              <w:rPr>
                <w:color w:val="auto"/>
                <w:sz w:val="24"/>
                <w:highlight w:val="none"/>
              </w:rPr>
            </w:pPr>
            <w:r>
              <w:rPr>
                <w:color w:val="auto"/>
                <w:sz w:val="24"/>
                <w:highlight w:val="none"/>
              </w:rPr>
              <w:t>P——道路表面粉尘量，kg/m</w:t>
            </w:r>
            <w:r>
              <w:rPr>
                <w:color w:val="auto"/>
                <w:sz w:val="24"/>
                <w:highlight w:val="none"/>
                <w:vertAlign w:val="superscript"/>
              </w:rPr>
              <w:t>2</w:t>
            </w:r>
            <w:r>
              <w:rPr>
                <w:rFonts w:hint="eastAsia"/>
                <w:color w:val="auto"/>
                <w:sz w:val="24"/>
                <w:highlight w:val="none"/>
              </w:rPr>
              <w:t>；</w:t>
            </w:r>
          </w:p>
          <w:p w14:paraId="38C1ECC3">
            <w:pPr>
              <w:adjustRightInd w:val="0"/>
              <w:snapToGrid w:val="0"/>
              <w:spacing w:line="360" w:lineRule="auto"/>
              <w:ind w:firstLine="480" w:firstLineChars="200"/>
              <w:rPr>
                <w:color w:val="auto"/>
                <w:sz w:val="24"/>
                <w:highlight w:val="none"/>
              </w:rPr>
            </w:pPr>
            <w:r>
              <w:rPr>
                <w:rFonts w:hint="eastAsia"/>
                <w:color w:val="auto"/>
                <w:sz w:val="24"/>
                <w:highlight w:val="none"/>
              </w:rPr>
              <w:t>L</w:t>
            </w:r>
            <w:r>
              <w:rPr>
                <w:color w:val="auto"/>
                <w:sz w:val="24"/>
                <w:highlight w:val="none"/>
              </w:rPr>
              <w:t>——</w:t>
            </w:r>
            <w:r>
              <w:rPr>
                <w:rFonts w:hint="eastAsia"/>
                <w:color w:val="auto"/>
                <w:sz w:val="24"/>
                <w:highlight w:val="none"/>
              </w:rPr>
              <w:t>运输距离，km</w:t>
            </w:r>
            <w:r>
              <w:rPr>
                <w:color w:val="auto"/>
                <w:sz w:val="24"/>
                <w:highlight w:val="none"/>
              </w:rPr>
              <w:t>。</w:t>
            </w:r>
          </w:p>
          <w:p w14:paraId="598C27FA">
            <w:pPr>
              <w:adjustRightInd w:val="0"/>
              <w:spacing w:line="360" w:lineRule="auto"/>
              <w:ind w:firstLine="480" w:firstLineChars="200"/>
              <w:rPr>
                <w:color w:val="auto"/>
                <w:sz w:val="24"/>
                <w:highlight w:val="none"/>
              </w:rPr>
            </w:pPr>
            <w:r>
              <w:rPr>
                <w:rFonts w:hint="eastAsia"/>
                <w:color w:val="auto"/>
                <w:sz w:val="24"/>
                <w:highlight w:val="none"/>
                <w:lang w:eastAsia="zh-CN"/>
              </w:rPr>
              <w:t>运输</w:t>
            </w:r>
            <w:r>
              <w:rPr>
                <w:color w:val="auto"/>
                <w:sz w:val="24"/>
                <w:highlight w:val="none"/>
              </w:rPr>
              <w:t>车辆在厂区内</w:t>
            </w:r>
            <w:r>
              <w:rPr>
                <w:rFonts w:hint="eastAsia"/>
                <w:color w:val="auto"/>
                <w:sz w:val="24"/>
                <w:highlight w:val="none"/>
              </w:rPr>
              <w:t>累计</w:t>
            </w:r>
            <w:r>
              <w:rPr>
                <w:color w:val="auto"/>
                <w:sz w:val="24"/>
                <w:highlight w:val="none"/>
              </w:rPr>
              <w:t>行驶距离按</w:t>
            </w:r>
            <w:r>
              <w:rPr>
                <w:rFonts w:hint="eastAsia"/>
                <w:color w:val="auto"/>
                <w:sz w:val="24"/>
                <w:highlight w:val="none"/>
              </w:rPr>
              <w:t>200m</w:t>
            </w:r>
            <w:r>
              <w:rPr>
                <w:color w:val="auto"/>
                <w:sz w:val="24"/>
                <w:highlight w:val="none"/>
              </w:rPr>
              <w:t>计，厂区道路表面粉尘量按0.2kg/m</w:t>
            </w:r>
            <w:r>
              <w:rPr>
                <w:color w:val="auto"/>
                <w:sz w:val="24"/>
                <w:highlight w:val="none"/>
                <w:vertAlign w:val="superscript"/>
              </w:rPr>
              <w:t>2</w:t>
            </w:r>
            <w:r>
              <w:rPr>
                <w:rFonts w:hint="eastAsia"/>
                <w:color w:val="auto"/>
                <w:sz w:val="24"/>
                <w:highlight w:val="none"/>
              </w:rPr>
              <w:t>，车速以5</w:t>
            </w:r>
            <w:r>
              <w:rPr>
                <w:color w:val="auto"/>
                <w:kern w:val="28"/>
                <w:sz w:val="24"/>
                <w:highlight w:val="none"/>
              </w:rPr>
              <w:t>km/h</w:t>
            </w:r>
            <w:r>
              <w:rPr>
                <w:color w:val="auto"/>
                <w:sz w:val="24"/>
                <w:highlight w:val="none"/>
              </w:rPr>
              <w:t>计</w:t>
            </w:r>
            <w:r>
              <w:rPr>
                <w:rFonts w:hint="eastAsia"/>
                <w:color w:val="auto"/>
                <w:sz w:val="24"/>
                <w:highlight w:val="none"/>
                <w:lang w:eastAsia="zh-CN"/>
              </w:rPr>
              <w:t>；</w:t>
            </w:r>
            <w:r>
              <w:rPr>
                <w:rFonts w:hint="eastAsia"/>
                <w:color w:val="auto"/>
                <w:sz w:val="24"/>
                <w:highlight w:val="none"/>
              </w:rPr>
              <w:t>原料、成品</w:t>
            </w:r>
            <w:r>
              <w:rPr>
                <w:rFonts w:hint="eastAsia"/>
                <w:color w:val="auto"/>
                <w:sz w:val="24"/>
                <w:highlight w:val="none"/>
                <w:lang w:eastAsia="zh-CN"/>
              </w:rPr>
              <w:t>合计</w:t>
            </w:r>
            <w:r>
              <w:rPr>
                <w:rFonts w:hint="eastAsia"/>
                <w:color w:val="auto"/>
                <w:sz w:val="24"/>
                <w:highlight w:val="none"/>
              </w:rPr>
              <w:t>运输量约</w:t>
            </w:r>
            <w:r>
              <w:rPr>
                <w:rFonts w:hint="eastAsia"/>
                <w:color w:val="auto"/>
                <w:sz w:val="24"/>
                <w:highlight w:val="none"/>
                <w:lang w:val="en-US" w:eastAsia="zh-CN"/>
              </w:rPr>
              <w:t>52</w:t>
            </w:r>
            <w:r>
              <w:rPr>
                <w:rFonts w:hint="eastAsia"/>
                <w:color w:val="auto"/>
                <w:sz w:val="24"/>
                <w:highlight w:val="none"/>
              </w:rPr>
              <w:t>万t，汽车载重量约20t/辆。</w:t>
            </w:r>
            <w:r>
              <w:rPr>
                <w:color w:val="auto"/>
                <w:sz w:val="24"/>
                <w:highlight w:val="none"/>
              </w:rPr>
              <w:t>经计算，厂区道路汽车运输扬尘</w:t>
            </w:r>
            <w:r>
              <w:rPr>
                <w:rFonts w:hint="eastAsia"/>
                <w:color w:val="auto"/>
                <w:sz w:val="24"/>
                <w:highlight w:val="none"/>
                <w:lang w:eastAsia="zh-CN"/>
              </w:rPr>
              <w:t>产生</w:t>
            </w:r>
            <w:r>
              <w:rPr>
                <w:color w:val="auto"/>
                <w:sz w:val="24"/>
                <w:highlight w:val="none"/>
              </w:rPr>
              <w:t>量</w:t>
            </w:r>
            <w:r>
              <w:rPr>
                <w:rFonts w:hint="eastAsia"/>
                <w:color w:val="auto"/>
                <w:sz w:val="24"/>
                <w:highlight w:val="none"/>
              </w:rPr>
              <w:t>约0.</w:t>
            </w:r>
            <w:r>
              <w:rPr>
                <w:rFonts w:hint="eastAsia"/>
                <w:color w:val="auto"/>
                <w:sz w:val="24"/>
                <w:highlight w:val="none"/>
                <w:lang w:val="en-US" w:eastAsia="zh-CN"/>
              </w:rPr>
              <w:t>8</w:t>
            </w:r>
            <w:r>
              <w:rPr>
                <w:color w:val="auto"/>
                <w:sz w:val="24"/>
                <w:highlight w:val="none"/>
              </w:rPr>
              <w:t>t/a。</w:t>
            </w:r>
          </w:p>
          <w:p w14:paraId="737B8AF7">
            <w:pPr>
              <w:adjustRightInd w:val="0"/>
              <w:spacing w:line="360" w:lineRule="auto"/>
              <w:ind w:firstLine="482" w:firstLineChars="200"/>
              <w:rPr>
                <w:color w:val="auto"/>
                <w:highlight w:val="none"/>
              </w:rPr>
            </w:pPr>
            <w:r>
              <w:rPr>
                <w:rFonts w:hint="eastAsia" w:ascii="宋体" w:hAnsi="宋体" w:cs="宋体"/>
                <w:b/>
                <w:bCs/>
                <w:color w:val="auto"/>
                <w:kern w:val="0"/>
                <w:sz w:val="24"/>
                <w:highlight w:val="none"/>
              </w:rPr>
              <w:t>治理措施：</w:t>
            </w:r>
            <w:r>
              <w:rPr>
                <w:rFonts w:hint="eastAsia" w:ascii="宋体" w:hAnsi="宋体" w:cs="宋体"/>
                <w:b w:val="0"/>
                <w:bCs w:val="0"/>
                <w:color w:val="auto"/>
                <w:kern w:val="0"/>
                <w:sz w:val="24"/>
                <w:highlight w:val="none"/>
                <w:lang w:eastAsia="zh-CN"/>
              </w:rPr>
              <w:t>目前厂区主干道已硬化，并一直执行定期洒水和车辆冲洗制度。本次新增工程运营期间运输扬尘依然执行现有抑尘措施，可有效</w:t>
            </w:r>
            <w:r>
              <w:rPr>
                <w:color w:val="auto"/>
                <w:sz w:val="24"/>
                <w:highlight w:val="none"/>
              </w:rPr>
              <w:t>减少汽车运输扬尘</w:t>
            </w:r>
            <w:r>
              <w:rPr>
                <w:rFonts w:hint="eastAsia" w:ascii="宋体" w:hAnsi="宋体" w:cs="宋体"/>
                <w:b w:val="0"/>
                <w:bCs w:val="0"/>
                <w:color w:val="auto"/>
                <w:kern w:val="0"/>
                <w:sz w:val="24"/>
                <w:highlight w:val="none"/>
                <w:lang w:eastAsia="zh-CN"/>
              </w:rPr>
              <w:t>。通过</w:t>
            </w:r>
            <w:r>
              <w:rPr>
                <w:color w:val="auto"/>
                <w:sz w:val="24"/>
                <w:highlight w:val="none"/>
              </w:rPr>
              <w:t>采取</w:t>
            </w:r>
            <w:r>
              <w:rPr>
                <w:rFonts w:hint="eastAsia"/>
                <w:color w:val="auto"/>
                <w:sz w:val="24"/>
                <w:highlight w:val="none"/>
              </w:rPr>
              <w:t>车辆冲洗、</w:t>
            </w:r>
            <w:r>
              <w:rPr>
                <w:color w:val="auto"/>
                <w:sz w:val="24"/>
                <w:highlight w:val="none"/>
              </w:rPr>
              <w:t>洒水抑尘</w:t>
            </w:r>
            <w:r>
              <w:rPr>
                <w:rFonts w:hint="eastAsia"/>
                <w:color w:val="auto"/>
                <w:sz w:val="24"/>
                <w:highlight w:val="none"/>
              </w:rPr>
              <w:t>等</w:t>
            </w:r>
            <w:r>
              <w:rPr>
                <w:color w:val="auto"/>
                <w:sz w:val="24"/>
                <w:highlight w:val="none"/>
              </w:rPr>
              <w:t>措施后，扬尘量</w:t>
            </w:r>
            <w:r>
              <w:rPr>
                <w:rFonts w:hint="eastAsia"/>
                <w:color w:val="auto"/>
                <w:sz w:val="24"/>
                <w:highlight w:val="none"/>
                <w:lang w:eastAsia="zh-CN"/>
              </w:rPr>
              <w:t>预计可</w:t>
            </w:r>
            <w:r>
              <w:rPr>
                <w:color w:val="auto"/>
                <w:sz w:val="24"/>
                <w:highlight w:val="none"/>
              </w:rPr>
              <w:t>减少</w:t>
            </w:r>
            <w:r>
              <w:rPr>
                <w:rFonts w:hint="eastAsia"/>
                <w:color w:val="auto"/>
                <w:sz w:val="24"/>
                <w:highlight w:val="none"/>
              </w:rPr>
              <w:t>8</w:t>
            </w:r>
            <w:r>
              <w:rPr>
                <w:color w:val="auto"/>
                <w:sz w:val="24"/>
                <w:highlight w:val="none"/>
              </w:rPr>
              <w:t>0%左右，则汽车运输扬尘</w:t>
            </w:r>
            <w:r>
              <w:rPr>
                <w:rFonts w:hint="eastAsia"/>
                <w:color w:val="auto"/>
                <w:sz w:val="24"/>
                <w:highlight w:val="none"/>
                <w:lang w:eastAsia="zh-CN"/>
              </w:rPr>
              <w:t>排放</w:t>
            </w:r>
            <w:r>
              <w:rPr>
                <w:color w:val="auto"/>
                <w:sz w:val="24"/>
                <w:highlight w:val="none"/>
              </w:rPr>
              <w:t>量约</w:t>
            </w:r>
            <w:r>
              <w:rPr>
                <w:rFonts w:hint="eastAsia"/>
                <w:color w:val="auto"/>
                <w:sz w:val="24"/>
                <w:highlight w:val="none"/>
                <w:lang w:val="en-US" w:eastAsia="zh-CN"/>
              </w:rPr>
              <w:t>0.16</w:t>
            </w:r>
            <w:r>
              <w:rPr>
                <w:color w:val="auto"/>
                <w:sz w:val="24"/>
                <w:highlight w:val="none"/>
              </w:rPr>
              <w:t>t/a。</w:t>
            </w:r>
          </w:p>
          <w:p w14:paraId="470492E6">
            <w:pPr>
              <w:spacing w:line="360" w:lineRule="auto"/>
              <w:ind w:firstLine="540" w:firstLineChars="225"/>
              <w:rPr>
                <w:rFonts w:hint="eastAsia"/>
                <w:bCs/>
                <w:color w:val="auto"/>
                <w:sz w:val="24"/>
                <w:highlight w:val="none"/>
                <w:lang w:val="en-US" w:eastAsia="zh-CN"/>
              </w:rPr>
            </w:pPr>
            <w:r>
              <w:rPr>
                <w:rFonts w:hint="eastAsia"/>
                <w:bCs/>
                <w:color w:val="auto"/>
                <w:sz w:val="24"/>
                <w:highlight w:val="none"/>
                <w:lang w:val="en-US" w:eastAsia="zh-CN"/>
              </w:rPr>
              <w:t>（4）食堂油烟</w:t>
            </w:r>
          </w:p>
          <w:p w14:paraId="349E9CEB">
            <w:pPr>
              <w:spacing w:line="360" w:lineRule="auto"/>
              <w:ind w:firstLine="480" w:firstLineChars="200"/>
              <w:rPr>
                <w:rFonts w:hint="eastAsia"/>
                <w:bCs/>
                <w:color w:val="auto"/>
                <w:sz w:val="24"/>
                <w:highlight w:val="none"/>
                <w:lang w:val="en-US" w:eastAsia="zh-CN"/>
              </w:rPr>
            </w:pPr>
            <w:r>
              <w:rPr>
                <w:rFonts w:hint="eastAsia" w:cs="Times New Roman"/>
                <w:color w:val="auto"/>
                <w:sz w:val="24"/>
                <w:highlight w:val="none"/>
                <w:lang w:eastAsia="zh-CN"/>
              </w:rPr>
              <w:t>本次新增工程计划再招募员工</w:t>
            </w:r>
            <w:r>
              <w:rPr>
                <w:rFonts w:hint="eastAsia" w:cs="Times New Roman"/>
                <w:color w:val="auto"/>
                <w:sz w:val="24"/>
                <w:highlight w:val="none"/>
                <w:lang w:val="en-US" w:eastAsia="zh-CN"/>
              </w:rPr>
              <w:t>4人，依然在食堂内就餐。结合现有工程油烟产生量可知，预计新增工程产生量为1.08</w:t>
            </w:r>
            <w:r>
              <w:rPr>
                <w:rFonts w:hint="default" w:ascii="Times New Roman" w:hAnsi="Times New Roman" w:cs="Times New Roman"/>
                <w:color w:val="auto"/>
                <w:sz w:val="24"/>
                <w:highlight w:val="none"/>
              </w:rPr>
              <w:t>kg/a</w:t>
            </w:r>
            <w:r>
              <w:rPr>
                <w:rFonts w:hint="eastAsia" w:cs="Times New Roman"/>
                <w:color w:val="auto"/>
                <w:sz w:val="24"/>
                <w:highlight w:val="none"/>
                <w:lang w:eastAsia="zh-CN"/>
              </w:rPr>
              <w:t>（</w:t>
            </w:r>
            <w:r>
              <w:rPr>
                <w:rFonts w:hint="eastAsia" w:cs="Times New Roman"/>
                <w:color w:val="auto"/>
                <w:sz w:val="24"/>
                <w:highlight w:val="none"/>
                <w:lang w:val="en-US" w:eastAsia="zh-CN"/>
              </w:rPr>
              <w:t>0.0012</w:t>
            </w:r>
            <w:r>
              <w:rPr>
                <w:rFonts w:hint="default" w:ascii="Times New Roman" w:hAnsi="Times New Roman" w:cs="Times New Roman"/>
                <w:color w:val="auto"/>
                <w:sz w:val="24"/>
                <w:highlight w:val="none"/>
              </w:rPr>
              <w:t>kg/h</w:t>
            </w:r>
            <w:r>
              <w:rPr>
                <w:rFonts w:hint="eastAsia" w:cs="Times New Roman"/>
                <w:color w:val="auto"/>
                <w:sz w:val="24"/>
                <w:highlight w:val="none"/>
                <w:lang w:eastAsia="zh-CN"/>
              </w:rPr>
              <w:t>），采用抽油烟机（风量为</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/h计</w:t>
            </w:r>
            <w:r>
              <w:rPr>
                <w:rFonts w:hint="eastAsia" w:cs="Times New Roman"/>
                <w:color w:val="auto"/>
                <w:sz w:val="24"/>
                <w:highlight w:val="none"/>
                <w:lang w:eastAsia="zh-CN"/>
              </w:rPr>
              <w:t>）处理后通过屋顶排放，油烟排放浓度为</w:t>
            </w:r>
            <w:r>
              <w:rPr>
                <w:rFonts w:hint="eastAsia" w:cs="Times New Roman"/>
                <w:color w:val="auto"/>
                <w:sz w:val="24"/>
                <w:highlight w:val="none"/>
                <w:lang w:val="en-US" w:eastAsia="zh-CN"/>
              </w:rPr>
              <w:t>0.48</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w:t>
            </w:r>
            <w:r>
              <w:rPr>
                <w:rFonts w:hint="default" w:ascii="Times New Roman" w:hAnsi="Times New Roman" w:cs="Times New Roman"/>
                <w:color w:val="auto"/>
                <w:sz w:val="24"/>
                <w:highlight w:val="none"/>
              </w:rPr>
              <w:t>满足《饮</w:t>
            </w:r>
            <w:r>
              <w:rPr>
                <w:rFonts w:hint="default" w:ascii="Times New Roman" w:hAnsi="Times New Roman" w:cs="Times New Roman"/>
                <w:color w:val="auto"/>
                <w:spacing w:val="-4"/>
                <w:sz w:val="24"/>
                <w:highlight w:val="none"/>
              </w:rPr>
              <w:t>食业油烟排放标准（试</w:t>
            </w:r>
            <w:r>
              <w:rPr>
                <w:rFonts w:hint="default" w:ascii="Times New Roman" w:hAnsi="Times New Roman" w:eastAsia="宋体" w:cs="Times New Roman"/>
                <w:color w:val="auto"/>
                <w:kern w:val="2"/>
                <w:sz w:val="24"/>
                <w:szCs w:val="24"/>
                <w:highlight w:val="none"/>
                <w:lang w:val="en-US" w:eastAsia="zh-CN" w:bidi="ar-SA"/>
              </w:rPr>
              <w:t>行）》（GB18483-2001）中的小型标准限值（2.0mg/m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），对周围环境影响较小。</w:t>
            </w:r>
          </w:p>
          <w:p w14:paraId="46830332">
            <w:pPr>
              <w:pStyle w:val="2"/>
              <w:spacing w:line="360" w:lineRule="auto"/>
              <w:ind w:firstLine="480" w:firstLineChars="200"/>
              <w:rPr>
                <w:rFonts w:hint="eastAsia"/>
                <w:bCs/>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综上，</w:t>
            </w:r>
            <w:r>
              <w:rPr>
                <w:rFonts w:hint="eastAsia" w:ascii="Times New Roman" w:hAnsi="Times New Roman" w:eastAsia="宋体" w:cs="Times New Roman"/>
                <w:color w:val="auto"/>
                <w:kern w:val="2"/>
                <w:sz w:val="24"/>
                <w:szCs w:val="24"/>
                <w:highlight w:val="none"/>
                <w:lang w:val="en-US" w:eastAsia="zh-CN" w:bidi="ar-SA"/>
              </w:rPr>
              <w:t>新增</w:t>
            </w:r>
            <w:r>
              <w:rPr>
                <w:rFonts w:hint="default" w:ascii="Times New Roman" w:hAnsi="Times New Roman" w:eastAsia="宋体" w:cs="Times New Roman"/>
                <w:color w:val="auto"/>
                <w:kern w:val="2"/>
                <w:sz w:val="24"/>
                <w:szCs w:val="24"/>
                <w:highlight w:val="none"/>
                <w:lang w:val="en-US" w:eastAsia="zh-CN" w:bidi="ar-SA"/>
              </w:rPr>
              <w:t>工程运行期间，废气</w:t>
            </w:r>
            <w:r>
              <w:rPr>
                <w:rFonts w:hint="eastAsia" w:ascii="Times New Roman" w:hAnsi="Times New Roman" w:eastAsia="宋体" w:cs="Times New Roman"/>
                <w:color w:val="auto"/>
                <w:kern w:val="2"/>
                <w:sz w:val="24"/>
                <w:szCs w:val="24"/>
                <w:highlight w:val="none"/>
                <w:lang w:val="en-US" w:eastAsia="zh-CN" w:bidi="ar-SA"/>
              </w:rPr>
              <w:t>可</w:t>
            </w:r>
            <w:r>
              <w:rPr>
                <w:rFonts w:hint="default" w:ascii="Times New Roman" w:hAnsi="Times New Roman" w:eastAsia="宋体" w:cs="Times New Roman"/>
                <w:color w:val="auto"/>
                <w:kern w:val="2"/>
                <w:sz w:val="24"/>
                <w:szCs w:val="24"/>
                <w:highlight w:val="none"/>
                <w:lang w:val="en-US" w:eastAsia="zh-CN" w:bidi="ar-SA"/>
              </w:rPr>
              <w:t>做到达标排放，对周边外环境影响较小。</w:t>
            </w:r>
          </w:p>
          <w:p w14:paraId="7AD2033D">
            <w:pPr>
              <w:spacing w:line="360" w:lineRule="auto"/>
              <w:ind w:firstLine="540" w:firstLineChars="225"/>
              <w:rPr>
                <w:rFonts w:hint="eastAsia"/>
                <w:bCs/>
                <w:color w:val="auto"/>
                <w:sz w:val="24"/>
                <w:highlight w:val="none"/>
                <w:lang w:val="en-US" w:eastAsia="zh-CN"/>
              </w:rPr>
            </w:pPr>
            <w:r>
              <w:rPr>
                <w:rFonts w:hint="eastAsia"/>
                <w:bCs/>
                <w:color w:val="auto"/>
                <w:sz w:val="24"/>
                <w:highlight w:val="none"/>
                <w:lang w:val="en-US" w:eastAsia="zh-CN"/>
              </w:rPr>
              <w:t>3、全厂废气情况汇总</w:t>
            </w:r>
          </w:p>
          <w:p w14:paraId="3624B726">
            <w:pPr>
              <w:spacing w:line="360" w:lineRule="auto"/>
              <w:ind w:firstLine="480" w:firstLineChars="200"/>
              <w:rPr>
                <w:rFonts w:hint="eastAsia"/>
                <w:bCs/>
                <w:color w:val="auto"/>
                <w:sz w:val="24"/>
                <w:highlight w:val="none"/>
                <w:lang w:eastAsia="zh-CN"/>
              </w:rPr>
            </w:pPr>
            <w:r>
              <w:rPr>
                <w:rFonts w:hint="eastAsia"/>
                <w:bCs/>
                <w:color w:val="auto"/>
                <w:sz w:val="24"/>
                <w:highlight w:val="none"/>
                <w:lang w:eastAsia="zh-CN"/>
              </w:rPr>
              <w:t>（</w:t>
            </w:r>
            <w:r>
              <w:rPr>
                <w:rFonts w:hint="eastAsia"/>
                <w:bCs/>
                <w:color w:val="auto"/>
                <w:sz w:val="24"/>
                <w:highlight w:val="none"/>
                <w:lang w:val="en-US" w:eastAsia="zh-CN"/>
              </w:rPr>
              <w:t>1</w:t>
            </w:r>
            <w:r>
              <w:rPr>
                <w:rFonts w:hint="eastAsia"/>
                <w:bCs/>
                <w:color w:val="auto"/>
                <w:sz w:val="24"/>
                <w:highlight w:val="none"/>
                <w:lang w:eastAsia="zh-CN"/>
              </w:rPr>
              <w:t>）粉尘产排情况</w:t>
            </w:r>
          </w:p>
          <w:p w14:paraId="5BE52C10">
            <w:pPr>
              <w:snapToGrid w:val="0"/>
              <w:jc w:val="center"/>
              <w:rPr>
                <w:rFonts w:hint="default" w:eastAsia="宋体"/>
                <w:b/>
                <w:color w:val="auto"/>
                <w:szCs w:val="21"/>
                <w:highlight w:val="none"/>
                <w:lang w:val="en-US" w:eastAsia="zh-CN"/>
              </w:rPr>
            </w:pPr>
            <w:r>
              <w:rPr>
                <w:b/>
                <w:color w:val="auto"/>
                <w:szCs w:val="21"/>
                <w:highlight w:val="none"/>
              </w:rPr>
              <w:t>表4-</w:t>
            </w:r>
            <w:r>
              <w:rPr>
                <w:rFonts w:hint="eastAsia"/>
                <w:b/>
                <w:color w:val="auto"/>
                <w:szCs w:val="21"/>
                <w:highlight w:val="none"/>
                <w:lang w:val="en-US" w:eastAsia="zh-CN"/>
              </w:rPr>
              <w:t>2</w:t>
            </w:r>
            <w:r>
              <w:rPr>
                <w:b/>
                <w:color w:val="auto"/>
                <w:szCs w:val="21"/>
                <w:highlight w:val="none"/>
              </w:rPr>
              <w:t xml:space="preserve">  </w:t>
            </w:r>
            <w:r>
              <w:rPr>
                <w:rFonts w:hint="eastAsia"/>
                <w:b/>
                <w:color w:val="auto"/>
                <w:szCs w:val="21"/>
                <w:highlight w:val="none"/>
                <w:lang w:eastAsia="zh-CN"/>
              </w:rPr>
              <w:t>全厂粉尘产排情况汇总表</w:t>
            </w:r>
            <w:r>
              <w:rPr>
                <w:rFonts w:hint="eastAsia"/>
                <w:b/>
                <w:color w:val="auto"/>
                <w:szCs w:val="21"/>
                <w:highlight w:val="none"/>
                <w:lang w:val="en-US" w:eastAsia="zh-CN"/>
              </w:rPr>
              <w:t xml:space="preserve">    单位：t/a</w:t>
            </w:r>
          </w:p>
          <w:tbl>
            <w:tblPr>
              <w:tblStyle w:val="36"/>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21"/>
              <w:gridCol w:w="983"/>
              <w:gridCol w:w="950"/>
              <w:gridCol w:w="1733"/>
              <w:gridCol w:w="1617"/>
              <w:gridCol w:w="1584"/>
            </w:tblGrid>
            <w:tr w14:paraId="587AF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621" w:type="dxa"/>
                  <w:vAlign w:val="center"/>
                </w:tcPr>
                <w:p w14:paraId="6B82B264">
                  <w:pPr>
                    <w:snapToGrid w:val="0"/>
                    <w:spacing w:beforeLines="20" w:afterLines="20"/>
                    <w:jc w:val="center"/>
                    <w:rPr>
                      <w:rFonts w:hint="eastAsia" w:eastAsia="宋体"/>
                      <w:color w:val="auto"/>
                      <w:szCs w:val="21"/>
                      <w:highlight w:val="none"/>
                      <w:lang w:eastAsia="zh-CN"/>
                    </w:rPr>
                  </w:pPr>
                  <w:r>
                    <w:rPr>
                      <w:rFonts w:hint="eastAsia"/>
                      <w:color w:val="auto"/>
                      <w:szCs w:val="21"/>
                      <w:highlight w:val="none"/>
                      <w:lang w:eastAsia="zh-CN"/>
                    </w:rPr>
                    <w:t>生产线</w:t>
                  </w:r>
                </w:p>
              </w:tc>
              <w:tc>
                <w:tcPr>
                  <w:tcW w:w="983" w:type="dxa"/>
                  <w:vAlign w:val="center"/>
                </w:tcPr>
                <w:p w14:paraId="3123103A">
                  <w:pPr>
                    <w:snapToGrid w:val="0"/>
                    <w:spacing w:beforeLines="20" w:afterLines="20"/>
                    <w:jc w:val="center"/>
                    <w:rPr>
                      <w:color w:val="auto"/>
                      <w:szCs w:val="21"/>
                      <w:highlight w:val="none"/>
                    </w:rPr>
                  </w:pPr>
                  <w:r>
                    <w:rPr>
                      <w:color w:val="auto"/>
                      <w:szCs w:val="21"/>
                      <w:highlight w:val="none"/>
                    </w:rPr>
                    <w:t>污染物</w:t>
                  </w:r>
                </w:p>
              </w:tc>
              <w:tc>
                <w:tcPr>
                  <w:tcW w:w="950" w:type="dxa"/>
                  <w:vAlign w:val="center"/>
                </w:tcPr>
                <w:p w14:paraId="6C42882F">
                  <w:pPr>
                    <w:snapToGrid w:val="0"/>
                    <w:spacing w:beforeLines="20" w:afterLines="20"/>
                    <w:jc w:val="center"/>
                    <w:rPr>
                      <w:rFonts w:hint="eastAsia" w:eastAsia="宋体"/>
                      <w:color w:val="auto"/>
                      <w:szCs w:val="21"/>
                      <w:highlight w:val="none"/>
                      <w:lang w:eastAsia="zh-CN"/>
                    </w:rPr>
                  </w:pPr>
                  <w:r>
                    <w:rPr>
                      <w:rFonts w:hint="eastAsia"/>
                      <w:color w:val="auto"/>
                      <w:szCs w:val="21"/>
                      <w:highlight w:val="none"/>
                      <w:lang w:eastAsia="zh-CN"/>
                    </w:rPr>
                    <w:t>产生量</w:t>
                  </w:r>
                </w:p>
              </w:tc>
              <w:tc>
                <w:tcPr>
                  <w:tcW w:w="1733" w:type="dxa"/>
                  <w:vAlign w:val="center"/>
                </w:tcPr>
                <w:p w14:paraId="2F71A9DB">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治理措施</w:t>
                  </w:r>
                </w:p>
              </w:tc>
              <w:tc>
                <w:tcPr>
                  <w:tcW w:w="1617" w:type="dxa"/>
                  <w:vAlign w:val="center"/>
                </w:tcPr>
                <w:p w14:paraId="6E343038">
                  <w:pPr>
                    <w:snapToGrid w:val="0"/>
                    <w:spacing w:beforeLines="20" w:afterLines="20"/>
                    <w:jc w:val="center"/>
                    <w:rPr>
                      <w:rFonts w:hint="eastAsia" w:eastAsia="宋体"/>
                      <w:color w:val="auto"/>
                      <w:szCs w:val="21"/>
                      <w:highlight w:val="none"/>
                      <w:lang w:eastAsia="zh-CN"/>
                    </w:rPr>
                  </w:pPr>
                  <w:r>
                    <w:rPr>
                      <w:rFonts w:hint="eastAsia"/>
                      <w:color w:val="auto"/>
                      <w:szCs w:val="21"/>
                      <w:highlight w:val="none"/>
                      <w:lang w:eastAsia="zh-CN"/>
                    </w:rPr>
                    <w:t>有组织排放量</w:t>
                  </w:r>
                </w:p>
              </w:tc>
              <w:tc>
                <w:tcPr>
                  <w:tcW w:w="1584" w:type="dxa"/>
                  <w:vAlign w:val="center"/>
                </w:tcPr>
                <w:p w14:paraId="71830AFA">
                  <w:pPr>
                    <w:snapToGrid w:val="0"/>
                    <w:spacing w:beforeLines="20" w:afterLines="20"/>
                    <w:jc w:val="center"/>
                    <w:rPr>
                      <w:rFonts w:hint="eastAsia" w:eastAsia="宋体"/>
                      <w:color w:val="auto"/>
                      <w:szCs w:val="21"/>
                      <w:highlight w:val="none"/>
                      <w:lang w:eastAsia="zh-CN"/>
                    </w:rPr>
                  </w:pPr>
                  <w:r>
                    <w:rPr>
                      <w:rFonts w:hint="eastAsia"/>
                      <w:color w:val="auto"/>
                      <w:szCs w:val="21"/>
                      <w:highlight w:val="none"/>
                      <w:lang w:eastAsia="zh-CN"/>
                    </w:rPr>
                    <w:t>无组织排放量</w:t>
                  </w:r>
                </w:p>
              </w:tc>
            </w:tr>
            <w:tr w14:paraId="0C0C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27" w:hRule="exact"/>
                <w:jc w:val="center"/>
              </w:trPr>
              <w:tc>
                <w:tcPr>
                  <w:tcW w:w="1621" w:type="dxa"/>
                  <w:vAlign w:val="center"/>
                </w:tcPr>
                <w:p w14:paraId="763098E3">
                  <w:pPr>
                    <w:pStyle w:val="45"/>
                    <w:snapToGrid w:val="0"/>
                    <w:spacing w:beforeLines="20" w:afterLines="20"/>
                    <w:jc w:val="center"/>
                    <w:rPr>
                      <w:rFonts w:hint="default" w:ascii="Times New Roman" w:cs="Times New Roman"/>
                      <w:color w:val="auto"/>
                      <w:szCs w:val="21"/>
                      <w:highlight w:val="none"/>
                      <w:lang w:val="en-US"/>
                    </w:rPr>
                  </w:pPr>
                  <w:r>
                    <w:rPr>
                      <w:rFonts w:hint="eastAsia" w:ascii="Times New Roman" w:cs="Times New Roman"/>
                      <w:color w:val="auto"/>
                      <w:sz w:val="21"/>
                      <w:szCs w:val="21"/>
                      <w:highlight w:val="none"/>
                      <w:lang w:eastAsia="zh-CN"/>
                    </w:rPr>
                    <w:t>彩砂</w:t>
                  </w:r>
                  <w:r>
                    <w:rPr>
                      <w:rFonts w:hint="eastAsia" w:ascii="Times New Roman" w:cs="Times New Roman"/>
                      <w:color w:val="auto"/>
                      <w:sz w:val="21"/>
                      <w:szCs w:val="21"/>
                      <w:highlight w:val="none"/>
                      <w:lang w:val="en-US" w:eastAsia="zh-CN"/>
                    </w:rPr>
                    <w:t>+钙粉生产线</w:t>
                  </w:r>
                </w:p>
              </w:tc>
              <w:tc>
                <w:tcPr>
                  <w:tcW w:w="983" w:type="dxa"/>
                  <w:vAlign w:val="center"/>
                </w:tcPr>
                <w:p w14:paraId="3F7E5FE5">
                  <w:pPr>
                    <w:snapToGrid w:val="0"/>
                    <w:spacing w:beforeLines="20" w:afterLines="20"/>
                    <w:jc w:val="center"/>
                    <w:rPr>
                      <w:rFonts w:hint="eastAsia" w:eastAsia="宋体"/>
                      <w:color w:val="auto"/>
                      <w:szCs w:val="21"/>
                      <w:highlight w:val="none"/>
                      <w:lang w:eastAsia="zh-CN"/>
                    </w:rPr>
                  </w:pPr>
                  <w:r>
                    <w:rPr>
                      <w:rFonts w:hint="eastAsia"/>
                      <w:color w:val="auto"/>
                      <w:szCs w:val="21"/>
                      <w:highlight w:val="none"/>
                      <w:lang w:eastAsia="zh-CN"/>
                    </w:rPr>
                    <w:t>粉尘</w:t>
                  </w:r>
                </w:p>
              </w:tc>
              <w:tc>
                <w:tcPr>
                  <w:tcW w:w="950" w:type="dxa"/>
                  <w:vAlign w:val="center"/>
                </w:tcPr>
                <w:p w14:paraId="3763511B">
                  <w:pPr>
                    <w:snapToGrid w:val="0"/>
                    <w:spacing w:beforeLines="20" w:afterLines="20"/>
                    <w:jc w:val="center"/>
                    <w:rPr>
                      <w:rFonts w:hint="default"/>
                      <w:color w:val="auto"/>
                      <w:szCs w:val="21"/>
                      <w:highlight w:val="none"/>
                      <w:lang w:val="en-US" w:eastAsia="zh-CN"/>
                    </w:rPr>
                  </w:pPr>
                  <w:r>
                    <w:rPr>
                      <w:rFonts w:hint="eastAsia"/>
                      <w:color w:val="auto"/>
                      <w:szCs w:val="21"/>
                      <w:highlight w:val="none"/>
                      <w:lang w:val="en-US" w:eastAsia="zh-CN"/>
                    </w:rPr>
                    <w:t>13.33</w:t>
                  </w:r>
                </w:p>
              </w:tc>
              <w:tc>
                <w:tcPr>
                  <w:tcW w:w="1733" w:type="dxa"/>
                  <w:vMerge w:val="restart"/>
                  <w:vAlign w:val="center"/>
                </w:tcPr>
                <w:p w14:paraId="0CDFAA80">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集尘设施（收集效率</w:t>
                  </w:r>
                  <w:r>
                    <w:rPr>
                      <w:rFonts w:hint="eastAsia"/>
                      <w:color w:val="auto"/>
                      <w:szCs w:val="21"/>
                      <w:highlight w:val="none"/>
                      <w:lang w:val="en-US" w:eastAsia="zh-CN"/>
                    </w:rPr>
                    <w:t>90%</w:t>
                  </w:r>
                  <w:r>
                    <w:rPr>
                      <w:rFonts w:hint="eastAsia"/>
                      <w:color w:val="auto"/>
                      <w:szCs w:val="21"/>
                      <w:highlight w:val="none"/>
                      <w:lang w:eastAsia="zh-CN"/>
                    </w:rPr>
                    <w:t>）+袋式除尘器（处理效率</w:t>
                  </w:r>
                  <w:r>
                    <w:rPr>
                      <w:rFonts w:hint="eastAsia"/>
                      <w:color w:val="auto"/>
                      <w:szCs w:val="21"/>
                      <w:highlight w:val="none"/>
                      <w:lang w:val="en-US" w:eastAsia="zh-CN"/>
                    </w:rPr>
                    <w:t>99%</w:t>
                  </w:r>
                  <w:r>
                    <w:rPr>
                      <w:rFonts w:hint="eastAsia"/>
                      <w:color w:val="auto"/>
                      <w:szCs w:val="21"/>
                      <w:highlight w:val="none"/>
                      <w:lang w:eastAsia="zh-CN"/>
                    </w:rPr>
                    <w:t>）</w:t>
                  </w:r>
                </w:p>
              </w:tc>
              <w:tc>
                <w:tcPr>
                  <w:tcW w:w="1617" w:type="dxa"/>
                  <w:vAlign w:val="center"/>
                </w:tcPr>
                <w:p w14:paraId="06B30ABF">
                  <w:pPr>
                    <w:widowControl/>
                    <w:spacing w:beforeLines="20" w:afterLines="20"/>
                    <w:jc w:val="center"/>
                    <w:textAlignment w:val="center"/>
                    <w:rPr>
                      <w:rFonts w:hint="default" w:eastAsia="宋体"/>
                      <w:color w:val="auto"/>
                      <w:szCs w:val="21"/>
                      <w:highlight w:val="none"/>
                      <w:lang w:val="en-US" w:eastAsia="zh-CN"/>
                    </w:rPr>
                  </w:pPr>
                  <w:r>
                    <w:rPr>
                      <w:rFonts w:hint="default" w:eastAsia="宋体"/>
                      <w:color w:val="auto"/>
                      <w:szCs w:val="21"/>
                      <w:highlight w:val="none"/>
                      <w:lang w:val="en-US" w:eastAsia="zh-CN"/>
                    </w:rPr>
                    <w:t>0.12</w:t>
                  </w:r>
                </w:p>
              </w:tc>
              <w:tc>
                <w:tcPr>
                  <w:tcW w:w="1584" w:type="dxa"/>
                  <w:vAlign w:val="center"/>
                </w:tcPr>
                <w:p w14:paraId="294D3B7B">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1.33</w:t>
                  </w:r>
                </w:p>
              </w:tc>
            </w:tr>
            <w:tr w14:paraId="531EF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48" w:hRule="exact"/>
                <w:jc w:val="center"/>
              </w:trPr>
              <w:tc>
                <w:tcPr>
                  <w:tcW w:w="1621" w:type="dxa"/>
                  <w:vAlign w:val="center"/>
                </w:tcPr>
                <w:p w14:paraId="3D9D4609">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腻子粉及石膏</w:t>
                  </w:r>
                </w:p>
                <w:p w14:paraId="07DC3654">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生产线</w:t>
                  </w:r>
                </w:p>
              </w:tc>
              <w:tc>
                <w:tcPr>
                  <w:tcW w:w="983" w:type="dxa"/>
                  <w:vAlign w:val="center"/>
                </w:tcPr>
                <w:p w14:paraId="3D393776">
                  <w:pPr>
                    <w:snapToGrid w:val="0"/>
                    <w:spacing w:beforeLines="20" w:afterLines="20"/>
                    <w:jc w:val="center"/>
                    <w:rPr>
                      <w:color w:val="auto"/>
                      <w:szCs w:val="21"/>
                      <w:highlight w:val="none"/>
                    </w:rPr>
                  </w:pPr>
                  <w:r>
                    <w:rPr>
                      <w:rFonts w:hint="eastAsia"/>
                      <w:color w:val="auto"/>
                      <w:szCs w:val="21"/>
                      <w:highlight w:val="none"/>
                      <w:lang w:eastAsia="zh-CN"/>
                    </w:rPr>
                    <w:t>粉尘</w:t>
                  </w:r>
                </w:p>
              </w:tc>
              <w:tc>
                <w:tcPr>
                  <w:tcW w:w="950" w:type="dxa"/>
                  <w:vAlign w:val="center"/>
                </w:tcPr>
                <w:p w14:paraId="56D575C3">
                  <w:pPr>
                    <w:widowControl/>
                    <w:jc w:val="center"/>
                    <w:rPr>
                      <w:rFonts w:hint="eastAsia"/>
                      <w:color w:val="auto"/>
                      <w:szCs w:val="21"/>
                      <w:highlight w:val="none"/>
                      <w:lang w:eastAsia="zh-CN"/>
                    </w:rPr>
                  </w:pPr>
                  <w:r>
                    <w:rPr>
                      <w:rFonts w:hint="eastAsia"/>
                      <w:color w:val="auto"/>
                      <w:kern w:val="0"/>
                      <w:szCs w:val="21"/>
                      <w:highlight w:val="none"/>
                      <w:lang w:val="en-US" w:eastAsia="zh-CN"/>
                    </w:rPr>
                    <w:t>27</w:t>
                  </w:r>
                </w:p>
              </w:tc>
              <w:tc>
                <w:tcPr>
                  <w:tcW w:w="1733" w:type="dxa"/>
                  <w:vMerge w:val="continue"/>
                  <w:vAlign w:val="center"/>
                </w:tcPr>
                <w:p w14:paraId="1E608603">
                  <w:pPr>
                    <w:snapToGrid w:val="0"/>
                    <w:spacing w:beforeLines="20" w:afterLines="20"/>
                    <w:jc w:val="center"/>
                    <w:rPr>
                      <w:rFonts w:hint="eastAsia"/>
                      <w:color w:val="auto"/>
                      <w:szCs w:val="21"/>
                      <w:highlight w:val="none"/>
                      <w:lang w:eastAsia="zh-CN"/>
                    </w:rPr>
                  </w:pPr>
                </w:p>
              </w:tc>
              <w:tc>
                <w:tcPr>
                  <w:tcW w:w="1617" w:type="dxa"/>
                  <w:vAlign w:val="center"/>
                </w:tcPr>
                <w:p w14:paraId="1E8287DF">
                  <w:pPr>
                    <w:widowControl/>
                    <w:spacing w:beforeLines="20" w:afterLines="20"/>
                    <w:jc w:val="center"/>
                    <w:textAlignment w:val="center"/>
                    <w:rPr>
                      <w:rFonts w:hint="default" w:eastAsia="宋体"/>
                      <w:color w:val="auto"/>
                      <w:szCs w:val="21"/>
                      <w:highlight w:val="none"/>
                      <w:lang w:val="en-US" w:eastAsia="zh-CN"/>
                    </w:rPr>
                  </w:pPr>
                  <w:r>
                    <w:rPr>
                      <w:rFonts w:hint="eastAsia"/>
                      <w:color w:val="auto"/>
                      <w:highlight w:val="none"/>
                    </w:rPr>
                    <w:t>0.</w:t>
                  </w:r>
                  <w:r>
                    <w:rPr>
                      <w:rFonts w:hint="eastAsia"/>
                      <w:color w:val="auto"/>
                      <w:highlight w:val="none"/>
                      <w:lang w:val="en-US" w:eastAsia="zh-CN"/>
                    </w:rPr>
                    <w:t>243</w:t>
                  </w:r>
                </w:p>
              </w:tc>
              <w:tc>
                <w:tcPr>
                  <w:tcW w:w="1584" w:type="dxa"/>
                  <w:vAlign w:val="center"/>
                </w:tcPr>
                <w:p w14:paraId="273C10E3">
                  <w:pPr>
                    <w:adjustRightInd w:val="0"/>
                    <w:snapToGrid w:val="0"/>
                    <w:spacing w:beforeLines="20" w:afterLines="20"/>
                    <w:jc w:val="center"/>
                    <w:rPr>
                      <w:rFonts w:hint="eastAsia" w:eastAsia="宋体"/>
                      <w:color w:val="auto"/>
                      <w:szCs w:val="21"/>
                      <w:highlight w:val="none"/>
                      <w:lang w:val="en-US" w:eastAsia="zh-CN"/>
                    </w:rPr>
                  </w:pPr>
                  <w:r>
                    <w:rPr>
                      <w:rFonts w:hint="eastAsia"/>
                      <w:color w:val="auto"/>
                      <w:highlight w:val="none"/>
                      <w:lang w:val="en-US" w:eastAsia="zh-CN"/>
                    </w:rPr>
                    <w:t>2.7</w:t>
                  </w:r>
                </w:p>
              </w:tc>
            </w:tr>
            <w:tr w14:paraId="65D5E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621" w:type="dxa"/>
                  <w:vAlign w:val="center"/>
                </w:tcPr>
                <w:p w14:paraId="20B89463">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砂浆生产线</w:t>
                  </w:r>
                </w:p>
              </w:tc>
              <w:tc>
                <w:tcPr>
                  <w:tcW w:w="983" w:type="dxa"/>
                  <w:vAlign w:val="center"/>
                </w:tcPr>
                <w:p w14:paraId="16C4E01E">
                  <w:pPr>
                    <w:snapToGrid w:val="0"/>
                    <w:spacing w:beforeLines="20" w:afterLines="20"/>
                    <w:jc w:val="center"/>
                    <w:rPr>
                      <w:color w:val="auto"/>
                      <w:szCs w:val="21"/>
                      <w:highlight w:val="none"/>
                    </w:rPr>
                  </w:pPr>
                  <w:r>
                    <w:rPr>
                      <w:rFonts w:hint="eastAsia"/>
                      <w:color w:val="auto"/>
                      <w:szCs w:val="21"/>
                      <w:highlight w:val="none"/>
                      <w:lang w:eastAsia="zh-CN"/>
                    </w:rPr>
                    <w:t>粉尘</w:t>
                  </w:r>
                </w:p>
              </w:tc>
              <w:tc>
                <w:tcPr>
                  <w:tcW w:w="950" w:type="dxa"/>
                  <w:vAlign w:val="center"/>
                </w:tcPr>
                <w:p w14:paraId="5406FF12">
                  <w:pPr>
                    <w:widowControl/>
                    <w:jc w:val="center"/>
                    <w:rPr>
                      <w:rFonts w:hint="eastAsia"/>
                      <w:color w:val="auto"/>
                      <w:szCs w:val="21"/>
                      <w:highlight w:val="none"/>
                      <w:lang w:eastAsia="zh-CN"/>
                    </w:rPr>
                  </w:pPr>
                  <w:r>
                    <w:rPr>
                      <w:rFonts w:hint="eastAsia"/>
                      <w:color w:val="auto"/>
                      <w:kern w:val="0"/>
                      <w:szCs w:val="21"/>
                      <w:highlight w:val="none"/>
                      <w:lang w:val="en-US" w:eastAsia="zh-CN"/>
                    </w:rPr>
                    <w:t>8.1</w:t>
                  </w:r>
                </w:p>
              </w:tc>
              <w:tc>
                <w:tcPr>
                  <w:tcW w:w="1733" w:type="dxa"/>
                  <w:vMerge w:val="continue"/>
                  <w:vAlign w:val="center"/>
                </w:tcPr>
                <w:p w14:paraId="50FE054A">
                  <w:pPr>
                    <w:snapToGrid w:val="0"/>
                    <w:spacing w:beforeLines="20" w:afterLines="20"/>
                    <w:jc w:val="center"/>
                    <w:rPr>
                      <w:rFonts w:hint="eastAsia"/>
                      <w:color w:val="auto"/>
                      <w:szCs w:val="21"/>
                      <w:highlight w:val="none"/>
                      <w:lang w:eastAsia="zh-CN"/>
                    </w:rPr>
                  </w:pPr>
                </w:p>
              </w:tc>
              <w:tc>
                <w:tcPr>
                  <w:tcW w:w="1617" w:type="dxa"/>
                  <w:vAlign w:val="center"/>
                </w:tcPr>
                <w:p w14:paraId="6AEA0B0F">
                  <w:pPr>
                    <w:widowControl/>
                    <w:spacing w:beforeLines="20" w:afterLines="20"/>
                    <w:jc w:val="center"/>
                    <w:textAlignment w:val="center"/>
                    <w:rPr>
                      <w:rFonts w:hint="eastAsia" w:eastAsia="宋体"/>
                      <w:color w:val="auto"/>
                      <w:szCs w:val="21"/>
                      <w:highlight w:val="none"/>
                      <w:lang w:val="en-US" w:eastAsia="zh-CN"/>
                    </w:rPr>
                  </w:pPr>
                  <w:r>
                    <w:rPr>
                      <w:rFonts w:hint="eastAsia"/>
                      <w:color w:val="auto"/>
                      <w:kern w:val="0"/>
                      <w:szCs w:val="21"/>
                      <w:highlight w:val="none"/>
                    </w:rPr>
                    <w:t>0.0</w:t>
                  </w:r>
                  <w:r>
                    <w:rPr>
                      <w:rFonts w:hint="eastAsia"/>
                      <w:color w:val="auto"/>
                      <w:kern w:val="0"/>
                      <w:szCs w:val="21"/>
                      <w:highlight w:val="none"/>
                      <w:lang w:val="en-US" w:eastAsia="zh-CN"/>
                    </w:rPr>
                    <w:t>73</w:t>
                  </w:r>
                </w:p>
              </w:tc>
              <w:tc>
                <w:tcPr>
                  <w:tcW w:w="1584" w:type="dxa"/>
                  <w:vAlign w:val="center"/>
                </w:tcPr>
                <w:p w14:paraId="7F1CF4FA">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0.81</w:t>
                  </w:r>
                </w:p>
              </w:tc>
            </w:tr>
            <w:tr w14:paraId="3D8C3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621" w:type="dxa"/>
                  <w:vAlign w:val="center"/>
                </w:tcPr>
                <w:p w14:paraId="3753D812">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食堂</w:t>
                  </w:r>
                </w:p>
              </w:tc>
              <w:tc>
                <w:tcPr>
                  <w:tcW w:w="983" w:type="dxa"/>
                  <w:vAlign w:val="center"/>
                </w:tcPr>
                <w:p w14:paraId="26BC6211">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油烟</w:t>
                  </w:r>
                </w:p>
              </w:tc>
              <w:tc>
                <w:tcPr>
                  <w:tcW w:w="950" w:type="dxa"/>
                  <w:vAlign w:val="center"/>
                </w:tcPr>
                <w:p w14:paraId="041A35F8">
                  <w:pPr>
                    <w:snapToGrid w:val="0"/>
                    <w:spacing w:beforeLines="20" w:afterLines="20"/>
                    <w:jc w:val="center"/>
                    <w:rPr>
                      <w:rFonts w:hint="default"/>
                      <w:color w:val="auto"/>
                      <w:szCs w:val="21"/>
                      <w:highlight w:val="none"/>
                      <w:lang w:val="en-US" w:eastAsia="zh-CN"/>
                    </w:rPr>
                  </w:pPr>
                  <w:r>
                    <w:rPr>
                      <w:rFonts w:hint="eastAsia"/>
                      <w:color w:val="auto"/>
                      <w:kern w:val="0"/>
                      <w:szCs w:val="21"/>
                      <w:highlight w:val="none"/>
                      <w:lang w:val="en-US" w:eastAsia="zh-CN"/>
                    </w:rPr>
                    <w:t>0.00324</w:t>
                  </w:r>
                </w:p>
              </w:tc>
              <w:tc>
                <w:tcPr>
                  <w:tcW w:w="1733" w:type="dxa"/>
                  <w:vAlign w:val="center"/>
                </w:tcPr>
                <w:p w14:paraId="4F4B4DAD">
                  <w:pPr>
                    <w:snapToGrid w:val="0"/>
                    <w:spacing w:beforeLines="20" w:afterLines="20"/>
                    <w:jc w:val="center"/>
                    <w:rPr>
                      <w:rFonts w:hint="default"/>
                      <w:color w:val="auto"/>
                      <w:szCs w:val="21"/>
                      <w:highlight w:val="none"/>
                      <w:lang w:val="en-US" w:eastAsia="zh-CN"/>
                    </w:rPr>
                  </w:pPr>
                  <w:r>
                    <w:rPr>
                      <w:rFonts w:hint="eastAsia"/>
                      <w:color w:val="auto"/>
                      <w:szCs w:val="21"/>
                      <w:highlight w:val="none"/>
                      <w:lang w:val="en-US" w:eastAsia="zh-CN"/>
                    </w:rPr>
                    <w:t>/</w:t>
                  </w:r>
                </w:p>
              </w:tc>
              <w:tc>
                <w:tcPr>
                  <w:tcW w:w="1617" w:type="dxa"/>
                  <w:vAlign w:val="center"/>
                </w:tcPr>
                <w:p w14:paraId="098C80E9">
                  <w:pPr>
                    <w:widowControl/>
                    <w:spacing w:beforeLines="20" w:afterLines="2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0.00324</w:t>
                  </w:r>
                </w:p>
              </w:tc>
              <w:tc>
                <w:tcPr>
                  <w:tcW w:w="1584" w:type="dxa"/>
                  <w:vAlign w:val="center"/>
                </w:tcPr>
                <w:p w14:paraId="0B788184">
                  <w:pPr>
                    <w:adjustRightInd w:val="0"/>
                    <w:snapToGrid w:val="0"/>
                    <w:spacing w:beforeLines="20" w:afterLines="20"/>
                    <w:jc w:val="center"/>
                    <w:rPr>
                      <w:rFonts w:hint="eastAsia" w:eastAsia="宋体"/>
                      <w:color w:val="auto"/>
                      <w:szCs w:val="21"/>
                      <w:highlight w:val="none"/>
                      <w:lang w:val="en-US" w:eastAsia="zh-CN"/>
                    </w:rPr>
                  </w:pPr>
                  <w:r>
                    <w:rPr>
                      <w:rFonts w:hint="eastAsia"/>
                      <w:color w:val="auto"/>
                      <w:kern w:val="0"/>
                      <w:szCs w:val="21"/>
                      <w:highlight w:val="none"/>
                      <w:lang w:val="en-US" w:eastAsia="zh-CN"/>
                    </w:rPr>
                    <w:t>0</w:t>
                  </w:r>
                </w:p>
              </w:tc>
            </w:tr>
            <w:tr w14:paraId="77242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03" w:hRule="exact"/>
                <w:jc w:val="center"/>
              </w:trPr>
              <w:tc>
                <w:tcPr>
                  <w:tcW w:w="1621" w:type="dxa"/>
                  <w:vAlign w:val="center"/>
                </w:tcPr>
                <w:p w14:paraId="5C32902F">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车辆运输</w:t>
                  </w:r>
                </w:p>
              </w:tc>
              <w:tc>
                <w:tcPr>
                  <w:tcW w:w="983" w:type="dxa"/>
                  <w:vAlign w:val="center"/>
                </w:tcPr>
                <w:p w14:paraId="2A383CCF">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粉尘</w:t>
                  </w:r>
                </w:p>
              </w:tc>
              <w:tc>
                <w:tcPr>
                  <w:tcW w:w="950" w:type="dxa"/>
                  <w:vAlign w:val="center"/>
                </w:tcPr>
                <w:p w14:paraId="33C59D34">
                  <w:pPr>
                    <w:snapToGrid w:val="0"/>
                    <w:spacing w:beforeLines="20" w:afterLines="20"/>
                    <w:jc w:val="center"/>
                    <w:rPr>
                      <w:rFonts w:hint="default"/>
                      <w:color w:val="auto"/>
                      <w:szCs w:val="21"/>
                      <w:highlight w:val="none"/>
                      <w:lang w:val="en-US" w:eastAsia="zh-CN"/>
                    </w:rPr>
                  </w:pPr>
                  <w:r>
                    <w:rPr>
                      <w:rFonts w:hint="eastAsia"/>
                      <w:color w:val="auto"/>
                      <w:szCs w:val="21"/>
                      <w:highlight w:val="none"/>
                      <w:lang w:val="en-US" w:eastAsia="zh-CN"/>
                    </w:rPr>
                    <w:t>1.8</w:t>
                  </w:r>
                </w:p>
              </w:tc>
              <w:tc>
                <w:tcPr>
                  <w:tcW w:w="1733" w:type="dxa"/>
                  <w:vAlign w:val="center"/>
                </w:tcPr>
                <w:p w14:paraId="589B9837">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定期洒水和车辆冲洗（抑尘效率</w:t>
                  </w:r>
                  <w:r>
                    <w:rPr>
                      <w:rFonts w:hint="eastAsia"/>
                      <w:color w:val="auto"/>
                      <w:szCs w:val="21"/>
                      <w:highlight w:val="none"/>
                      <w:lang w:val="en-US" w:eastAsia="zh-CN"/>
                    </w:rPr>
                    <w:t>80%</w:t>
                  </w:r>
                  <w:r>
                    <w:rPr>
                      <w:rFonts w:hint="eastAsia"/>
                      <w:color w:val="auto"/>
                      <w:szCs w:val="21"/>
                      <w:highlight w:val="none"/>
                      <w:lang w:eastAsia="zh-CN"/>
                    </w:rPr>
                    <w:t>）</w:t>
                  </w:r>
                </w:p>
              </w:tc>
              <w:tc>
                <w:tcPr>
                  <w:tcW w:w="1617" w:type="dxa"/>
                  <w:vAlign w:val="center"/>
                </w:tcPr>
                <w:p w14:paraId="243BF8E2">
                  <w:pPr>
                    <w:widowControl/>
                    <w:spacing w:beforeLines="20" w:afterLines="20"/>
                    <w:jc w:val="center"/>
                    <w:textAlignment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w:t>
                  </w:r>
                </w:p>
              </w:tc>
              <w:tc>
                <w:tcPr>
                  <w:tcW w:w="1584" w:type="dxa"/>
                  <w:vAlign w:val="center"/>
                </w:tcPr>
                <w:p w14:paraId="3B201FF4">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0.36</w:t>
                  </w:r>
                </w:p>
              </w:tc>
            </w:tr>
            <w:tr w14:paraId="529DC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863" w:hRule="exact"/>
                <w:jc w:val="center"/>
              </w:trPr>
              <w:tc>
                <w:tcPr>
                  <w:tcW w:w="1621" w:type="dxa"/>
                  <w:vAlign w:val="center"/>
                </w:tcPr>
                <w:p w14:paraId="1C049ADA">
                  <w:pPr>
                    <w:pStyle w:val="45"/>
                    <w:snapToGrid w:val="0"/>
                    <w:spacing w:beforeLines="20" w:afterLines="20"/>
                    <w:jc w:val="center"/>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堆存及装卸</w:t>
                  </w:r>
                </w:p>
              </w:tc>
              <w:tc>
                <w:tcPr>
                  <w:tcW w:w="983" w:type="dxa"/>
                  <w:vAlign w:val="center"/>
                </w:tcPr>
                <w:p w14:paraId="2B79C35A">
                  <w:pPr>
                    <w:snapToGrid w:val="0"/>
                    <w:spacing w:beforeLines="20" w:afterLines="20"/>
                    <w:jc w:val="center"/>
                    <w:rPr>
                      <w:rFonts w:hint="eastAsia"/>
                      <w:color w:val="auto"/>
                      <w:szCs w:val="21"/>
                      <w:highlight w:val="none"/>
                      <w:lang w:eastAsia="zh-CN"/>
                    </w:rPr>
                  </w:pPr>
                  <w:r>
                    <w:rPr>
                      <w:rFonts w:hint="eastAsia"/>
                      <w:color w:val="auto"/>
                      <w:szCs w:val="21"/>
                      <w:highlight w:val="none"/>
                      <w:lang w:eastAsia="zh-CN"/>
                    </w:rPr>
                    <w:t>粉尘</w:t>
                  </w:r>
                </w:p>
              </w:tc>
              <w:tc>
                <w:tcPr>
                  <w:tcW w:w="950" w:type="dxa"/>
                  <w:vAlign w:val="center"/>
                </w:tcPr>
                <w:p w14:paraId="264E18C3">
                  <w:pPr>
                    <w:snapToGrid w:val="0"/>
                    <w:spacing w:beforeLines="20" w:afterLines="20"/>
                    <w:jc w:val="center"/>
                    <w:rPr>
                      <w:rFonts w:hint="default"/>
                      <w:color w:val="auto"/>
                      <w:szCs w:val="21"/>
                      <w:highlight w:val="none"/>
                      <w:lang w:val="en-US" w:eastAsia="zh-CN"/>
                    </w:rPr>
                  </w:pPr>
                  <w:r>
                    <w:rPr>
                      <w:rFonts w:hint="eastAsia"/>
                      <w:color w:val="auto"/>
                      <w:szCs w:val="21"/>
                      <w:highlight w:val="none"/>
                      <w:lang w:val="en-US" w:eastAsia="zh-CN"/>
                    </w:rPr>
                    <w:t>0.101</w:t>
                  </w:r>
                </w:p>
              </w:tc>
              <w:tc>
                <w:tcPr>
                  <w:tcW w:w="1733" w:type="dxa"/>
                  <w:vAlign w:val="center"/>
                </w:tcPr>
                <w:p w14:paraId="22BCBD10">
                  <w:pPr>
                    <w:snapToGrid w:val="0"/>
                    <w:spacing w:beforeLines="20" w:afterLines="20"/>
                    <w:jc w:val="center"/>
                    <w:rPr>
                      <w:rFonts w:hint="default"/>
                      <w:color w:val="auto"/>
                      <w:szCs w:val="21"/>
                      <w:highlight w:val="none"/>
                      <w:lang w:val="en-US" w:eastAsia="zh-CN"/>
                    </w:rPr>
                  </w:pPr>
                  <w:r>
                    <w:rPr>
                      <w:rFonts w:hint="eastAsia"/>
                      <w:color w:val="auto"/>
                      <w:szCs w:val="21"/>
                      <w:highlight w:val="none"/>
                      <w:lang w:eastAsia="zh-CN"/>
                    </w:rPr>
                    <w:t>堆场封闭</w:t>
                  </w:r>
                  <w:r>
                    <w:rPr>
                      <w:rFonts w:hint="eastAsia"/>
                      <w:color w:val="auto"/>
                      <w:szCs w:val="21"/>
                      <w:highlight w:val="none"/>
                      <w:lang w:val="en-US" w:eastAsia="zh-CN"/>
                    </w:rPr>
                    <w:t>90%抑尘效率+半封闭60%抑尘效率</w:t>
                  </w:r>
                </w:p>
              </w:tc>
              <w:tc>
                <w:tcPr>
                  <w:tcW w:w="1617" w:type="dxa"/>
                  <w:vAlign w:val="center"/>
                </w:tcPr>
                <w:p w14:paraId="4E913CE7">
                  <w:pPr>
                    <w:widowControl/>
                    <w:spacing w:beforeLines="20" w:afterLines="20"/>
                    <w:jc w:val="center"/>
                    <w:textAlignment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w:t>
                  </w:r>
                </w:p>
              </w:tc>
              <w:tc>
                <w:tcPr>
                  <w:tcW w:w="1584" w:type="dxa"/>
                  <w:vAlign w:val="center"/>
                </w:tcPr>
                <w:p w14:paraId="627E7359">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0.035</w:t>
                  </w:r>
                </w:p>
              </w:tc>
            </w:tr>
            <w:tr w14:paraId="7601B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604" w:type="dxa"/>
                  <w:gridSpan w:val="2"/>
                  <w:vAlign w:val="center"/>
                </w:tcPr>
                <w:p w14:paraId="09CC5723">
                  <w:pPr>
                    <w:snapToGrid w:val="0"/>
                    <w:spacing w:beforeLines="20" w:afterLines="20"/>
                    <w:jc w:val="center"/>
                    <w:rPr>
                      <w:rFonts w:hint="eastAsia"/>
                      <w:color w:val="auto"/>
                      <w:szCs w:val="21"/>
                      <w:highlight w:val="none"/>
                      <w:lang w:eastAsia="zh-CN"/>
                    </w:rPr>
                  </w:pPr>
                  <w:r>
                    <w:rPr>
                      <w:rFonts w:hint="eastAsia" w:ascii="Times New Roman" w:cs="Times New Roman"/>
                      <w:color w:val="auto"/>
                      <w:sz w:val="21"/>
                      <w:szCs w:val="21"/>
                      <w:highlight w:val="none"/>
                      <w:lang w:eastAsia="zh-CN"/>
                    </w:rPr>
                    <w:t>合计</w:t>
                  </w:r>
                </w:p>
              </w:tc>
              <w:tc>
                <w:tcPr>
                  <w:tcW w:w="950" w:type="dxa"/>
                  <w:shd w:val="clear" w:color="auto" w:fill="auto"/>
                  <w:vAlign w:val="center"/>
                </w:tcPr>
                <w:p w14:paraId="7405159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50.33424</w:t>
                  </w:r>
                </w:p>
              </w:tc>
              <w:tc>
                <w:tcPr>
                  <w:tcW w:w="1733" w:type="dxa"/>
                  <w:vAlign w:val="center"/>
                </w:tcPr>
                <w:p w14:paraId="53F44E47">
                  <w:pPr>
                    <w:snapToGrid w:val="0"/>
                    <w:spacing w:beforeLines="20" w:afterLines="20"/>
                    <w:jc w:val="center"/>
                    <w:rPr>
                      <w:rFonts w:hint="eastAsia" w:ascii="Times New Roman" w:cs="Times New Roman"/>
                      <w:color w:val="auto"/>
                      <w:sz w:val="21"/>
                      <w:szCs w:val="21"/>
                      <w:highlight w:val="none"/>
                      <w:lang w:eastAsia="zh-CN"/>
                    </w:rPr>
                  </w:pPr>
                  <w:r>
                    <w:rPr>
                      <w:rFonts w:hint="eastAsia"/>
                      <w:color w:val="auto"/>
                      <w:szCs w:val="21"/>
                      <w:highlight w:val="none"/>
                      <w:lang w:val="en-US" w:eastAsia="zh-CN"/>
                    </w:rPr>
                    <w:t>/</w:t>
                  </w:r>
                </w:p>
              </w:tc>
              <w:tc>
                <w:tcPr>
                  <w:tcW w:w="1617" w:type="dxa"/>
                  <w:vAlign w:val="center"/>
                </w:tcPr>
                <w:p w14:paraId="2BE38CF2">
                  <w:pPr>
                    <w:widowControl/>
                    <w:spacing w:beforeLines="20" w:afterLines="20"/>
                    <w:jc w:val="center"/>
                    <w:textAlignment w:val="center"/>
                    <w:rPr>
                      <w:rFonts w:hint="default"/>
                      <w:color w:val="auto"/>
                      <w:kern w:val="0"/>
                      <w:szCs w:val="21"/>
                      <w:highlight w:val="none"/>
                      <w:lang w:val="en-US" w:eastAsia="zh-CN"/>
                    </w:rPr>
                  </w:pPr>
                  <w:r>
                    <w:rPr>
                      <w:rFonts w:hint="eastAsia"/>
                      <w:color w:val="auto"/>
                      <w:kern w:val="0"/>
                      <w:szCs w:val="21"/>
                      <w:highlight w:val="none"/>
                      <w:lang w:val="en-US" w:eastAsia="zh-CN"/>
                    </w:rPr>
                    <w:t>0.436</w:t>
                  </w:r>
                </w:p>
              </w:tc>
              <w:tc>
                <w:tcPr>
                  <w:tcW w:w="1584" w:type="dxa"/>
                  <w:vAlign w:val="center"/>
                </w:tcPr>
                <w:p w14:paraId="1B88B809">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5.235</w:t>
                  </w:r>
                </w:p>
              </w:tc>
            </w:tr>
          </w:tbl>
          <w:p w14:paraId="3C2B3F29">
            <w:pPr>
              <w:pStyle w:val="2"/>
              <w:spacing w:line="360" w:lineRule="auto"/>
              <w:ind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（2）达标性分析</w:t>
            </w:r>
          </w:p>
          <w:p w14:paraId="01C1F5A5">
            <w:pPr>
              <w:pStyle w:val="2"/>
              <w:spacing w:line="360" w:lineRule="auto"/>
              <w:ind w:firstLine="480" w:firstLineChars="200"/>
              <w:rPr>
                <w:rFonts w:hint="default" w:ascii="Times New Roman" w:hAnsi="Times New Roman" w:cs="Times New Roman"/>
                <w:bCs/>
                <w:color w:val="auto"/>
                <w:sz w:val="24"/>
                <w:highlight w:val="none"/>
                <w:lang w:val="en-US" w:eastAsia="zh-CN"/>
              </w:rPr>
            </w:pPr>
            <w:r>
              <w:rPr>
                <w:rFonts w:hint="eastAsia" w:ascii="宋体" w:hAnsi="宋体" w:eastAsia="宋体" w:cs="宋体"/>
                <w:bCs/>
                <w:color w:val="auto"/>
                <w:sz w:val="24"/>
                <w:highlight w:val="none"/>
                <w:lang w:val="en-US" w:eastAsia="zh-CN"/>
              </w:rPr>
              <w:t>①</w:t>
            </w:r>
            <w:r>
              <w:rPr>
                <w:rFonts w:hint="eastAsia" w:ascii="Times New Roman" w:hAnsi="Times New Roman" w:cs="Times New Roman"/>
                <w:bCs/>
                <w:color w:val="auto"/>
                <w:sz w:val="24"/>
                <w:highlight w:val="none"/>
                <w:lang w:val="en-US" w:eastAsia="zh-CN"/>
              </w:rPr>
              <w:t>有组织粉尘达标性分析：根据前文分析，彩砂+钙粉生产线有组织粉尘满足</w:t>
            </w:r>
            <w:r>
              <w:rPr>
                <w:rFonts w:hint="eastAsia" w:ascii="Times New Roman" w:hAnsi="Times New Roman" w:cs="Times New Roman"/>
                <w:b w:val="0"/>
                <w:bCs w:val="0"/>
                <w:color w:val="auto"/>
                <w:highlight w:val="none"/>
                <w:lang w:val="en-US" w:eastAsia="zh-CN"/>
              </w:rPr>
              <w:t>《大气污染物综合排放标准》（GB16297-1996）表2中的排放限值要求；腻子粉及石膏生产线、砂浆生产线</w:t>
            </w:r>
            <w:r>
              <w:rPr>
                <w:rFonts w:hint="eastAsia" w:ascii="Times New Roman" w:hAnsi="Times New Roman" w:cs="Times New Roman"/>
                <w:bCs/>
                <w:color w:val="auto"/>
                <w:sz w:val="24"/>
                <w:highlight w:val="none"/>
                <w:lang w:val="en-US" w:eastAsia="zh-CN"/>
              </w:rPr>
              <w:t>有组织粉尘均满足</w:t>
            </w:r>
            <w:r>
              <w:rPr>
                <w:rFonts w:hint="eastAsia" w:ascii="Times New Roman" w:hAnsi="Times New Roman"/>
                <w:color w:val="auto"/>
                <w:szCs w:val="24"/>
                <w:highlight w:val="none"/>
                <w:lang w:eastAsia="zh-CN"/>
              </w:rPr>
              <w:t>《水泥工业大气污染物排放标准》（GB4915-2013）表</w:t>
            </w:r>
            <w:r>
              <w:rPr>
                <w:rFonts w:hint="eastAsia" w:ascii="Times New Roman" w:hAnsi="Times New Roman"/>
                <w:color w:val="auto"/>
                <w:szCs w:val="24"/>
                <w:highlight w:val="none"/>
                <w:lang w:val="en-US" w:eastAsia="zh-CN"/>
              </w:rPr>
              <w:t>1中的标准限值。因此，新增工程投入运营后全厂有组织粉尘可达标排放。</w:t>
            </w:r>
          </w:p>
          <w:p w14:paraId="45CB0456">
            <w:pPr>
              <w:pStyle w:val="2"/>
              <w:spacing w:line="360" w:lineRule="auto"/>
              <w:ind w:firstLine="480" w:firstLineChars="200"/>
              <w:rPr>
                <w:rFonts w:hint="default" w:ascii="Times New Roman" w:hAnsi="Times New Roman" w:cs="Times New Roman"/>
                <w:bCs/>
                <w:color w:val="auto"/>
                <w:sz w:val="24"/>
                <w:highlight w:val="none"/>
                <w:lang w:val="en-US" w:eastAsia="zh-CN"/>
              </w:rPr>
            </w:pPr>
            <w:r>
              <w:rPr>
                <w:rFonts w:hint="eastAsia" w:ascii="宋体" w:hAnsi="宋体" w:eastAsia="宋体" w:cs="宋体"/>
                <w:bCs/>
                <w:color w:val="auto"/>
                <w:sz w:val="24"/>
                <w:highlight w:val="none"/>
                <w:lang w:val="en-US" w:eastAsia="zh-CN"/>
              </w:rPr>
              <w:t>②</w:t>
            </w:r>
            <w:r>
              <w:rPr>
                <w:rFonts w:hint="eastAsia" w:ascii="Times New Roman" w:hAnsi="Times New Roman" w:cs="Times New Roman"/>
                <w:bCs/>
                <w:color w:val="auto"/>
                <w:sz w:val="24"/>
                <w:highlight w:val="none"/>
                <w:lang w:val="en-US" w:eastAsia="zh-CN"/>
              </w:rPr>
              <w:t>无组织粉尘达标性分析：由于新增工程在原有车间内进行，故本次将现有工程与新增工程无组织粉尘整体进行估算。</w:t>
            </w:r>
          </w:p>
          <w:p w14:paraId="40237D2C">
            <w:pPr>
              <w:adjustRightInd w:val="0"/>
              <w:snapToGrid w:val="0"/>
              <w:spacing w:line="360" w:lineRule="auto"/>
              <w:ind w:firstLine="480" w:firstLineChars="200"/>
              <w:rPr>
                <w:b/>
                <w:color w:val="auto"/>
                <w:szCs w:val="21"/>
                <w:highlight w:val="none"/>
              </w:rPr>
            </w:pPr>
            <w:r>
              <w:rPr>
                <w:color w:val="auto"/>
                <w:kern w:val="0"/>
                <w:sz w:val="24"/>
                <w:highlight w:val="none"/>
              </w:rPr>
              <w:t>按照《环境影响评价技术导则 大气环境》</w:t>
            </w:r>
            <w:r>
              <w:rPr>
                <w:rFonts w:hint="eastAsia"/>
                <w:color w:val="auto"/>
                <w:kern w:val="0"/>
                <w:sz w:val="24"/>
                <w:highlight w:val="none"/>
              </w:rPr>
              <w:t>（</w:t>
            </w:r>
            <w:r>
              <w:rPr>
                <w:color w:val="auto"/>
                <w:kern w:val="0"/>
                <w:sz w:val="24"/>
                <w:highlight w:val="none"/>
              </w:rPr>
              <w:t>HJ2.2-2018</w:t>
            </w:r>
            <w:r>
              <w:rPr>
                <w:rFonts w:hint="eastAsia"/>
                <w:color w:val="auto"/>
                <w:kern w:val="0"/>
                <w:sz w:val="24"/>
                <w:highlight w:val="none"/>
              </w:rPr>
              <w:t>）</w:t>
            </w:r>
            <w:r>
              <w:rPr>
                <w:color w:val="auto"/>
                <w:kern w:val="0"/>
                <w:sz w:val="24"/>
                <w:highlight w:val="none"/>
              </w:rPr>
              <w:t>要求，评价采用推荐的AERSCREEN估算模式对</w:t>
            </w:r>
            <w:r>
              <w:rPr>
                <w:rFonts w:hint="eastAsia"/>
                <w:color w:val="auto"/>
                <w:kern w:val="0"/>
                <w:sz w:val="24"/>
                <w:highlight w:val="none"/>
                <w:lang w:eastAsia="zh-CN"/>
              </w:rPr>
              <w:t>全厂</w:t>
            </w:r>
            <w:r>
              <w:rPr>
                <w:color w:val="auto"/>
                <w:kern w:val="0"/>
                <w:sz w:val="24"/>
                <w:highlight w:val="none"/>
              </w:rPr>
              <w:t>无组织废气排放进行估算，估算结果如下：</w:t>
            </w:r>
          </w:p>
          <w:p w14:paraId="1F29D077">
            <w:pPr>
              <w:snapToGrid w:val="0"/>
              <w:jc w:val="center"/>
              <w:rPr>
                <w:b/>
                <w:color w:val="auto"/>
                <w:szCs w:val="21"/>
                <w:highlight w:val="none"/>
              </w:rPr>
            </w:pPr>
            <w:r>
              <w:rPr>
                <w:b/>
                <w:color w:val="auto"/>
                <w:szCs w:val="21"/>
                <w:highlight w:val="none"/>
              </w:rPr>
              <w:t>表4-</w:t>
            </w:r>
            <w:r>
              <w:rPr>
                <w:rFonts w:hint="eastAsia"/>
                <w:b/>
                <w:color w:val="auto"/>
                <w:szCs w:val="21"/>
                <w:highlight w:val="none"/>
                <w:lang w:val="en-US" w:eastAsia="zh-CN"/>
              </w:rPr>
              <w:t>3</w:t>
            </w:r>
            <w:r>
              <w:rPr>
                <w:b/>
                <w:color w:val="auto"/>
                <w:szCs w:val="21"/>
                <w:highlight w:val="none"/>
              </w:rPr>
              <w:t xml:space="preserve">  </w:t>
            </w:r>
            <w:r>
              <w:rPr>
                <w:rFonts w:hint="eastAsia"/>
                <w:b/>
                <w:color w:val="auto"/>
                <w:szCs w:val="21"/>
                <w:highlight w:val="none"/>
                <w:lang w:eastAsia="zh-CN"/>
              </w:rPr>
              <w:t>全厂</w:t>
            </w:r>
            <w:r>
              <w:rPr>
                <w:b/>
                <w:color w:val="auto"/>
                <w:szCs w:val="21"/>
                <w:highlight w:val="none"/>
              </w:rPr>
              <w:t>无组织</w:t>
            </w:r>
            <w:r>
              <w:rPr>
                <w:rFonts w:hint="eastAsia"/>
                <w:b/>
                <w:color w:val="auto"/>
                <w:szCs w:val="21"/>
                <w:highlight w:val="none"/>
                <w:lang w:eastAsia="zh-CN"/>
              </w:rPr>
              <w:t>粉尘</w:t>
            </w:r>
            <w:r>
              <w:rPr>
                <w:b/>
                <w:color w:val="auto"/>
                <w:szCs w:val="21"/>
                <w:highlight w:val="none"/>
              </w:rPr>
              <w:t>污染物排放参数</w:t>
            </w:r>
          </w:p>
          <w:tbl>
            <w:tblPr>
              <w:tblStyle w:val="36"/>
              <w:tblW w:w="849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4"/>
              <w:gridCol w:w="760"/>
              <w:gridCol w:w="832"/>
              <w:gridCol w:w="719"/>
              <w:gridCol w:w="672"/>
              <w:gridCol w:w="561"/>
              <w:gridCol w:w="744"/>
              <w:gridCol w:w="752"/>
              <w:gridCol w:w="723"/>
              <w:gridCol w:w="618"/>
              <w:gridCol w:w="1180"/>
            </w:tblGrid>
            <w:tr w14:paraId="13F919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restart"/>
                  <w:vAlign w:val="center"/>
                </w:tcPr>
                <w:p w14:paraId="5183CD52">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面源</w:t>
                  </w:r>
                </w:p>
              </w:tc>
              <w:tc>
                <w:tcPr>
                  <w:tcW w:w="1592" w:type="dxa"/>
                  <w:gridSpan w:val="2"/>
                  <w:vAlign w:val="center"/>
                </w:tcPr>
                <w:p w14:paraId="0D0FB084">
                  <w:pPr>
                    <w:widowControl/>
                    <w:adjustRightInd w:val="0"/>
                    <w:snapToGrid w:val="0"/>
                    <w:spacing w:beforeLines="20" w:afterLines="20"/>
                    <w:jc w:val="center"/>
                    <w:rPr>
                      <w:color w:val="auto"/>
                      <w:kern w:val="0"/>
                      <w:szCs w:val="21"/>
                      <w:highlight w:val="none"/>
                    </w:rPr>
                  </w:pPr>
                  <w:r>
                    <w:rPr>
                      <w:color w:val="auto"/>
                      <w:kern w:val="0"/>
                      <w:szCs w:val="21"/>
                      <w:highlight w:val="none"/>
                    </w:rPr>
                    <w:t>面源起点坐标/m</w:t>
                  </w:r>
                </w:p>
              </w:tc>
              <w:tc>
                <w:tcPr>
                  <w:tcW w:w="719" w:type="dxa"/>
                  <w:vMerge w:val="restart"/>
                  <w:vAlign w:val="center"/>
                </w:tcPr>
                <w:p w14:paraId="064B3F65">
                  <w:pPr>
                    <w:widowControl/>
                    <w:adjustRightInd w:val="0"/>
                    <w:snapToGrid w:val="0"/>
                    <w:spacing w:beforeLines="20" w:afterLines="20"/>
                    <w:jc w:val="center"/>
                    <w:rPr>
                      <w:color w:val="auto"/>
                      <w:kern w:val="0"/>
                      <w:szCs w:val="21"/>
                      <w:highlight w:val="none"/>
                    </w:rPr>
                  </w:pPr>
                  <w:r>
                    <w:rPr>
                      <w:color w:val="auto"/>
                      <w:kern w:val="0"/>
                      <w:szCs w:val="21"/>
                      <w:highlight w:val="none"/>
                    </w:rPr>
                    <w:t>面源</w:t>
                  </w:r>
                  <w:r>
                    <w:rPr>
                      <w:rFonts w:hint="eastAsia"/>
                      <w:color w:val="auto"/>
                      <w:kern w:val="0"/>
                      <w:szCs w:val="21"/>
                      <w:highlight w:val="none"/>
                    </w:rPr>
                    <w:t>海拔</w:t>
                  </w:r>
                  <w:r>
                    <w:rPr>
                      <w:color w:val="auto"/>
                      <w:kern w:val="0"/>
                      <w:szCs w:val="21"/>
                      <w:highlight w:val="none"/>
                    </w:rPr>
                    <w:t>/m</w:t>
                  </w:r>
                </w:p>
              </w:tc>
              <w:tc>
                <w:tcPr>
                  <w:tcW w:w="672" w:type="dxa"/>
                  <w:vMerge w:val="restart"/>
                  <w:vAlign w:val="center"/>
                </w:tcPr>
                <w:p w14:paraId="0283778F">
                  <w:pPr>
                    <w:widowControl/>
                    <w:adjustRightInd w:val="0"/>
                    <w:snapToGrid w:val="0"/>
                    <w:spacing w:beforeLines="20" w:afterLines="20"/>
                    <w:jc w:val="center"/>
                    <w:rPr>
                      <w:rFonts w:hint="eastAsia" w:eastAsia="宋体"/>
                      <w:color w:val="auto"/>
                      <w:kern w:val="0"/>
                      <w:szCs w:val="21"/>
                      <w:highlight w:val="none"/>
                      <w:lang w:eastAsia="zh-CN"/>
                    </w:rPr>
                  </w:pPr>
                  <w:r>
                    <w:rPr>
                      <w:rFonts w:hint="eastAsia"/>
                      <w:color w:val="auto"/>
                      <w:kern w:val="0"/>
                      <w:szCs w:val="21"/>
                      <w:highlight w:val="none"/>
                      <w:lang w:eastAsia="zh-CN"/>
                    </w:rPr>
                    <w:t>与正北方向夹角</w:t>
                  </w:r>
                </w:p>
              </w:tc>
              <w:tc>
                <w:tcPr>
                  <w:tcW w:w="561" w:type="dxa"/>
                  <w:vMerge w:val="restart"/>
                  <w:vAlign w:val="center"/>
                </w:tcPr>
                <w:p w14:paraId="189CAD67">
                  <w:pPr>
                    <w:widowControl/>
                    <w:adjustRightInd w:val="0"/>
                    <w:snapToGrid w:val="0"/>
                    <w:spacing w:beforeLines="20" w:afterLines="20"/>
                    <w:jc w:val="center"/>
                    <w:rPr>
                      <w:color w:val="auto"/>
                      <w:kern w:val="0"/>
                      <w:szCs w:val="21"/>
                      <w:highlight w:val="none"/>
                    </w:rPr>
                  </w:pPr>
                  <w:r>
                    <w:rPr>
                      <w:color w:val="auto"/>
                      <w:kern w:val="0"/>
                      <w:szCs w:val="21"/>
                      <w:highlight w:val="none"/>
                    </w:rPr>
                    <w:t>面源长度/m</w:t>
                  </w:r>
                </w:p>
              </w:tc>
              <w:tc>
                <w:tcPr>
                  <w:tcW w:w="744" w:type="dxa"/>
                  <w:vMerge w:val="restart"/>
                  <w:vAlign w:val="center"/>
                </w:tcPr>
                <w:p w14:paraId="681AC780">
                  <w:pPr>
                    <w:widowControl/>
                    <w:adjustRightInd w:val="0"/>
                    <w:snapToGrid w:val="0"/>
                    <w:spacing w:beforeLines="20" w:afterLines="20"/>
                    <w:jc w:val="center"/>
                    <w:rPr>
                      <w:color w:val="auto"/>
                      <w:kern w:val="0"/>
                      <w:szCs w:val="21"/>
                      <w:highlight w:val="none"/>
                    </w:rPr>
                  </w:pPr>
                  <w:r>
                    <w:rPr>
                      <w:color w:val="auto"/>
                      <w:kern w:val="0"/>
                      <w:szCs w:val="21"/>
                      <w:highlight w:val="none"/>
                    </w:rPr>
                    <w:t>面源宽度/m</w:t>
                  </w:r>
                </w:p>
              </w:tc>
              <w:tc>
                <w:tcPr>
                  <w:tcW w:w="752" w:type="dxa"/>
                  <w:vMerge w:val="restart"/>
                  <w:vAlign w:val="center"/>
                </w:tcPr>
                <w:p w14:paraId="482C4747">
                  <w:pPr>
                    <w:widowControl/>
                    <w:adjustRightInd w:val="0"/>
                    <w:snapToGrid w:val="0"/>
                    <w:spacing w:beforeLines="20" w:afterLines="20"/>
                    <w:jc w:val="center"/>
                    <w:rPr>
                      <w:color w:val="auto"/>
                      <w:kern w:val="0"/>
                      <w:szCs w:val="21"/>
                      <w:highlight w:val="none"/>
                    </w:rPr>
                  </w:pPr>
                  <w:r>
                    <w:rPr>
                      <w:color w:val="auto"/>
                      <w:kern w:val="0"/>
                      <w:szCs w:val="21"/>
                      <w:highlight w:val="none"/>
                    </w:rPr>
                    <w:t>面源有效排放高度/m</w:t>
                  </w:r>
                </w:p>
              </w:tc>
              <w:tc>
                <w:tcPr>
                  <w:tcW w:w="723" w:type="dxa"/>
                  <w:vMerge w:val="restart"/>
                  <w:vAlign w:val="center"/>
                </w:tcPr>
                <w:p w14:paraId="42422480">
                  <w:pPr>
                    <w:widowControl/>
                    <w:adjustRightInd w:val="0"/>
                    <w:snapToGrid w:val="0"/>
                    <w:spacing w:beforeLines="20" w:afterLines="20"/>
                    <w:jc w:val="center"/>
                    <w:rPr>
                      <w:color w:val="auto"/>
                      <w:kern w:val="0"/>
                      <w:szCs w:val="21"/>
                      <w:highlight w:val="none"/>
                    </w:rPr>
                  </w:pPr>
                  <w:r>
                    <w:rPr>
                      <w:color w:val="auto"/>
                      <w:kern w:val="0"/>
                      <w:szCs w:val="21"/>
                      <w:highlight w:val="none"/>
                    </w:rPr>
                    <w:t>年排放小时数/h</w:t>
                  </w:r>
                </w:p>
              </w:tc>
              <w:tc>
                <w:tcPr>
                  <w:tcW w:w="618" w:type="dxa"/>
                  <w:vMerge w:val="restart"/>
                  <w:vAlign w:val="center"/>
                </w:tcPr>
                <w:p w14:paraId="239C473E">
                  <w:pPr>
                    <w:widowControl/>
                    <w:adjustRightInd w:val="0"/>
                    <w:snapToGrid w:val="0"/>
                    <w:spacing w:beforeLines="20" w:afterLines="20"/>
                    <w:jc w:val="center"/>
                    <w:rPr>
                      <w:color w:val="auto"/>
                      <w:kern w:val="0"/>
                      <w:szCs w:val="21"/>
                      <w:highlight w:val="none"/>
                    </w:rPr>
                  </w:pPr>
                  <w:r>
                    <w:rPr>
                      <w:color w:val="auto"/>
                      <w:kern w:val="0"/>
                      <w:szCs w:val="21"/>
                      <w:highlight w:val="none"/>
                    </w:rPr>
                    <w:t>排放</w:t>
                  </w:r>
                </w:p>
                <w:p w14:paraId="162B4FBB">
                  <w:pPr>
                    <w:widowControl/>
                    <w:adjustRightInd w:val="0"/>
                    <w:snapToGrid w:val="0"/>
                    <w:spacing w:beforeLines="20" w:afterLines="20"/>
                    <w:jc w:val="center"/>
                    <w:rPr>
                      <w:color w:val="auto"/>
                      <w:kern w:val="0"/>
                      <w:szCs w:val="21"/>
                      <w:highlight w:val="none"/>
                    </w:rPr>
                  </w:pPr>
                  <w:r>
                    <w:rPr>
                      <w:color w:val="auto"/>
                      <w:kern w:val="0"/>
                      <w:szCs w:val="21"/>
                      <w:highlight w:val="none"/>
                    </w:rPr>
                    <w:t>工况</w:t>
                  </w:r>
                </w:p>
              </w:tc>
              <w:tc>
                <w:tcPr>
                  <w:tcW w:w="1180" w:type="dxa"/>
                  <w:vAlign w:val="center"/>
                </w:tcPr>
                <w:p w14:paraId="5031E13B">
                  <w:pPr>
                    <w:widowControl/>
                    <w:adjustRightInd w:val="0"/>
                    <w:snapToGrid w:val="0"/>
                    <w:spacing w:beforeLines="20" w:afterLines="20"/>
                    <w:jc w:val="center"/>
                    <w:rPr>
                      <w:color w:val="auto"/>
                      <w:kern w:val="0"/>
                      <w:szCs w:val="21"/>
                      <w:highlight w:val="none"/>
                    </w:rPr>
                  </w:pPr>
                  <w:r>
                    <w:rPr>
                      <w:color w:val="auto"/>
                      <w:kern w:val="0"/>
                      <w:szCs w:val="21"/>
                      <w:highlight w:val="none"/>
                    </w:rPr>
                    <w:t>污染物排放速率/（kg/h)</w:t>
                  </w:r>
                </w:p>
              </w:tc>
            </w:tr>
            <w:tr w14:paraId="5D87BB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continue"/>
                  <w:vAlign w:val="center"/>
                </w:tcPr>
                <w:p w14:paraId="128B6991">
                  <w:pPr>
                    <w:widowControl/>
                    <w:adjustRightInd w:val="0"/>
                    <w:snapToGrid w:val="0"/>
                    <w:spacing w:beforeLines="20" w:afterLines="20"/>
                    <w:jc w:val="center"/>
                    <w:rPr>
                      <w:color w:val="auto"/>
                      <w:kern w:val="0"/>
                      <w:szCs w:val="21"/>
                      <w:highlight w:val="none"/>
                    </w:rPr>
                  </w:pPr>
                </w:p>
              </w:tc>
              <w:tc>
                <w:tcPr>
                  <w:tcW w:w="760" w:type="dxa"/>
                  <w:vAlign w:val="center"/>
                </w:tcPr>
                <w:p w14:paraId="3345297C">
                  <w:pPr>
                    <w:widowControl/>
                    <w:adjustRightInd w:val="0"/>
                    <w:snapToGrid w:val="0"/>
                    <w:spacing w:beforeLines="20" w:afterLines="20"/>
                    <w:jc w:val="center"/>
                    <w:rPr>
                      <w:color w:val="auto"/>
                      <w:kern w:val="0"/>
                      <w:szCs w:val="21"/>
                      <w:highlight w:val="none"/>
                    </w:rPr>
                  </w:pPr>
                  <w:r>
                    <w:rPr>
                      <w:color w:val="auto"/>
                      <w:kern w:val="0"/>
                      <w:szCs w:val="21"/>
                      <w:highlight w:val="none"/>
                    </w:rPr>
                    <w:t>X</w:t>
                  </w:r>
                </w:p>
              </w:tc>
              <w:tc>
                <w:tcPr>
                  <w:tcW w:w="832" w:type="dxa"/>
                  <w:vAlign w:val="center"/>
                </w:tcPr>
                <w:p w14:paraId="25D8C10C">
                  <w:pPr>
                    <w:widowControl/>
                    <w:adjustRightInd w:val="0"/>
                    <w:snapToGrid w:val="0"/>
                    <w:spacing w:beforeLines="20" w:afterLines="20"/>
                    <w:jc w:val="center"/>
                    <w:rPr>
                      <w:color w:val="auto"/>
                      <w:kern w:val="0"/>
                      <w:szCs w:val="21"/>
                      <w:highlight w:val="none"/>
                    </w:rPr>
                  </w:pPr>
                  <w:r>
                    <w:rPr>
                      <w:color w:val="auto"/>
                      <w:kern w:val="0"/>
                      <w:szCs w:val="21"/>
                      <w:highlight w:val="none"/>
                    </w:rPr>
                    <w:t>Y</w:t>
                  </w:r>
                </w:p>
              </w:tc>
              <w:tc>
                <w:tcPr>
                  <w:tcW w:w="719" w:type="dxa"/>
                  <w:vMerge w:val="continue"/>
                  <w:vAlign w:val="center"/>
                </w:tcPr>
                <w:p w14:paraId="4A4D462C">
                  <w:pPr>
                    <w:widowControl/>
                    <w:adjustRightInd w:val="0"/>
                    <w:snapToGrid w:val="0"/>
                    <w:spacing w:beforeLines="20" w:afterLines="20"/>
                    <w:jc w:val="left"/>
                    <w:rPr>
                      <w:color w:val="auto"/>
                      <w:kern w:val="0"/>
                      <w:szCs w:val="21"/>
                      <w:highlight w:val="none"/>
                    </w:rPr>
                  </w:pPr>
                </w:p>
              </w:tc>
              <w:tc>
                <w:tcPr>
                  <w:tcW w:w="672" w:type="dxa"/>
                  <w:vMerge w:val="continue"/>
                  <w:vAlign w:val="center"/>
                </w:tcPr>
                <w:p w14:paraId="020E7323">
                  <w:pPr>
                    <w:widowControl/>
                    <w:adjustRightInd w:val="0"/>
                    <w:snapToGrid w:val="0"/>
                    <w:spacing w:beforeLines="20" w:afterLines="20"/>
                    <w:jc w:val="left"/>
                    <w:rPr>
                      <w:color w:val="auto"/>
                      <w:kern w:val="0"/>
                      <w:szCs w:val="21"/>
                      <w:highlight w:val="none"/>
                    </w:rPr>
                  </w:pPr>
                </w:p>
              </w:tc>
              <w:tc>
                <w:tcPr>
                  <w:tcW w:w="561" w:type="dxa"/>
                  <w:vMerge w:val="continue"/>
                  <w:vAlign w:val="center"/>
                </w:tcPr>
                <w:p w14:paraId="73EC693D">
                  <w:pPr>
                    <w:widowControl/>
                    <w:adjustRightInd w:val="0"/>
                    <w:snapToGrid w:val="0"/>
                    <w:spacing w:beforeLines="20" w:afterLines="20"/>
                    <w:jc w:val="left"/>
                    <w:rPr>
                      <w:color w:val="auto"/>
                      <w:kern w:val="0"/>
                      <w:szCs w:val="21"/>
                      <w:highlight w:val="none"/>
                    </w:rPr>
                  </w:pPr>
                </w:p>
              </w:tc>
              <w:tc>
                <w:tcPr>
                  <w:tcW w:w="744" w:type="dxa"/>
                  <w:vMerge w:val="continue"/>
                  <w:vAlign w:val="center"/>
                </w:tcPr>
                <w:p w14:paraId="5CB589FD">
                  <w:pPr>
                    <w:widowControl/>
                    <w:adjustRightInd w:val="0"/>
                    <w:snapToGrid w:val="0"/>
                    <w:spacing w:beforeLines="20" w:afterLines="20"/>
                    <w:jc w:val="left"/>
                    <w:rPr>
                      <w:color w:val="auto"/>
                      <w:kern w:val="0"/>
                      <w:szCs w:val="21"/>
                      <w:highlight w:val="none"/>
                    </w:rPr>
                  </w:pPr>
                </w:p>
              </w:tc>
              <w:tc>
                <w:tcPr>
                  <w:tcW w:w="752" w:type="dxa"/>
                  <w:vMerge w:val="continue"/>
                  <w:vAlign w:val="center"/>
                </w:tcPr>
                <w:p w14:paraId="41EFA0EE">
                  <w:pPr>
                    <w:widowControl/>
                    <w:adjustRightInd w:val="0"/>
                    <w:snapToGrid w:val="0"/>
                    <w:spacing w:beforeLines="20" w:afterLines="20"/>
                    <w:jc w:val="left"/>
                    <w:rPr>
                      <w:color w:val="auto"/>
                      <w:kern w:val="0"/>
                      <w:szCs w:val="21"/>
                      <w:highlight w:val="none"/>
                    </w:rPr>
                  </w:pPr>
                </w:p>
              </w:tc>
              <w:tc>
                <w:tcPr>
                  <w:tcW w:w="723" w:type="dxa"/>
                  <w:vMerge w:val="continue"/>
                  <w:vAlign w:val="center"/>
                </w:tcPr>
                <w:p w14:paraId="2C359311">
                  <w:pPr>
                    <w:widowControl/>
                    <w:adjustRightInd w:val="0"/>
                    <w:snapToGrid w:val="0"/>
                    <w:spacing w:beforeLines="20" w:afterLines="20"/>
                    <w:jc w:val="left"/>
                    <w:rPr>
                      <w:color w:val="auto"/>
                      <w:kern w:val="0"/>
                      <w:szCs w:val="21"/>
                      <w:highlight w:val="none"/>
                    </w:rPr>
                  </w:pPr>
                </w:p>
              </w:tc>
              <w:tc>
                <w:tcPr>
                  <w:tcW w:w="618" w:type="dxa"/>
                  <w:vMerge w:val="continue"/>
                  <w:vAlign w:val="center"/>
                </w:tcPr>
                <w:p w14:paraId="7F1C295A">
                  <w:pPr>
                    <w:widowControl/>
                    <w:adjustRightInd w:val="0"/>
                    <w:snapToGrid w:val="0"/>
                    <w:spacing w:beforeLines="20" w:afterLines="20"/>
                    <w:jc w:val="left"/>
                    <w:rPr>
                      <w:color w:val="auto"/>
                      <w:kern w:val="0"/>
                      <w:szCs w:val="21"/>
                      <w:highlight w:val="none"/>
                    </w:rPr>
                  </w:pPr>
                </w:p>
              </w:tc>
              <w:tc>
                <w:tcPr>
                  <w:tcW w:w="1180" w:type="dxa"/>
                  <w:vAlign w:val="center"/>
                </w:tcPr>
                <w:p w14:paraId="52E09D80">
                  <w:pPr>
                    <w:widowControl/>
                    <w:adjustRightInd w:val="0"/>
                    <w:snapToGrid w:val="0"/>
                    <w:spacing w:beforeLines="20" w:afterLines="20"/>
                    <w:jc w:val="center"/>
                    <w:rPr>
                      <w:color w:val="auto"/>
                      <w:kern w:val="0"/>
                      <w:szCs w:val="21"/>
                      <w:highlight w:val="none"/>
                    </w:rPr>
                  </w:pPr>
                  <w:r>
                    <w:rPr>
                      <w:color w:val="auto"/>
                      <w:kern w:val="0"/>
                      <w:szCs w:val="21"/>
                      <w:highlight w:val="none"/>
                    </w:rPr>
                    <w:t>TSP</w:t>
                  </w:r>
                </w:p>
              </w:tc>
            </w:tr>
            <w:tr w14:paraId="0F202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Align w:val="center"/>
                </w:tcPr>
                <w:p w14:paraId="6A4B0DFC">
                  <w:pPr>
                    <w:pStyle w:val="45"/>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lang w:eastAsia="zh-CN"/>
                    </w:rPr>
                    <w:t>生产</w:t>
                  </w:r>
                  <w:r>
                    <w:rPr>
                      <w:rFonts w:hint="eastAsia" w:ascii="Times New Roman" w:cs="Times New Roman"/>
                      <w:color w:val="auto"/>
                      <w:sz w:val="21"/>
                      <w:szCs w:val="21"/>
                      <w:highlight w:val="none"/>
                    </w:rPr>
                    <w:t>车间</w:t>
                  </w:r>
                </w:p>
              </w:tc>
              <w:tc>
                <w:tcPr>
                  <w:tcW w:w="760" w:type="dxa"/>
                  <w:vAlign w:val="center"/>
                </w:tcPr>
                <w:p w14:paraId="43481632">
                  <w:pPr>
                    <w:pStyle w:val="45"/>
                    <w:snapToGrid w:val="0"/>
                    <w:spacing w:beforeLines="20" w:afterLines="20"/>
                    <w:jc w:val="center"/>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732154</w:t>
                  </w:r>
                </w:p>
              </w:tc>
              <w:tc>
                <w:tcPr>
                  <w:tcW w:w="832" w:type="dxa"/>
                  <w:vAlign w:val="center"/>
                </w:tcPr>
                <w:p w14:paraId="304D0397">
                  <w:pPr>
                    <w:pStyle w:val="45"/>
                    <w:snapToGrid w:val="0"/>
                    <w:spacing w:beforeLines="20" w:afterLines="20"/>
                    <w:jc w:val="center"/>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3677803</w:t>
                  </w:r>
                </w:p>
              </w:tc>
              <w:tc>
                <w:tcPr>
                  <w:tcW w:w="719" w:type="dxa"/>
                  <w:vAlign w:val="center"/>
                </w:tcPr>
                <w:p w14:paraId="6763B3FD">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469</w:t>
                  </w:r>
                </w:p>
              </w:tc>
              <w:tc>
                <w:tcPr>
                  <w:tcW w:w="672" w:type="dxa"/>
                  <w:vAlign w:val="center"/>
                </w:tcPr>
                <w:p w14:paraId="37F71F14">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90</w:t>
                  </w:r>
                </w:p>
              </w:tc>
              <w:tc>
                <w:tcPr>
                  <w:tcW w:w="561" w:type="dxa"/>
                  <w:vAlign w:val="center"/>
                </w:tcPr>
                <w:p w14:paraId="4EC5685E">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90</w:t>
                  </w:r>
                </w:p>
              </w:tc>
              <w:tc>
                <w:tcPr>
                  <w:tcW w:w="744" w:type="dxa"/>
                  <w:vAlign w:val="center"/>
                </w:tcPr>
                <w:p w14:paraId="3D6E93BD">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52" w:type="dxa"/>
                  <w:vAlign w:val="center"/>
                </w:tcPr>
                <w:p w14:paraId="66BFCE34">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723" w:type="dxa"/>
                  <w:vAlign w:val="center"/>
                </w:tcPr>
                <w:p w14:paraId="2013C1E6">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2400</w:t>
                  </w:r>
                </w:p>
              </w:tc>
              <w:tc>
                <w:tcPr>
                  <w:tcW w:w="618" w:type="dxa"/>
                  <w:vAlign w:val="center"/>
                </w:tcPr>
                <w:p w14:paraId="5EB12560">
                  <w:pPr>
                    <w:widowControl/>
                    <w:adjustRightInd w:val="0"/>
                    <w:snapToGrid w:val="0"/>
                    <w:spacing w:beforeLines="20" w:afterLines="20"/>
                    <w:jc w:val="center"/>
                    <w:rPr>
                      <w:color w:val="auto"/>
                      <w:kern w:val="0"/>
                      <w:szCs w:val="21"/>
                      <w:highlight w:val="none"/>
                    </w:rPr>
                  </w:pPr>
                  <w:r>
                    <w:rPr>
                      <w:color w:val="auto"/>
                      <w:kern w:val="0"/>
                      <w:szCs w:val="21"/>
                      <w:highlight w:val="none"/>
                    </w:rPr>
                    <w:t>正常</w:t>
                  </w:r>
                </w:p>
              </w:tc>
              <w:tc>
                <w:tcPr>
                  <w:tcW w:w="1180" w:type="dxa"/>
                  <w:vAlign w:val="center"/>
                </w:tcPr>
                <w:p w14:paraId="2D8E8DE8">
                  <w:pPr>
                    <w:widowControl/>
                    <w:adjustRightInd w:val="0"/>
                    <w:snapToGrid w:val="0"/>
                    <w:spacing w:beforeLines="20" w:after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2.016</w:t>
                  </w:r>
                </w:p>
              </w:tc>
            </w:tr>
          </w:tbl>
          <w:p w14:paraId="003089C9">
            <w:pPr>
              <w:snapToGrid w:val="0"/>
              <w:spacing w:line="360" w:lineRule="auto"/>
              <w:ind w:firstLine="480" w:firstLineChars="200"/>
              <w:rPr>
                <w:b/>
                <w:color w:val="auto"/>
                <w:szCs w:val="21"/>
                <w:highlight w:val="none"/>
              </w:rPr>
            </w:pPr>
            <w:r>
              <w:rPr>
                <w:bCs/>
                <w:color w:val="auto"/>
                <w:sz w:val="24"/>
                <w:highlight w:val="none"/>
              </w:rPr>
              <w:t>估算结果如下表所示：</w:t>
            </w:r>
          </w:p>
          <w:p w14:paraId="072869D5">
            <w:pPr>
              <w:snapToGrid w:val="0"/>
              <w:jc w:val="center"/>
              <w:rPr>
                <w:b/>
                <w:color w:val="auto"/>
                <w:szCs w:val="21"/>
                <w:highlight w:val="none"/>
              </w:rPr>
            </w:pPr>
            <w:r>
              <w:rPr>
                <w:b/>
                <w:color w:val="auto"/>
                <w:szCs w:val="21"/>
                <w:highlight w:val="none"/>
              </w:rPr>
              <w:t>表4-</w:t>
            </w:r>
            <w:r>
              <w:rPr>
                <w:rFonts w:hint="eastAsia"/>
                <w:b/>
                <w:color w:val="auto"/>
                <w:szCs w:val="21"/>
                <w:highlight w:val="none"/>
                <w:lang w:val="en-US" w:eastAsia="zh-CN"/>
              </w:rPr>
              <w:t>4</w:t>
            </w:r>
            <w:r>
              <w:rPr>
                <w:b/>
                <w:color w:val="auto"/>
                <w:szCs w:val="21"/>
                <w:highlight w:val="none"/>
              </w:rPr>
              <w:t xml:space="preserve">  </w:t>
            </w:r>
            <w:r>
              <w:rPr>
                <w:rFonts w:hint="eastAsia"/>
                <w:b/>
                <w:color w:val="auto"/>
                <w:szCs w:val="21"/>
                <w:highlight w:val="none"/>
                <w:lang w:eastAsia="zh-CN"/>
              </w:rPr>
              <w:t>全厂无组织粉尘</w:t>
            </w:r>
            <w:r>
              <w:rPr>
                <w:b/>
                <w:color w:val="auto"/>
                <w:szCs w:val="21"/>
                <w:highlight w:val="none"/>
              </w:rPr>
              <w:t>排放源估算模型计算结果表</w:t>
            </w:r>
          </w:p>
          <w:tbl>
            <w:tblPr>
              <w:tblStyle w:val="36"/>
              <w:tblW w:w="84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795"/>
              <w:gridCol w:w="1283"/>
              <w:gridCol w:w="2767"/>
              <w:gridCol w:w="2646"/>
            </w:tblGrid>
            <w:tr w14:paraId="2289B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795" w:type="dxa"/>
                  <w:vAlign w:val="center"/>
                </w:tcPr>
                <w:p w14:paraId="6AB165F6">
                  <w:pPr>
                    <w:snapToGrid w:val="0"/>
                    <w:spacing w:beforeLines="20" w:afterLines="20"/>
                    <w:jc w:val="center"/>
                    <w:rPr>
                      <w:color w:val="auto"/>
                      <w:szCs w:val="21"/>
                      <w:highlight w:val="none"/>
                    </w:rPr>
                  </w:pPr>
                  <w:r>
                    <w:rPr>
                      <w:color w:val="auto"/>
                      <w:szCs w:val="21"/>
                      <w:highlight w:val="none"/>
                    </w:rPr>
                    <w:t>污染源</w:t>
                  </w:r>
                </w:p>
              </w:tc>
              <w:tc>
                <w:tcPr>
                  <w:tcW w:w="1283" w:type="dxa"/>
                  <w:vAlign w:val="center"/>
                </w:tcPr>
                <w:p w14:paraId="60428007">
                  <w:pPr>
                    <w:snapToGrid w:val="0"/>
                    <w:spacing w:beforeLines="20" w:afterLines="20"/>
                    <w:jc w:val="center"/>
                    <w:rPr>
                      <w:color w:val="auto"/>
                      <w:szCs w:val="21"/>
                      <w:highlight w:val="none"/>
                    </w:rPr>
                  </w:pPr>
                  <w:r>
                    <w:rPr>
                      <w:color w:val="auto"/>
                      <w:szCs w:val="21"/>
                      <w:highlight w:val="none"/>
                    </w:rPr>
                    <w:t>污染物</w:t>
                  </w:r>
                </w:p>
              </w:tc>
              <w:tc>
                <w:tcPr>
                  <w:tcW w:w="2767" w:type="dxa"/>
                  <w:vAlign w:val="center"/>
                </w:tcPr>
                <w:p w14:paraId="4093063A">
                  <w:pPr>
                    <w:snapToGrid w:val="0"/>
                    <w:spacing w:beforeLines="20" w:afterLines="20"/>
                    <w:jc w:val="center"/>
                    <w:rPr>
                      <w:color w:val="auto"/>
                      <w:szCs w:val="21"/>
                      <w:highlight w:val="none"/>
                    </w:rPr>
                  </w:pPr>
                  <w:r>
                    <w:rPr>
                      <w:color w:val="auto"/>
                      <w:szCs w:val="21"/>
                      <w:highlight w:val="none"/>
                    </w:rPr>
                    <w:t>最大落地浓度距离（m）</w:t>
                  </w:r>
                </w:p>
              </w:tc>
              <w:tc>
                <w:tcPr>
                  <w:tcW w:w="2646" w:type="dxa"/>
                  <w:vAlign w:val="center"/>
                </w:tcPr>
                <w:p w14:paraId="79C80E7F">
                  <w:pPr>
                    <w:snapToGrid w:val="0"/>
                    <w:spacing w:beforeLines="20" w:afterLines="20"/>
                    <w:jc w:val="center"/>
                    <w:rPr>
                      <w:color w:val="auto"/>
                      <w:szCs w:val="21"/>
                      <w:highlight w:val="none"/>
                    </w:rPr>
                  </w:pPr>
                  <w:r>
                    <w:rPr>
                      <w:color w:val="auto"/>
                      <w:szCs w:val="21"/>
                      <w:highlight w:val="none"/>
                    </w:rPr>
                    <w:t>最大落地浓度（μ</w:t>
                  </w:r>
                  <w:r>
                    <w:rPr>
                      <w:rFonts w:hint="eastAsia"/>
                      <w:color w:val="auto"/>
                      <w:szCs w:val="21"/>
                      <w:highlight w:val="none"/>
                    </w:rPr>
                    <w:t>g/m</w:t>
                  </w:r>
                  <w:r>
                    <w:rPr>
                      <w:rFonts w:hint="eastAsia"/>
                      <w:color w:val="auto"/>
                      <w:szCs w:val="21"/>
                      <w:highlight w:val="none"/>
                      <w:vertAlign w:val="superscript"/>
                    </w:rPr>
                    <w:t>3</w:t>
                  </w:r>
                  <w:r>
                    <w:rPr>
                      <w:color w:val="auto"/>
                      <w:szCs w:val="21"/>
                      <w:highlight w:val="none"/>
                    </w:rPr>
                    <w:t>）</w:t>
                  </w:r>
                </w:p>
              </w:tc>
            </w:tr>
            <w:tr w14:paraId="2553E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795" w:type="dxa"/>
                  <w:vAlign w:val="center"/>
                </w:tcPr>
                <w:p w14:paraId="56F241C7">
                  <w:pPr>
                    <w:pStyle w:val="45"/>
                    <w:snapToGrid w:val="0"/>
                    <w:spacing w:beforeLines="20" w:afterLines="20"/>
                    <w:jc w:val="center"/>
                    <w:rPr>
                      <w:rFonts w:ascii="Times New Roman" w:cs="Times New Roman"/>
                      <w:color w:val="auto"/>
                      <w:szCs w:val="21"/>
                      <w:highlight w:val="none"/>
                    </w:rPr>
                  </w:pPr>
                  <w:r>
                    <w:rPr>
                      <w:rFonts w:hint="eastAsia" w:ascii="Times New Roman" w:cs="Times New Roman"/>
                      <w:color w:val="auto"/>
                      <w:sz w:val="21"/>
                      <w:szCs w:val="21"/>
                      <w:highlight w:val="none"/>
                      <w:lang w:eastAsia="zh-CN"/>
                    </w:rPr>
                    <w:t>生产</w:t>
                  </w:r>
                  <w:r>
                    <w:rPr>
                      <w:rFonts w:hint="eastAsia" w:ascii="Times New Roman" w:cs="Times New Roman"/>
                      <w:color w:val="auto"/>
                      <w:sz w:val="21"/>
                      <w:szCs w:val="21"/>
                      <w:highlight w:val="none"/>
                    </w:rPr>
                    <w:t>车间</w:t>
                  </w:r>
                </w:p>
              </w:tc>
              <w:tc>
                <w:tcPr>
                  <w:tcW w:w="1283" w:type="dxa"/>
                  <w:vAlign w:val="center"/>
                </w:tcPr>
                <w:p w14:paraId="386A7EBE">
                  <w:pPr>
                    <w:snapToGrid w:val="0"/>
                    <w:spacing w:beforeLines="20" w:afterLines="20"/>
                    <w:jc w:val="center"/>
                    <w:rPr>
                      <w:color w:val="auto"/>
                      <w:szCs w:val="21"/>
                      <w:highlight w:val="none"/>
                    </w:rPr>
                  </w:pPr>
                  <w:r>
                    <w:rPr>
                      <w:color w:val="auto"/>
                      <w:szCs w:val="21"/>
                      <w:highlight w:val="none"/>
                    </w:rPr>
                    <w:t>TSP</w:t>
                  </w:r>
                </w:p>
              </w:tc>
              <w:tc>
                <w:tcPr>
                  <w:tcW w:w="2767" w:type="dxa"/>
                  <w:vAlign w:val="center"/>
                </w:tcPr>
                <w:p w14:paraId="165CD758">
                  <w:pPr>
                    <w:widowControl/>
                    <w:spacing w:beforeLines="20" w:afterLines="20"/>
                    <w:jc w:val="center"/>
                    <w:textAlignment w:val="center"/>
                    <w:rPr>
                      <w:rFonts w:hint="default" w:eastAsia="宋体"/>
                      <w:color w:val="auto"/>
                      <w:szCs w:val="21"/>
                      <w:highlight w:val="none"/>
                      <w:lang w:val="en-US" w:eastAsia="zh-CN"/>
                    </w:rPr>
                  </w:pPr>
                  <w:r>
                    <w:rPr>
                      <w:rFonts w:hint="eastAsia" w:eastAsia="宋体"/>
                      <w:color w:val="auto"/>
                      <w:szCs w:val="21"/>
                      <w:highlight w:val="none"/>
                      <w:lang w:val="en-US" w:eastAsia="zh-CN"/>
                    </w:rPr>
                    <w:t>58</w:t>
                  </w:r>
                </w:p>
              </w:tc>
              <w:tc>
                <w:tcPr>
                  <w:tcW w:w="2646" w:type="dxa"/>
                  <w:vAlign w:val="center"/>
                </w:tcPr>
                <w:p w14:paraId="017B656D">
                  <w:pPr>
                    <w:adjustRightInd w:val="0"/>
                    <w:snapToGrid w:val="0"/>
                    <w:spacing w:beforeLines="20" w:afterLines="20"/>
                    <w:jc w:val="center"/>
                    <w:rPr>
                      <w:rFonts w:hint="default" w:eastAsia="宋体"/>
                      <w:color w:val="auto"/>
                      <w:szCs w:val="21"/>
                      <w:highlight w:val="none"/>
                      <w:lang w:val="en-US" w:eastAsia="zh-CN"/>
                    </w:rPr>
                  </w:pPr>
                  <w:r>
                    <w:rPr>
                      <w:rFonts w:hint="eastAsia" w:eastAsia="宋体"/>
                      <w:color w:val="auto"/>
                      <w:szCs w:val="21"/>
                      <w:highlight w:val="none"/>
                      <w:lang w:val="en-US" w:eastAsia="zh-CN"/>
                    </w:rPr>
                    <w:t>326.69</w:t>
                  </w:r>
                </w:p>
              </w:tc>
            </w:tr>
          </w:tbl>
          <w:p w14:paraId="243F0F60">
            <w:pPr>
              <w:pStyle w:val="46"/>
              <w:rPr>
                <w:rFonts w:hint="default" w:ascii="Times New Roman" w:hAnsi="Times New Roman"/>
                <w:color w:val="auto"/>
                <w:szCs w:val="24"/>
                <w:highlight w:val="none"/>
                <w:lang w:val="en-US" w:eastAsia="zh-CN"/>
              </w:rPr>
            </w:pPr>
            <w:r>
              <w:rPr>
                <w:rFonts w:hint="eastAsia" w:ascii="宋体" w:hAnsi="宋体" w:cs="宋体"/>
                <w:color w:val="auto"/>
                <w:kern w:val="0"/>
                <w:highlight w:val="none"/>
              </w:rPr>
              <w:t>由上表可知</w:t>
            </w:r>
            <w:r>
              <w:rPr>
                <w:rFonts w:ascii="Times New Roman" w:hAnsi="Times New Roman"/>
                <w:color w:val="auto"/>
                <w:kern w:val="0"/>
                <w:highlight w:val="none"/>
              </w:rPr>
              <w:t>，</w:t>
            </w:r>
            <w:r>
              <w:rPr>
                <w:rFonts w:hint="eastAsia" w:ascii="Times New Roman" w:hAnsi="Times New Roman"/>
                <w:color w:val="auto"/>
                <w:kern w:val="0"/>
                <w:highlight w:val="none"/>
              </w:rPr>
              <w:t>厂区</w:t>
            </w:r>
            <w:r>
              <w:rPr>
                <w:rFonts w:ascii="Times New Roman" w:hAnsi="Times New Roman"/>
                <w:color w:val="auto"/>
                <w:kern w:val="0"/>
                <w:highlight w:val="none"/>
              </w:rPr>
              <w:t>无组织粉尘最大落地浓度出现在下风向</w:t>
            </w:r>
            <w:r>
              <w:rPr>
                <w:rFonts w:hint="eastAsia" w:ascii="Times New Roman" w:hAnsi="Times New Roman"/>
                <w:color w:val="auto"/>
                <w:kern w:val="0"/>
                <w:highlight w:val="none"/>
                <w:lang w:val="en-US" w:eastAsia="zh-CN"/>
              </w:rPr>
              <w:t>58</w:t>
            </w:r>
            <w:r>
              <w:rPr>
                <w:rFonts w:ascii="Times New Roman" w:hAnsi="Times New Roman"/>
                <w:color w:val="auto"/>
                <w:kern w:val="0"/>
                <w:highlight w:val="none"/>
              </w:rPr>
              <w:t>m处，</w:t>
            </w:r>
            <w:r>
              <w:rPr>
                <w:rFonts w:hint="eastAsia" w:ascii="Times New Roman" w:hAnsi="Times New Roman"/>
                <w:color w:val="auto"/>
                <w:kern w:val="0"/>
                <w:highlight w:val="none"/>
              </w:rPr>
              <w:t>最大</w:t>
            </w:r>
            <w:r>
              <w:rPr>
                <w:rFonts w:ascii="Times New Roman" w:hAnsi="Times New Roman"/>
                <w:color w:val="auto"/>
                <w:kern w:val="0"/>
                <w:highlight w:val="none"/>
              </w:rPr>
              <w:t>落地浓度为</w:t>
            </w:r>
            <w:r>
              <w:rPr>
                <w:rFonts w:hint="eastAsia" w:ascii="Times New Roman" w:hAnsi="Times New Roman"/>
                <w:color w:val="auto"/>
                <w:kern w:val="0"/>
                <w:highlight w:val="none"/>
                <w:lang w:val="en-US" w:eastAsia="zh-CN"/>
              </w:rPr>
              <w:t>326.69</w:t>
            </w:r>
            <w:r>
              <w:rPr>
                <w:rFonts w:ascii="Times New Roman" w:hAnsi="Times New Roman"/>
                <w:color w:val="auto"/>
                <w:kern w:val="0"/>
                <w:highlight w:val="none"/>
              </w:rPr>
              <w:t>μg/m</w:t>
            </w:r>
            <w:r>
              <w:rPr>
                <w:rFonts w:ascii="Times New Roman" w:hAnsi="Times New Roman"/>
                <w:color w:val="auto"/>
                <w:kern w:val="0"/>
                <w:highlight w:val="none"/>
                <w:vertAlign w:val="superscript"/>
              </w:rPr>
              <w:t>3</w:t>
            </w:r>
            <w:r>
              <w:rPr>
                <w:rFonts w:hint="eastAsia" w:ascii="Times New Roman" w:hAnsi="Times New Roman"/>
                <w:color w:val="auto"/>
                <w:kern w:val="0"/>
                <w:highlight w:val="none"/>
                <w:vertAlign w:val="baseline"/>
                <w:lang w:eastAsia="zh-CN"/>
              </w:rPr>
              <w:t>。考虑到现有工程无组织废气执行</w:t>
            </w:r>
            <w:r>
              <w:rPr>
                <w:rFonts w:hint="eastAsia" w:ascii="Times New Roman" w:hAnsi="Times New Roman"/>
                <w:color w:val="auto"/>
                <w:kern w:val="0"/>
                <w:highlight w:val="none"/>
                <w:vertAlign w:val="baseline"/>
                <w:lang w:val="en-US" w:eastAsia="zh-CN"/>
              </w:rPr>
              <w:t>《大气污染物综合排放标准》（GB16297-1996）标准（1.0</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kern w:val="0"/>
                <w:highlight w:val="none"/>
                <w:vertAlign w:val="baseline"/>
                <w:lang w:val="en-US" w:eastAsia="zh-CN"/>
              </w:rPr>
              <w:t>），新增工程无组织废气执行</w:t>
            </w:r>
            <w:r>
              <w:rPr>
                <w:rFonts w:hint="eastAsia" w:ascii="Times New Roman" w:hAnsi="Times New Roman"/>
                <w:color w:val="auto"/>
                <w:szCs w:val="24"/>
                <w:highlight w:val="none"/>
                <w:lang w:eastAsia="zh-CN"/>
              </w:rPr>
              <w:t>《水泥工业大气污染物排放标准》（GB4915-2013）标准（</w:t>
            </w:r>
            <w:r>
              <w:rPr>
                <w:rFonts w:hint="eastAsia" w:ascii="Times New Roman" w:hAnsi="Times New Roman"/>
                <w:color w:val="auto"/>
                <w:kern w:val="0"/>
                <w:highlight w:val="none"/>
                <w:lang w:val="en-US" w:eastAsia="zh-CN"/>
              </w:rPr>
              <w:t>0.5</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szCs w:val="24"/>
                <w:highlight w:val="none"/>
                <w:lang w:eastAsia="zh-CN"/>
              </w:rPr>
              <w:t>），综合判定后全厂运营期间无组织粉尘从按严要求执行。因此全厂无组织粉尘最大落地浓度满足《水泥工业大气污染物排放标准》（GB4915-2013）标准（颗粒物</w:t>
            </w:r>
            <w:r>
              <w:rPr>
                <w:rFonts w:hint="eastAsia" w:ascii="Times New Roman" w:hAnsi="Times New Roman"/>
                <w:color w:val="auto"/>
                <w:szCs w:val="24"/>
                <w:highlight w:val="none"/>
                <w:lang w:val="en-US" w:eastAsia="zh-CN"/>
              </w:rPr>
              <w:t>0.5</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szCs w:val="24"/>
                <w:highlight w:val="none"/>
                <w:lang w:eastAsia="zh-CN"/>
              </w:rPr>
              <w:t>），故全厂无组织粉尘运营期可做到达标排放。</w:t>
            </w:r>
          </w:p>
          <w:p w14:paraId="5F650EC4">
            <w:pPr>
              <w:pStyle w:val="46"/>
              <w:rPr>
                <w:rFonts w:hint="default" w:ascii="Times New Roman" w:hAnsi="Times New Roman"/>
                <w:color w:val="auto"/>
                <w:szCs w:val="24"/>
                <w:highlight w:val="none"/>
                <w:lang w:val="en-US" w:eastAsia="zh-CN"/>
              </w:rPr>
            </w:pPr>
            <w:r>
              <w:rPr>
                <w:rFonts w:hint="eastAsia" w:ascii="宋体" w:hAnsi="宋体" w:eastAsia="宋体" w:cs="宋体"/>
                <w:color w:val="auto"/>
                <w:szCs w:val="24"/>
                <w:highlight w:val="none"/>
                <w:lang w:val="en-US" w:eastAsia="zh-CN"/>
              </w:rPr>
              <w:t>③</w:t>
            </w:r>
            <w:r>
              <w:rPr>
                <w:rFonts w:hint="eastAsia" w:ascii="Times New Roman" w:hAnsi="Times New Roman"/>
                <w:color w:val="auto"/>
                <w:szCs w:val="24"/>
                <w:highlight w:val="none"/>
                <w:lang w:eastAsia="zh-CN"/>
              </w:rPr>
              <w:t>食堂油烟：根据前文分析，新增工程投入运营后全厂油烟产生量为</w:t>
            </w:r>
            <w:r>
              <w:rPr>
                <w:rFonts w:hint="eastAsia" w:ascii="Times New Roman" w:hAnsi="Times New Roman"/>
                <w:color w:val="auto"/>
                <w:szCs w:val="24"/>
                <w:highlight w:val="none"/>
                <w:lang w:val="en-US" w:eastAsia="zh-CN"/>
              </w:rPr>
              <w:t>3.24kg/a，采用抽油烟机（风量为2500m</w:t>
            </w:r>
            <w:r>
              <w:rPr>
                <w:rFonts w:hint="eastAsia" w:ascii="Times New Roman" w:hAnsi="Times New Roman"/>
                <w:color w:val="auto"/>
                <w:szCs w:val="24"/>
                <w:highlight w:val="none"/>
                <w:vertAlign w:val="superscript"/>
                <w:lang w:val="en-US" w:eastAsia="zh-CN"/>
              </w:rPr>
              <w:t>3</w:t>
            </w:r>
            <w:r>
              <w:rPr>
                <w:rFonts w:hint="eastAsia" w:ascii="Times New Roman" w:hAnsi="Times New Roman"/>
                <w:color w:val="auto"/>
                <w:szCs w:val="24"/>
                <w:highlight w:val="none"/>
                <w:lang w:val="en-US" w:eastAsia="zh-CN"/>
              </w:rPr>
              <w:t>/h计）处理后通过屋顶排放，油烟排放浓度为1.44mg/m</w:t>
            </w:r>
            <w:r>
              <w:rPr>
                <w:rFonts w:hint="eastAsia" w:ascii="Times New Roman" w:hAnsi="Times New Roman"/>
                <w:color w:val="auto"/>
                <w:szCs w:val="24"/>
                <w:highlight w:val="none"/>
                <w:vertAlign w:val="superscript"/>
                <w:lang w:val="en-US" w:eastAsia="zh-CN"/>
              </w:rPr>
              <w:t>3</w:t>
            </w:r>
            <w:r>
              <w:rPr>
                <w:rFonts w:hint="eastAsia" w:ascii="Times New Roman" w:hAnsi="Times New Roman"/>
                <w:color w:val="auto"/>
                <w:szCs w:val="24"/>
                <w:highlight w:val="none"/>
                <w:lang w:val="en-US" w:eastAsia="zh-CN"/>
              </w:rPr>
              <w:t>，满足《饮食业油烟排放标准（试行）》（GB18483-2001）中的小型标准限值（2.0mg/m</w:t>
            </w:r>
            <w:r>
              <w:rPr>
                <w:rFonts w:hint="eastAsia" w:ascii="Times New Roman" w:hAnsi="Times New Roman"/>
                <w:color w:val="auto"/>
                <w:szCs w:val="24"/>
                <w:highlight w:val="none"/>
                <w:vertAlign w:val="superscript"/>
                <w:lang w:val="en-US" w:eastAsia="zh-CN"/>
              </w:rPr>
              <w:t>3</w:t>
            </w:r>
            <w:r>
              <w:rPr>
                <w:rFonts w:hint="eastAsia" w:ascii="Times New Roman" w:hAnsi="Times New Roman"/>
                <w:color w:val="auto"/>
                <w:szCs w:val="24"/>
                <w:highlight w:val="none"/>
                <w:lang w:val="en-US" w:eastAsia="zh-CN"/>
              </w:rPr>
              <w:t>），因此食堂油烟可达标排放。</w:t>
            </w:r>
          </w:p>
          <w:p w14:paraId="4EE6D253">
            <w:pPr>
              <w:pStyle w:val="2"/>
              <w:spacing w:line="360" w:lineRule="auto"/>
              <w:ind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环保措施及可行性</w:t>
            </w:r>
          </w:p>
          <w:p w14:paraId="4E4F665D">
            <w:pPr>
              <w:pStyle w:val="2"/>
              <w:spacing w:line="360" w:lineRule="auto"/>
              <w:ind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彩砂及钙粉生产线各产尘点均布置有集气设施，统一收集后经车间中央布袋除尘器处理后通过1根15m排气筒（DA001）排放；新增的腻子粉和石膏粉生产线粉尘经集气设施收集后，通过布袋除尘器处理后经1根15m排气筒（DA002）排放；砂浆生产线粉尘经集气设施收集后，通过布袋除尘器处理后经1根15m排气筒（DA003）排放。车辆运输过程抑尘措施为</w:t>
            </w:r>
            <w:r>
              <w:rPr>
                <w:rFonts w:hint="eastAsia"/>
                <w:color w:val="auto"/>
                <w:szCs w:val="21"/>
                <w:highlight w:val="none"/>
                <w:lang w:eastAsia="zh-CN"/>
              </w:rPr>
              <w:t>定期洒水和车辆冲洗，堆存及装卸过程</w:t>
            </w:r>
            <w:r>
              <w:rPr>
                <w:rFonts w:hint="eastAsia" w:ascii="Times New Roman" w:hAnsi="Times New Roman" w:cs="Times New Roman"/>
                <w:bCs/>
                <w:color w:val="auto"/>
                <w:sz w:val="24"/>
                <w:highlight w:val="none"/>
                <w:lang w:val="en-US" w:eastAsia="zh-CN"/>
              </w:rPr>
              <w:t>抑尘措施为</w:t>
            </w:r>
            <w:r>
              <w:rPr>
                <w:rFonts w:hint="eastAsia"/>
                <w:color w:val="auto"/>
                <w:highlight w:val="none"/>
                <w:lang w:val="en-US" w:eastAsia="zh-CN"/>
              </w:rPr>
              <w:t>合理控制装卸高度、堆存区三面封闭+顶棚或封闭处理。食堂油烟采用</w:t>
            </w:r>
            <w:r>
              <w:rPr>
                <w:rFonts w:hint="eastAsia" w:cs="Times New Roman"/>
                <w:color w:val="auto"/>
                <w:sz w:val="24"/>
                <w:highlight w:val="none"/>
                <w:lang w:eastAsia="zh-CN"/>
              </w:rPr>
              <w:t>抽油烟机处理后通过屋顶排放。</w:t>
            </w:r>
          </w:p>
          <w:p w14:paraId="67FE4AE8">
            <w:pPr>
              <w:pStyle w:val="2"/>
              <w:spacing w:line="360" w:lineRule="auto"/>
              <w:ind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参照《排放源统计调查产排污核算方法和系数手册》《排污许可证申请与核发技术规范  水泥工业》（HJ847-2017）等文件中可行技术可知，项目加工区粉尘采用集气设施+袋式除尘处理可行，同时车辆冲洗、道路洒水、堆场封闭处理等措施均为常见抑尘措施；此外，运营期有组织和无组织粉尘均可达标排放。</w:t>
            </w:r>
          </w:p>
          <w:p w14:paraId="2F06F7F6">
            <w:pPr>
              <w:pStyle w:val="2"/>
              <w:spacing w:line="360" w:lineRule="auto"/>
              <w:ind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综上，本项目运营期环保措施可行。</w:t>
            </w:r>
          </w:p>
          <w:p w14:paraId="5DAC483B">
            <w:pPr>
              <w:pStyle w:val="2"/>
              <w:spacing w:line="360" w:lineRule="auto"/>
              <w:ind w:firstLine="480" w:firstLineChars="200"/>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4</w:t>
            </w:r>
            <w:r>
              <w:rPr>
                <w:rFonts w:hint="eastAsia" w:ascii="Times New Roman" w:hAnsi="Times New Roman" w:cs="Times New Roman"/>
                <w:color w:val="auto"/>
                <w:kern w:val="0"/>
                <w:highlight w:val="none"/>
                <w:lang w:eastAsia="zh-CN"/>
              </w:rPr>
              <w:t>）</w:t>
            </w:r>
            <w:r>
              <w:rPr>
                <w:rFonts w:ascii="Times New Roman" w:hAnsi="Times New Roman" w:cs="Times New Roman"/>
                <w:color w:val="auto"/>
                <w:kern w:val="0"/>
                <w:highlight w:val="none"/>
              </w:rPr>
              <w:t>环境影响分析</w:t>
            </w:r>
          </w:p>
          <w:p w14:paraId="74BF98F3">
            <w:pPr>
              <w:pStyle w:val="44"/>
              <w:spacing w:line="360" w:lineRule="auto"/>
              <w:ind w:left="0" w:firstLine="480" w:firstLineChars="200"/>
              <w:rPr>
                <w:rFonts w:ascii="Times New Roman"/>
                <w:b w:val="0"/>
                <w:color w:val="auto"/>
                <w:highlight w:val="none"/>
              </w:rPr>
            </w:pPr>
            <w:r>
              <w:rPr>
                <w:rFonts w:hint="eastAsia"/>
                <w:b w:val="0"/>
                <w:bCs w:val="0"/>
                <w:color w:val="auto"/>
                <w:sz w:val="24"/>
                <w:szCs w:val="24"/>
                <w:highlight w:val="none"/>
              </w:rPr>
              <w:t>通过前文分析，</w:t>
            </w:r>
            <w:r>
              <w:rPr>
                <w:rFonts w:hint="eastAsia"/>
                <w:b w:val="0"/>
                <w:bCs w:val="0"/>
                <w:color w:val="auto"/>
                <w:sz w:val="24"/>
                <w:szCs w:val="24"/>
                <w:highlight w:val="none"/>
                <w:lang w:eastAsia="zh-CN"/>
              </w:rPr>
              <w:t>本项目</w:t>
            </w:r>
            <w:r>
              <w:rPr>
                <w:rFonts w:hint="eastAsia"/>
                <w:b w:val="0"/>
                <w:bCs w:val="0"/>
                <w:color w:val="auto"/>
                <w:sz w:val="24"/>
                <w:szCs w:val="24"/>
                <w:highlight w:val="none"/>
              </w:rPr>
              <w:t>运营期废气主要为装卸及运输粉尘、</w:t>
            </w:r>
            <w:r>
              <w:rPr>
                <w:rFonts w:hint="eastAsia"/>
                <w:b w:val="0"/>
                <w:bCs w:val="0"/>
                <w:color w:val="auto"/>
                <w:sz w:val="24"/>
                <w:szCs w:val="24"/>
                <w:highlight w:val="none"/>
                <w:lang w:eastAsia="zh-CN"/>
              </w:rPr>
              <w:t>加工</w:t>
            </w:r>
            <w:r>
              <w:rPr>
                <w:rFonts w:hint="eastAsia"/>
                <w:b w:val="0"/>
                <w:bCs w:val="0"/>
                <w:color w:val="auto"/>
                <w:sz w:val="24"/>
                <w:szCs w:val="24"/>
                <w:highlight w:val="none"/>
              </w:rPr>
              <w:t>粉尘、</w:t>
            </w:r>
            <w:r>
              <w:rPr>
                <w:rFonts w:hint="eastAsia"/>
                <w:b w:val="0"/>
                <w:bCs w:val="0"/>
                <w:color w:val="auto"/>
                <w:sz w:val="24"/>
                <w:szCs w:val="24"/>
                <w:highlight w:val="none"/>
                <w:lang w:eastAsia="zh-CN"/>
              </w:rPr>
              <w:t>运输扬尘和</w:t>
            </w:r>
            <w:r>
              <w:rPr>
                <w:rFonts w:hint="eastAsia"/>
                <w:b w:val="0"/>
                <w:bCs w:val="0"/>
                <w:color w:val="auto"/>
                <w:sz w:val="24"/>
                <w:szCs w:val="24"/>
                <w:highlight w:val="none"/>
              </w:rPr>
              <w:t>汽车尾气，</w:t>
            </w:r>
            <w:r>
              <w:rPr>
                <w:rFonts w:hint="eastAsia"/>
                <w:b w:val="0"/>
                <w:bCs w:val="0"/>
                <w:color w:val="auto"/>
                <w:sz w:val="24"/>
                <w:szCs w:val="24"/>
                <w:highlight w:val="none"/>
                <w:lang w:eastAsia="zh-CN"/>
              </w:rPr>
              <w:t>排放形式有有组织和无组织两种。</w:t>
            </w:r>
            <w:r>
              <w:rPr>
                <w:rFonts w:hint="eastAsia"/>
                <w:b w:val="0"/>
                <w:bCs w:val="0"/>
                <w:color w:val="auto"/>
                <w:sz w:val="24"/>
                <w:szCs w:val="24"/>
                <w:highlight w:val="none"/>
              </w:rPr>
              <w:t>建设单位采取的环保措施</w:t>
            </w:r>
            <w:r>
              <w:rPr>
                <w:rFonts w:hint="eastAsia"/>
                <w:b w:val="0"/>
                <w:bCs w:val="0"/>
                <w:color w:val="auto"/>
                <w:sz w:val="24"/>
                <w:szCs w:val="24"/>
                <w:highlight w:val="none"/>
                <w:lang w:eastAsia="zh-CN"/>
              </w:rPr>
              <w:t>有</w:t>
            </w:r>
            <w:r>
              <w:rPr>
                <w:rFonts w:hint="eastAsia"/>
                <w:b w:val="0"/>
                <w:bCs w:val="0"/>
                <w:color w:val="auto"/>
                <w:sz w:val="24"/>
                <w:szCs w:val="24"/>
                <w:highlight w:val="none"/>
              </w:rPr>
              <w:t>：合理控制装卸料高度</w:t>
            </w:r>
            <w:r>
              <w:rPr>
                <w:rFonts w:hint="eastAsia"/>
                <w:b w:val="0"/>
                <w:bCs w:val="0"/>
                <w:color w:val="auto"/>
                <w:sz w:val="24"/>
                <w:szCs w:val="24"/>
                <w:highlight w:val="none"/>
                <w:lang w:eastAsia="zh-CN"/>
              </w:rPr>
              <w:t>、生产车间封闭、</w:t>
            </w:r>
            <w:r>
              <w:rPr>
                <w:rFonts w:hint="eastAsia"/>
                <w:b w:val="0"/>
                <w:bCs w:val="0"/>
                <w:color w:val="auto"/>
                <w:sz w:val="24"/>
                <w:highlight w:val="none"/>
                <w:lang w:eastAsia="zh-CN"/>
              </w:rPr>
              <w:t>原料区三面封闭</w:t>
            </w:r>
            <w:r>
              <w:rPr>
                <w:rFonts w:hint="eastAsia"/>
                <w:b w:val="0"/>
                <w:bCs w:val="0"/>
                <w:color w:val="auto"/>
                <w:sz w:val="24"/>
                <w:highlight w:val="none"/>
                <w:lang w:val="en-US" w:eastAsia="zh-CN"/>
              </w:rPr>
              <w:t>+顶棚处置、集气设施+布袋除尘器等</w:t>
            </w:r>
            <w:r>
              <w:rPr>
                <w:rFonts w:hint="eastAsia"/>
                <w:b w:val="0"/>
                <w:bCs w:val="0"/>
                <w:color w:val="auto"/>
                <w:sz w:val="24"/>
                <w:szCs w:val="24"/>
                <w:highlight w:val="none"/>
              </w:rPr>
              <w:t>。通过采取上述措施可有效降低运营期粉尘，确保废气可达标排放，对周边环境产生的影响较小。</w:t>
            </w:r>
          </w:p>
          <w:p w14:paraId="09F8471B">
            <w:pPr>
              <w:snapToGrid w:val="0"/>
              <w:spacing w:line="360" w:lineRule="auto"/>
              <w:ind w:firstLine="480" w:firstLineChars="200"/>
              <w:rPr>
                <w:color w:val="auto"/>
                <w:sz w:val="24"/>
                <w:szCs w:val="32"/>
                <w:highlight w:val="none"/>
              </w:rPr>
            </w:pPr>
            <w:r>
              <w:rPr>
                <w:rFonts w:hint="eastAsia"/>
                <w:color w:val="auto"/>
                <w:sz w:val="24"/>
                <w:szCs w:val="32"/>
                <w:highlight w:val="none"/>
                <w:lang w:val="en-US" w:eastAsia="zh-CN"/>
              </w:rPr>
              <w:t>（5）</w:t>
            </w:r>
            <w:r>
              <w:rPr>
                <w:rFonts w:hint="eastAsia"/>
                <w:color w:val="auto"/>
                <w:sz w:val="24"/>
                <w:szCs w:val="32"/>
                <w:highlight w:val="none"/>
              </w:rPr>
              <w:t>监测要求</w:t>
            </w:r>
          </w:p>
          <w:p w14:paraId="3D8F1ADF">
            <w:pPr>
              <w:snapToGrid w:val="0"/>
              <w:spacing w:line="360" w:lineRule="auto"/>
              <w:ind w:firstLine="468" w:firstLineChars="195"/>
              <w:rPr>
                <w:b/>
                <w:bCs/>
                <w:color w:val="auto"/>
                <w:highlight w:val="none"/>
              </w:rPr>
            </w:pPr>
            <w:r>
              <w:rPr>
                <w:color w:val="auto"/>
                <w:sz w:val="24"/>
                <w:highlight w:val="none"/>
              </w:rPr>
              <w:t>根据《排污单位自行监测技术指南 总则》（HJ819-2017）规定，</w:t>
            </w:r>
            <w:r>
              <w:rPr>
                <w:rFonts w:hint="eastAsia"/>
                <w:color w:val="auto"/>
                <w:sz w:val="24"/>
                <w:highlight w:val="none"/>
                <w:lang w:eastAsia="zh-CN"/>
              </w:rPr>
              <w:t>建设单位应</w:t>
            </w:r>
            <w:r>
              <w:rPr>
                <w:color w:val="auto"/>
                <w:sz w:val="24"/>
                <w:highlight w:val="none"/>
              </w:rPr>
              <w:t>定期开展污染源及环境监测，及时掌握产排污规律，加强污染治理。</w:t>
            </w:r>
            <w:r>
              <w:rPr>
                <w:rFonts w:hint="eastAsia"/>
                <w:color w:val="auto"/>
                <w:sz w:val="24"/>
                <w:highlight w:val="none"/>
                <w:lang w:eastAsia="zh-CN"/>
              </w:rPr>
              <w:t>参照《排污单位自行监测技术指南</w:t>
            </w:r>
            <w:r>
              <w:rPr>
                <w:rFonts w:hint="eastAsia"/>
                <w:color w:val="auto"/>
                <w:sz w:val="24"/>
                <w:highlight w:val="none"/>
                <w:lang w:val="en-US" w:eastAsia="zh-CN"/>
              </w:rPr>
              <w:t xml:space="preserve">  </w:t>
            </w:r>
            <w:r>
              <w:rPr>
                <w:rFonts w:hint="eastAsia"/>
                <w:color w:val="auto"/>
                <w:sz w:val="24"/>
                <w:highlight w:val="none"/>
                <w:lang w:eastAsia="zh-CN"/>
              </w:rPr>
              <w:t>水泥工业》（HJ848-2017），新增工程投运后全厂</w:t>
            </w:r>
            <w:r>
              <w:rPr>
                <w:color w:val="auto"/>
                <w:sz w:val="24"/>
                <w:highlight w:val="none"/>
              </w:rPr>
              <w:t>运营期污染源与环境监测计划见下表</w:t>
            </w:r>
            <w:r>
              <w:rPr>
                <w:rFonts w:hint="eastAsia"/>
                <w:color w:val="auto"/>
                <w:sz w:val="24"/>
                <w:highlight w:val="none"/>
              </w:rPr>
              <w:t>：</w:t>
            </w:r>
          </w:p>
          <w:p w14:paraId="71759AB8">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lang w:val="en-US" w:eastAsia="zh-CN"/>
              </w:rPr>
              <w:t>5</w:t>
            </w:r>
            <w:r>
              <w:rPr>
                <w:rFonts w:hint="eastAsia"/>
                <w:b/>
                <w:bCs/>
                <w:color w:val="auto"/>
                <w:szCs w:val="21"/>
                <w:highlight w:val="none"/>
              </w:rPr>
              <w:t xml:space="preserve">  大气排放口基本信息表</w:t>
            </w:r>
          </w:p>
          <w:tbl>
            <w:tblPr>
              <w:tblStyle w:val="36"/>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250"/>
              <w:gridCol w:w="1100"/>
              <w:gridCol w:w="1199"/>
              <w:gridCol w:w="929"/>
              <w:gridCol w:w="850"/>
              <w:gridCol w:w="834"/>
              <w:gridCol w:w="1155"/>
            </w:tblGrid>
            <w:tr w14:paraId="3DB6D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9" w:type="dxa"/>
                  <w:vMerge w:val="restart"/>
                  <w:vAlign w:val="center"/>
                </w:tcPr>
                <w:p w14:paraId="1AC0ED49">
                  <w:pPr>
                    <w:snapToGrid w:val="0"/>
                    <w:jc w:val="center"/>
                    <w:rPr>
                      <w:b/>
                      <w:bCs/>
                      <w:color w:val="auto"/>
                      <w:szCs w:val="21"/>
                      <w:highlight w:val="none"/>
                    </w:rPr>
                  </w:pPr>
                  <w:r>
                    <w:rPr>
                      <w:rFonts w:hint="eastAsia"/>
                      <w:b/>
                      <w:bCs/>
                      <w:color w:val="auto"/>
                      <w:szCs w:val="21"/>
                      <w:highlight w:val="none"/>
                    </w:rPr>
                    <w:t>排放口</w:t>
                  </w:r>
                </w:p>
                <w:p w14:paraId="44B08EEF">
                  <w:pPr>
                    <w:snapToGrid w:val="0"/>
                    <w:jc w:val="center"/>
                    <w:rPr>
                      <w:b/>
                      <w:bCs/>
                      <w:color w:val="auto"/>
                      <w:szCs w:val="21"/>
                      <w:highlight w:val="none"/>
                    </w:rPr>
                  </w:pPr>
                  <w:r>
                    <w:rPr>
                      <w:rFonts w:hint="eastAsia"/>
                      <w:b/>
                      <w:bCs/>
                      <w:color w:val="auto"/>
                      <w:szCs w:val="21"/>
                      <w:highlight w:val="none"/>
                    </w:rPr>
                    <w:t>名称</w:t>
                  </w:r>
                </w:p>
              </w:tc>
              <w:tc>
                <w:tcPr>
                  <w:tcW w:w="1250" w:type="dxa"/>
                  <w:vMerge w:val="restart"/>
                  <w:vAlign w:val="center"/>
                </w:tcPr>
                <w:p w14:paraId="34CAB459">
                  <w:pPr>
                    <w:snapToGrid w:val="0"/>
                    <w:jc w:val="center"/>
                    <w:rPr>
                      <w:b/>
                      <w:bCs/>
                      <w:color w:val="auto"/>
                      <w:szCs w:val="21"/>
                      <w:highlight w:val="none"/>
                    </w:rPr>
                  </w:pPr>
                  <w:r>
                    <w:rPr>
                      <w:rFonts w:hint="eastAsia"/>
                      <w:b/>
                      <w:bCs/>
                      <w:color w:val="auto"/>
                      <w:szCs w:val="21"/>
                      <w:highlight w:val="none"/>
                    </w:rPr>
                    <w:t>污染物</w:t>
                  </w:r>
                </w:p>
                <w:p w14:paraId="586FAC07">
                  <w:pPr>
                    <w:snapToGrid w:val="0"/>
                    <w:jc w:val="center"/>
                    <w:rPr>
                      <w:b/>
                      <w:bCs/>
                      <w:color w:val="auto"/>
                      <w:szCs w:val="21"/>
                      <w:highlight w:val="none"/>
                    </w:rPr>
                  </w:pPr>
                  <w:r>
                    <w:rPr>
                      <w:rFonts w:hint="eastAsia"/>
                      <w:b/>
                      <w:bCs/>
                      <w:color w:val="auto"/>
                      <w:szCs w:val="21"/>
                      <w:highlight w:val="none"/>
                    </w:rPr>
                    <w:t>种类</w:t>
                  </w:r>
                </w:p>
              </w:tc>
              <w:tc>
                <w:tcPr>
                  <w:tcW w:w="2299" w:type="dxa"/>
                  <w:gridSpan w:val="2"/>
                  <w:vAlign w:val="center"/>
                </w:tcPr>
                <w:p w14:paraId="0ACBF844">
                  <w:pPr>
                    <w:snapToGrid w:val="0"/>
                    <w:jc w:val="center"/>
                    <w:rPr>
                      <w:b/>
                      <w:bCs/>
                      <w:color w:val="auto"/>
                      <w:szCs w:val="21"/>
                      <w:highlight w:val="none"/>
                    </w:rPr>
                  </w:pPr>
                  <w:r>
                    <w:rPr>
                      <w:rFonts w:hint="eastAsia"/>
                      <w:b/>
                      <w:bCs/>
                      <w:color w:val="auto"/>
                      <w:szCs w:val="21"/>
                      <w:highlight w:val="none"/>
                    </w:rPr>
                    <w:t>排放口地理坐标</w:t>
                  </w:r>
                </w:p>
              </w:tc>
              <w:tc>
                <w:tcPr>
                  <w:tcW w:w="929" w:type="dxa"/>
                  <w:vMerge w:val="restart"/>
                  <w:vAlign w:val="center"/>
                </w:tcPr>
                <w:p w14:paraId="2FDEE72D">
                  <w:pPr>
                    <w:snapToGrid w:val="0"/>
                    <w:jc w:val="center"/>
                    <w:rPr>
                      <w:b/>
                      <w:bCs/>
                      <w:color w:val="auto"/>
                      <w:szCs w:val="21"/>
                      <w:highlight w:val="none"/>
                    </w:rPr>
                  </w:pPr>
                  <w:r>
                    <w:rPr>
                      <w:rFonts w:hint="eastAsia"/>
                      <w:b/>
                      <w:bCs/>
                      <w:color w:val="auto"/>
                      <w:szCs w:val="21"/>
                      <w:highlight w:val="none"/>
                    </w:rPr>
                    <w:t>排气筒高度/m</w:t>
                  </w:r>
                </w:p>
              </w:tc>
              <w:tc>
                <w:tcPr>
                  <w:tcW w:w="850" w:type="dxa"/>
                  <w:vMerge w:val="restart"/>
                  <w:vAlign w:val="center"/>
                </w:tcPr>
                <w:p w14:paraId="6C5C177E">
                  <w:pPr>
                    <w:snapToGrid w:val="0"/>
                    <w:jc w:val="center"/>
                    <w:rPr>
                      <w:b/>
                      <w:bCs/>
                      <w:color w:val="auto"/>
                      <w:szCs w:val="21"/>
                      <w:highlight w:val="none"/>
                    </w:rPr>
                  </w:pPr>
                  <w:r>
                    <w:rPr>
                      <w:rFonts w:hint="eastAsia"/>
                      <w:b/>
                      <w:bCs/>
                      <w:color w:val="auto"/>
                      <w:szCs w:val="21"/>
                      <w:highlight w:val="none"/>
                    </w:rPr>
                    <w:t>排气筒出口内径/m</w:t>
                  </w:r>
                </w:p>
              </w:tc>
              <w:tc>
                <w:tcPr>
                  <w:tcW w:w="834" w:type="dxa"/>
                  <w:vMerge w:val="restart"/>
                  <w:vAlign w:val="center"/>
                </w:tcPr>
                <w:p w14:paraId="3E4E5D68">
                  <w:pPr>
                    <w:snapToGrid w:val="0"/>
                    <w:jc w:val="center"/>
                    <w:rPr>
                      <w:b/>
                      <w:bCs/>
                      <w:color w:val="auto"/>
                      <w:szCs w:val="21"/>
                      <w:highlight w:val="none"/>
                    </w:rPr>
                  </w:pPr>
                  <w:r>
                    <w:rPr>
                      <w:rFonts w:hint="eastAsia"/>
                      <w:b/>
                      <w:bCs/>
                      <w:color w:val="auto"/>
                      <w:szCs w:val="21"/>
                      <w:highlight w:val="none"/>
                    </w:rPr>
                    <w:t>排气温度/℃</w:t>
                  </w:r>
                </w:p>
              </w:tc>
              <w:tc>
                <w:tcPr>
                  <w:tcW w:w="1155" w:type="dxa"/>
                  <w:vMerge w:val="restart"/>
                  <w:vAlign w:val="center"/>
                </w:tcPr>
                <w:p w14:paraId="16DD11E7">
                  <w:pPr>
                    <w:snapToGrid w:val="0"/>
                    <w:jc w:val="center"/>
                    <w:rPr>
                      <w:b/>
                      <w:bCs/>
                      <w:color w:val="auto"/>
                      <w:szCs w:val="21"/>
                      <w:highlight w:val="none"/>
                    </w:rPr>
                  </w:pPr>
                  <w:r>
                    <w:rPr>
                      <w:rFonts w:hint="eastAsia"/>
                      <w:b/>
                      <w:bCs/>
                      <w:color w:val="auto"/>
                      <w:szCs w:val="21"/>
                      <w:highlight w:val="none"/>
                    </w:rPr>
                    <w:t>排放口</w:t>
                  </w:r>
                </w:p>
                <w:p w14:paraId="02426B1E">
                  <w:pPr>
                    <w:snapToGrid w:val="0"/>
                    <w:jc w:val="center"/>
                    <w:rPr>
                      <w:b/>
                      <w:bCs/>
                      <w:color w:val="auto"/>
                      <w:szCs w:val="21"/>
                      <w:highlight w:val="none"/>
                    </w:rPr>
                  </w:pPr>
                  <w:r>
                    <w:rPr>
                      <w:rFonts w:hint="eastAsia"/>
                      <w:b/>
                      <w:bCs/>
                      <w:color w:val="auto"/>
                      <w:szCs w:val="21"/>
                      <w:highlight w:val="none"/>
                    </w:rPr>
                    <w:t>类型</w:t>
                  </w:r>
                </w:p>
              </w:tc>
            </w:tr>
            <w:tr w14:paraId="62082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1149" w:type="dxa"/>
                  <w:vMerge w:val="continue"/>
                  <w:vAlign w:val="center"/>
                </w:tcPr>
                <w:p w14:paraId="20E64259">
                  <w:pPr>
                    <w:snapToGrid w:val="0"/>
                    <w:jc w:val="center"/>
                    <w:rPr>
                      <w:color w:val="auto"/>
                      <w:sz w:val="20"/>
                      <w:szCs w:val="20"/>
                      <w:highlight w:val="none"/>
                    </w:rPr>
                  </w:pPr>
                </w:p>
              </w:tc>
              <w:tc>
                <w:tcPr>
                  <w:tcW w:w="1250" w:type="dxa"/>
                  <w:vMerge w:val="continue"/>
                  <w:vAlign w:val="center"/>
                </w:tcPr>
                <w:p w14:paraId="34B2A764">
                  <w:pPr>
                    <w:snapToGrid w:val="0"/>
                    <w:jc w:val="center"/>
                    <w:rPr>
                      <w:color w:val="auto"/>
                      <w:sz w:val="20"/>
                      <w:szCs w:val="20"/>
                      <w:highlight w:val="none"/>
                    </w:rPr>
                  </w:pPr>
                </w:p>
              </w:tc>
              <w:tc>
                <w:tcPr>
                  <w:tcW w:w="1100" w:type="dxa"/>
                  <w:vAlign w:val="center"/>
                </w:tcPr>
                <w:p w14:paraId="78C640A3">
                  <w:pPr>
                    <w:snapToGrid w:val="0"/>
                    <w:jc w:val="center"/>
                    <w:rPr>
                      <w:b/>
                      <w:bCs/>
                      <w:color w:val="auto"/>
                      <w:szCs w:val="21"/>
                      <w:highlight w:val="none"/>
                    </w:rPr>
                  </w:pPr>
                  <w:r>
                    <w:rPr>
                      <w:rFonts w:hint="eastAsia"/>
                      <w:b/>
                      <w:bCs/>
                      <w:color w:val="auto"/>
                      <w:szCs w:val="21"/>
                      <w:highlight w:val="none"/>
                    </w:rPr>
                    <w:t>X</w:t>
                  </w:r>
                </w:p>
              </w:tc>
              <w:tc>
                <w:tcPr>
                  <w:tcW w:w="1199" w:type="dxa"/>
                  <w:vAlign w:val="center"/>
                </w:tcPr>
                <w:p w14:paraId="7AC57582">
                  <w:pPr>
                    <w:snapToGrid w:val="0"/>
                    <w:jc w:val="center"/>
                    <w:rPr>
                      <w:b/>
                      <w:bCs/>
                      <w:color w:val="auto"/>
                      <w:szCs w:val="21"/>
                      <w:highlight w:val="none"/>
                    </w:rPr>
                  </w:pPr>
                  <w:r>
                    <w:rPr>
                      <w:rFonts w:hint="eastAsia"/>
                      <w:b/>
                      <w:bCs/>
                      <w:color w:val="auto"/>
                      <w:szCs w:val="21"/>
                      <w:highlight w:val="none"/>
                    </w:rPr>
                    <w:t>Y</w:t>
                  </w:r>
                </w:p>
              </w:tc>
              <w:tc>
                <w:tcPr>
                  <w:tcW w:w="929" w:type="dxa"/>
                  <w:vMerge w:val="continue"/>
                  <w:vAlign w:val="center"/>
                </w:tcPr>
                <w:p w14:paraId="2795F23B">
                  <w:pPr>
                    <w:snapToGrid w:val="0"/>
                    <w:jc w:val="center"/>
                    <w:rPr>
                      <w:color w:val="auto"/>
                      <w:sz w:val="20"/>
                      <w:szCs w:val="20"/>
                      <w:highlight w:val="none"/>
                    </w:rPr>
                  </w:pPr>
                </w:p>
              </w:tc>
              <w:tc>
                <w:tcPr>
                  <w:tcW w:w="850" w:type="dxa"/>
                  <w:vMerge w:val="continue"/>
                </w:tcPr>
                <w:p w14:paraId="74EA6790">
                  <w:pPr>
                    <w:snapToGrid w:val="0"/>
                    <w:jc w:val="center"/>
                    <w:rPr>
                      <w:color w:val="auto"/>
                      <w:sz w:val="20"/>
                      <w:szCs w:val="20"/>
                      <w:highlight w:val="none"/>
                    </w:rPr>
                  </w:pPr>
                </w:p>
              </w:tc>
              <w:tc>
                <w:tcPr>
                  <w:tcW w:w="834" w:type="dxa"/>
                  <w:vMerge w:val="continue"/>
                </w:tcPr>
                <w:p w14:paraId="2E4F8592">
                  <w:pPr>
                    <w:snapToGrid w:val="0"/>
                    <w:jc w:val="center"/>
                    <w:rPr>
                      <w:color w:val="auto"/>
                      <w:sz w:val="20"/>
                      <w:szCs w:val="20"/>
                      <w:highlight w:val="none"/>
                    </w:rPr>
                  </w:pPr>
                </w:p>
              </w:tc>
              <w:tc>
                <w:tcPr>
                  <w:tcW w:w="1155" w:type="dxa"/>
                  <w:vMerge w:val="continue"/>
                </w:tcPr>
                <w:p w14:paraId="50078285">
                  <w:pPr>
                    <w:snapToGrid w:val="0"/>
                    <w:jc w:val="center"/>
                    <w:rPr>
                      <w:color w:val="auto"/>
                      <w:sz w:val="20"/>
                      <w:szCs w:val="20"/>
                      <w:highlight w:val="none"/>
                    </w:rPr>
                  </w:pPr>
                </w:p>
              </w:tc>
            </w:tr>
            <w:tr w14:paraId="30081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54987AD2">
                  <w:pPr>
                    <w:widowControl/>
                    <w:ind w:left="-105" w:leftChars="-50" w:right="-105" w:rightChars="-50"/>
                    <w:jc w:val="center"/>
                    <w:textAlignment w:val="center"/>
                    <w:rPr>
                      <w:color w:val="auto"/>
                      <w:sz w:val="21"/>
                      <w:szCs w:val="21"/>
                      <w:highlight w:val="none"/>
                    </w:rPr>
                  </w:pPr>
                  <w:r>
                    <w:rPr>
                      <w:rFonts w:hint="eastAsia"/>
                      <w:color w:val="auto"/>
                      <w:sz w:val="21"/>
                      <w:szCs w:val="21"/>
                      <w:highlight w:val="none"/>
                    </w:rPr>
                    <w:t>DA001</w:t>
                  </w:r>
                </w:p>
              </w:tc>
              <w:tc>
                <w:tcPr>
                  <w:tcW w:w="1250" w:type="dxa"/>
                  <w:vAlign w:val="center"/>
                </w:tcPr>
                <w:p w14:paraId="1B0A08D3">
                  <w:pPr>
                    <w:widowControl/>
                    <w:ind w:left="-105" w:leftChars="-50" w:right="-105" w:rightChars="-50"/>
                    <w:jc w:val="center"/>
                    <w:textAlignment w:val="center"/>
                    <w:rPr>
                      <w:color w:val="auto"/>
                      <w:szCs w:val="21"/>
                      <w:highlight w:val="none"/>
                    </w:rPr>
                  </w:pPr>
                  <w:r>
                    <w:rPr>
                      <w:color w:val="auto"/>
                      <w:szCs w:val="21"/>
                      <w:highlight w:val="none"/>
                    </w:rPr>
                    <w:t>颗粒物</w:t>
                  </w:r>
                </w:p>
              </w:tc>
              <w:tc>
                <w:tcPr>
                  <w:tcW w:w="1100" w:type="dxa"/>
                  <w:vAlign w:val="center"/>
                </w:tcPr>
                <w:p w14:paraId="4A60C6F2">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732150</w:t>
                  </w:r>
                </w:p>
              </w:tc>
              <w:tc>
                <w:tcPr>
                  <w:tcW w:w="1199" w:type="dxa"/>
                  <w:vAlign w:val="center"/>
                </w:tcPr>
                <w:p w14:paraId="650B8F0B">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3677745</w:t>
                  </w:r>
                </w:p>
              </w:tc>
              <w:tc>
                <w:tcPr>
                  <w:tcW w:w="929" w:type="dxa"/>
                  <w:vAlign w:val="center"/>
                </w:tcPr>
                <w:p w14:paraId="422F3ED5">
                  <w:pPr>
                    <w:snapToGrid w:val="0"/>
                    <w:jc w:val="center"/>
                    <w:rPr>
                      <w:color w:val="auto"/>
                      <w:szCs w:val="21"/>
                      <w:highlight w:val="none"/>
                    </w:rPr>
                  </w:pPr>
                  <w:r>
                    <w:rPr>
                      <w:rFonts w:hint="eastAsia"/>
                      <w:color w:val="auto"/>
                      <w:szCs w:val="21"/>
                      <w:highlight w:val="none"/>
                    </w:rPr>
                    <w:t>15</w:t>
                  </w:r>
                </w:p>
              </w:tc>
              <w:tc>
                <w:tcPr>
                  <w:tcW w:w="850" w:type="dxa"/>
                  <w:vAlign w:val="center"/>
                </w:tcPr>
                <w:p w14:paraId="0CF802ED">
                  <w:pPr>
                    <w:widowControl/>
                    <w:ind w:left="-105" w:leftChars="-50"/>
                    <w:jc w:val="center"/>
                    <w:rPr>
                      <w:color w:val="auto"/>
                      <w:szCs w:val="21"/>
                      <w:highlight w:val="none"/>
                    </w:rPr>
                  </w:pPr>
                  <w:r>
                    <w:rPr>
                      <w:rFonts w:hint="eastAsia"/>
                      <w:color w:val="auto"/>
                      <w:szCs w:val="21"/>
                      <w:highlight w:val="none"/>
                    </w:rPr>
                    <w:t>0.3</w:t>
                  </w:r>
                </w:p>
              </w:tc>
              <w:tc>
                <w:tcPr>
                  <w:tcW w:w="834" w:type="dxa"/>
                  <w:vAlign w:val="center"/>
                </w:tcPr>
                <w:p w14:paraId="153D98DA">
                  <w:pPr>
                    <w:widowControl/>
                    <w:ind w:left="-105" w:leftChars="-50"/>
                    <w:jc w:val="center"/>
                    <w:rPr>
                      <w:color w:val="auto"/>
                      <w:szCs w:val="21"/>
                      <w:highlight w:val="none"/>
                    </w:rPr>
                  </w:pPr>
                  <w:r>
                    <w:rPr>
                      <w:rFonts w:hint="eastAsia"/>
                      <w:color w:val="auto"/>
                      <w:szCs w:val="21"/>
                      <w:highlight w:val="none"/>
                    </w:rPr>
                    <w:t>常温</w:t>
                  </w:r>
                </w:p>
              </w:tc>
              <w:tc>
                <w:tcPr>
                  <w:tcW w:w="1155" w:type="dxa"/>
                  <w:vAlign w:val="center"/>
                </w:tcPr>
                <w:p w14:paraId="7CBB76AC">
                  <w:pPr>
                    <w:snapToGrid w:val="0"/>
                    <w:ind w:left="-105" w:leftChars="-50" w:right="-105" w:rightChars="-50"/>
                    <w:jc w:val="center"/>
                    <w:rPr>
                      <w:color w:val="auto"/>
                      <w:sz w:val="20"/>
                      <w:szCs w:val="20"/>
                      <w:highlight w:val="none"/>
                    </w:rPr>
                  </w:pPr>
                  <w:r>
                    <w:rPr>
                      <w:rFonts w:hint="eastAsia"/>
                      <w:color w:val="auto"/>
                      <w:sz w:val="20"/>
                      <w:szCs w:val="20"/>
                      <w:highlight w:val="none"/>
                    </w:rPr>
                    <w:t>一般排放口</w:t>
                  </w:r>
                </w:p>
              </w:tc>
            </w:tr>
            <w:tr w14:paraId="0C0B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4A2D15C7">
                  <w:pPr>
                    <w:widowControl/>
                    <w:ind w:left="-105" w:leftChars="-50" w:right="-105" w:rightChars="-50"/>
                    <w:jc w:val="center"/>
                    <w:textAlignment w:val="center"/>
                    <w:rPr>
                      <w:color w:val="auto"/>
                      <w:sz w:val="21"/>
                      <w:szCs w:val="21"/>
                      <w:highlight w:val="none"/>
                    </w:rPr>
                  </w:pPr>
                  <w:r>
                    <w:rPr>
                      <w:rFonts w:hint="eastAsia"/>
                      <w:color w:val="auto"/>
                      <w:sz w:val="21"/>
                      <w:szCs w:val="21"/>
                      <w:highlight w:val="none"/>
                    </w:rPr>
                    <w:t>DA002</w:t>
                  </w:r>
                </w:p>
              </w:tc>
              <w:tc>
                <w:tcPr>
                  <w:tcW w:w="1250" w:type="dxa"/>
                  <w:vAlign w:val="center"/>
                </w:tcPr>
                <w:p w14:paraId="7CBCAFE4">
                  <w:pPr>
                    <w:widowControl/>
                    <w:ind w:left="-105" w:leftChars="-50" w:right="-105" w:rightChars="-50"/>
                    <w:jc w:val="center"/>
                    <w:textAlignment w:val="center"/>
                    <w:rPr>
                      <w:color w:val="auto"/>
                      <w:szCs w:val="21"/>
                      <w:highlight w:val="none"/>
                    </w:rPr>
                  </w:pPr>
                  <w:r>
                    <w:rPr>
                      <w:color w:val="auto"/>
                      <w:szCs w:val="21"/>
                      <w:highlight w:val="none"/>
                    </w:rPr>
                    <w:t>颗粒物</w:t>
                  </w:r>
                </w:p>
              </w:tc>
              <w:tc>
                <w:tcPr>
                  <w:tcW w:w="1100" w:type="dxa"/>
                  <w:vAlign w:val="center"/>
                </w:tcPr>
                <w:p w14:paraId="69E09C52">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732189</w:t>
                  </w:r>
                </w:p>
              </w:tc>
              <w:tc>
                <w:tcPr>
                  <w:tcW w:w="1199" w:type="dxa"/>
                  <w:vAlign w:val="center"/>
                </w:tcPr>
                <w:p w14:paraId="223EC84D">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3677717</w:t>
                  </w:r>
                </w:p>
              </w:tc>
              <w:tc>
                <w:tcPr>
                  <w:tcW w:w="929" w:type="dxa"/>
                  <w:vAlign w:val="center"/>
                </w:tcPr>
                <w:p w14:paraId="38C8232C">
                  <w:pPr>
                    <w:snapToGrid w:val="0"/>
                    <w:jc w:val="center"/>
                    <w:rPr>
                      <w:color w:val="auto"/>
                      <w:szCs w:val="21"/>
                      <w:highlight w:val="none"/>
                    </w:rPr>
                  </w:pPr>
                  <w:r>
                    <w:rPr>
                      <w:rFonts w:hint="eastAsia"/>
                      <w:color w:val="auto"/>
                      <w:szCs w:val="21"/>
                      <w:highlight w:val="none"/>
                    </w:rPr>
                    <w:t>15</w:t>
                  </w:r>
                </w:p>
              </w:tc>
              <w:tc>
                <w:tcPr>
                  <w:tcW w:w="850" w:type="dxa"/>
                  <w:vAlign w:val="center"/>
                </w:tcPr>
                <w:p w14:paraId="67CE12B6">
                  <w:pPr>
                    <w:widowControl/>
                    <w:ind w:left="-105" w:leftChars="-50"/>
                    <w:jc w:val="center"/>
                    <w:rPr>
                      <w:color w:val="auto"/>
                      <w:szCs w:val="21"/>
                      <w:highlight w:val="none"/>
                    </w:rPr>
                  </w:pPr>
                  <w:r>
                    <w:rPr>
                      <w:rFonts w:hint="eastAsia"/>
                      <w:color w:val="auto"/>
                      <w:szCs w:val="21"/>
                      <w:highlight w:val="none"/>
                    </w:rPr>
                    <w:t>0.3</w:t>
                  </w:r>
                </w:p>
              </w:tc>
              <w:tc>
                <w:tcPr>
                  <w:tcW w:w="834" w:type="dxa"/>
                  <w:vAlign w:val="center"/>
                </w:tcPr>
                <w:p w14:paraId="554EB8C3">
                  <w:pPr>
                    <w:widowControl/>
                    <w:ind w:left="-105" w:leftChars="-50"/>
                    <w:jc w:val="center"/>
                    <w:rPr>
                      <w:color w:val="auto"/>
                      <w:szCs w:val="21"/>
                      <w:highlight w:val="none"/>
                    </w:rPr>
                  </w:pPr>
                  <w:r>
                    <w:rPr>
                      <w:rFonts w:hint="eastAsia"/>
                      <w:color w:val="auto"/>
                      <w:szCs w:val="21"/>
                      <w:highlight w:val="none"/>
                    </w:rPr>
                    <w:t>常温</w:t>
                  </w:r>
                </w:p>
              </w:tc>
              <w:tc>
                <w:tcPr>
                  <w:tcW w:w="1155" w:type="dxa"/>
                  <w:vAlign w:val="center"/>
                </w:tcPr>
                <w:p w14:paraId="1E727623">
                  <w:pPr>
                    <w:snapToGrid w:val="0"/>
                    <w:ind w:left="-105" w:leftChars="-50" w:right="-105" w:rightChars="-50"/>
                    <w:jc w:val="center"/>
                    <w:rPr>
                      <w:color w:val="auto"/>
                      <w:sz w:val="20"/>
                      <w:szCs w:val="20"/>
                      <w:highlight w:val="none"/>
                    </w:rPr>
                  </w:pPr>
                  <w:r>
                    <w:rPr>
                      <w:rFonts w:hint="eastAsia"/>
                      <w:color w:val="auto"/>
                      <w:sz w:val="20"/>
                      <w:szCs w:val="20"/>
                      <w:highlight w:val="none"/>
                    </w:rPr>
                    <w:t>一般排放口</w:t>
                  </w:r>
                </w:p>
              </w:tc>
            </w:tr>
            <w:tr w14:paraId="57DCB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7BC9003F">
                  <w:pPr>
                    <w:widowControl/>
                    <w:ind w:left="-105" w:leftChars="-50" w:right="-105" w:rightChars="-50"/>
                    <w:jc w:val="center"/>
                    <w:textAlignment w:val="center"/>
                    <w:rPr>
                      <w:rFonts w:hint="eastAsia" w:eastAsia="宋体"/>
                      <w:color w:val="auto"/>
                      <w:sz w:val="21"/>
                      <w:szCs w:val="21"/>
                      <w:highlight w:val="none"/>
                      <w:lang w:eastAsia="zh-CN"/>
                    </w:rPr>
                  </w:pPr>
                  <w:r>
                    <w:rPr>
                      <w:rFonts w:hint="eastAsia"/>
                      <w:color w:val="auto"/>
                      <w:sz w:val="21"/>
                      <w:szCs w:val="21"/>
                      <w:highlight w:val="none"/>
                    </w:rPr>
                    <w:t>DA00</w:t>
                  </w:r>
                  <w:r>
                    <w:rPr>
                      <w:rFonts w:hint="eastAsia"/>
                      <w:color w:val="auto"/>
                      <w:sz w:val="21"/>
                      <w:szCs w:val="21"/>
                      <w:highlight w:val="none"/>
                      <w:lang w:val="en-US" w:eastAsia="zh-CN"/>
                    </w:rPr>
                    <w:t>3</w:t>
                  </w:r>
                </w:p>
              </w:tc>
              <w:tc>
                <w:tcPr>
                  <w:tcW w:w="1250" w:type="dxa"/>
                  <w:vAlign w:val="center"/>
                </w:tcPr>
                <w:p w14:paraId="7E58B4B2">
                  <w:pPr>
                    <w:widowControl/>
                    <w:ind w:left="-105" w:leftChars="-50" w:right="-105" w:rightChars="-50"/>
                    <w:jc w:val="center"/>
                    <w:textAlignment w:val="center"/>
                    <w:rPr>
                      <w:rFonts w:hint="eastAsia"/>
                      <w:color w:val="auto"/>
                      <w:szCs w:val="21"/>
                      <w:highlight w:val="none"/>
                    </w:rPr>
                  </w:pPr>
                  <w:r>
                    <w:rPr>
                      <w:color w:val="auto"/>
                      <w:szCs w:val="21"/>
                      <w:highlight w:val="none"/>
                    </w:rPr>
                    <w:t>颗粒物</w:t>
                  </w:r>
                </w:p>
              </w:tc>
              <w:tc>
                <w:tcPr>
                  <w:tcW w:w="1100" w:type="dxa"/>
                  <w:vAlign w:val="center"/>
                </w:tcPr>
                <w:p w14:paraId="3BC9DA7A">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732185</w:t>
                  </w:r>
                </w:p>
              </w:tc>
              <w:tc>
                <w:tcPr>
                  <w:tcW w:w="1199" w:type="dxa"/>
                  <w:vAlign w:val="center"/>
                </w:tcPr>
                <w:p w14:paraId="0A3BD438">
                  <w:pPr>
                    <w:widowControl/>
                    <w:ind w:left="-63" w:leftChars="-30" w:right="-63" w:rightChars="-3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3677808</w:t>
                  </w:r>
                </w:p>
              </w:tc>
              <w:tc>
                <w:tcPr>
                  <w:tcW w:w="929" w:type="dxa"/>
                  <w:vAlign w:val="center"/>
                </w:tcPr>
                <w:p w14:paraId="1BAE4035">
                  <w:pPr>
                    <w:snapToGrid w:val="0"/>
                    <w:jc w:val="center"/>
                    <w:rPr>
                      <w:rFonts w:hint="eastAsia"/>
                      <w:color w:val="auto"/>
                      <w:szCs w:val="21"/>
                      <w:highlight w:val="none"/>
                    </w:rPr>
                  </w:pPr>
                  <w:r>
                    <w:rPr>
                      <w:rFonts w:hint="eastAsia"/>
                      <w:color w:val="auto"/>
                      <w:szCs w:val="21"/>
                      <w:highlight w:val="none"/>
                    </w:rPr>
                    <w:t>15</w:t>
                  </w:r>
                </w:p>
              </w:tc>
              <w:tc>
                <w:tcPr>
                  <w:tcW w:w="850" w:type="dxa"/>
                  <w:vAlign w:val="center"/>
                </w:tcPr>
                <w:p w14:paraId="1FBD7538">
                  <w:pPr>
                    <w:widowControl/>
                    <w:ind w:left="-105" w:leftChars="-50"/>
                    <w:jc w:val="center"/>
                    <w:rPr>
                      <w:rFonts w:hint="eastAsia"/>
                      <w:color w:val="auto"/>
                      <w:szCs w:val="21"/>
                      <w:highlight w:val="none"/>
                    </w:rPr>
                  </w:pPr>
                  <w:r>
                    <w:rPr>
                      <w:rFonts w:hint="eastAsia"/>
                      <w:color w:val="auto"/>
                      <w:szCs w:val="21"/>
                      <w:highlight w:val="none"/>
                    </w:rPr>
                    <w:t>0.3</w:t>
                  </w:r>
                </w:p>
              </w:tc>
              <w:tc>
                <w:tcPr>
                  <w:tcW w:w="834" w:type="dxa"/>
                  <w:vAlign w:val="center"/>
                </w:tcPr>
                <w:p w14:paraId="4894F9F3">
                  <w:pPr>
                    <w:widowControl/>
                    <w:ind w:left="-105" w:leftChars="-50"/>
                    <w:jc w:val="center"/>
                    <w:rPr>
                      <w:rFonts w:hint="eastAsia"/>
                      <w:color w:val="auto"/>
                      <w:szCs w:val="21"/>
                      <w:highlight w:val="none"/>
                    </w:rPr>
                  </w:pPr>
                  <w:r>
                    <w:rPr>
                      <w:rFonts w:hint="eastAsia"/>
                      <w:color w:val="auto"/>
                      <w:szCs w:val="21"/>
                      <w:highlight w:val="none"/>
                    </w:rPr>
                    <w:t>常温</w:t>
                  </w:r>
                </w:p>
              </w:tc>
              <w:tc>
                <w:tcPr>
                  <w:tcW w:w="1155" w:type="dxa"/>
                  <w:vAlign w:val="center"/>
                </w:tcPr>
                <w:p w14:paraId="408C5C89">
                  <w:pPr>
                    <w:snapToGrid w:val="0"/>
                    <w:ind w:left="-105" w:leftChars="-50" w:right="-105" w:rightChars="-50"/>
                    <w:jc w:val="center"/>
                    <w:rPr>
                      <w:rFonts w:hint="eastAsia"/>
                      <w:color w:val="auto"/>
                      <w:sz w:val="20"/>
                      <w:szCs w:val="20"/>
                      <w:highlight w:val="none"/>
                    </w:rPr>
                  </w:pPr>
                  <w:r>
                    <w:rPr>
                      <w:rFonts w:hint="eastAsia"/>
                      <w:color w:val="auto"/>
                      <w:sz w:val="20"/>
                      <w:szCs w:val="20"/>
                      <w:highlight w:val="none"/>
                    </w:rPr>
                    <w:t>一般排放口</w:t>
                  </w:r>
                </w:p>
              </w:tc>
            </w:tr>
          </w:tbl>
          <w:p w14:paraId="78F6D491">
            <w:pPr>
              <w:adjustRightInd w:val="0"/>
              <w:snapToGrid w:val="0"/>
              <w:jc w:val="center"/>
              <w:rPr>
                <w:b/>
                <w:bCs/>
                <w:color w:val="auto"/>
                <w:highlight w:val="none"/>
              </w:rPr>
            </w:pPr>
            <w:r>
              <w:rPr>
                <w:b/>
                <w:bCs/>
                <w:color w:val="auto"/>
                <w:highlight w:val="none"/>
              </w:rPr>
              <w:t>表4-</w:t>
            </w:r>
            <w:r>
              <w:rPr>
                <w:rFonts w:hint="eastAsia"/>
                <w:b/>
                <w:bCs/>
                <w:color w:val="auto"/>
                <w:highlight w:val="none"/>
                <w:lang w:val="en-US" w:eastAsia="zh-CN"/>
              </w:rPr>
              <w:t>6</w:t>
            </w:r>
            <w:r>
              <w:rPr>
                <w:rFonts w:hint="eastAsia"/>
                <w:b/>
                <w:bCs/>
                <w:color w:val="auto"/>
                <w:highlight w:val="none"/>
              </w:rPr>
              <w:t xml:space="preserve">  </w:t>
            </w:r>
            <w:r>
              <w:rPr>
                <w:b/>
                <w:bCs/>
                <w:color w:val="auto"/>
                <w:highlight w:val="none"/>
              </w:rPr>
              <w:t>项目废气监测计划一览表</w:t>
            </w:r>
          </w:p>
          <w:tbl>
            <w:tblPr>
              <w:tblStyle w:val="36"/>
              <w:tblW w:w="8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1732"/>
              <w:gridCol w:w="1233"/>
              <w:gridCol w:w="1300"/>
              <w:gridCol w:w="3097"/>
            </w:tblGrid>
            <w:tr w14:paraId="48D6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98" w:type="pct"/>
                  <w:vAlign w:val="center"/>
                </w:tcPr>
                <w:p w14:paraId="7A44ED24">
                  <w:pPr>
                    <w:adjustRightInd w:val="0"/>
                    <w:snapToGrid w:val="0"/>
                    <w:jc w:val="center"/>
                    <w:rPr>
                      <w:color w:val="auto"/>
                      <w:szCs w:val="21"/>
                      <w:highlight w:val="none"/>
                    </w:rPr>
                  </w:pPr>
                  <w:r>
                    <w:rPr>
                      <w:rFonts w:hint="eastAsia"/>
                      <w:color w:val="auto"/>
                      <w:szCs w:val="21"/>
                      <w:highlight w:val="none"/>
                    </w:rPr>
                    <w:t>废气形式</w:t>
                  </w:r>
                </w:p>
              </w:tc>
              <w:tc>
                <w:tcPr>
                  <w:tcW w:w="1011" w:type="pct"/>
                  <w:vAlign w:val="center"/>
                </w:tcPr>
                <w:p w14:paraId="5E3E268B">
                  <w:pPr>
                    <w:adjustRightInd w:val="0"/>
                    <w:snapToGrid w:val="0"/>
                    <w:jc w:val="center"/>
                    <w:rPr>
                      <w:color w:val="auto"/>
                      <w:szCs w:val="21"/>
                      <w:highlight w:val="none"/>
                    </w:rPr>
                  </w:pPr>
                  <w:r>
                    <w:rPr>
                      <w:color w:val="auto"/>
                      <w:szCs w:val="21"/>
                      <w:highlight w:val="none"/>
                    </w:rPr>
                    <w:t>监测点位</w:t>
                  </w:r>
                </w:p>
              </w:tc>
              <w:tc>
                <w:tcPr>
                  <w:tcW w:w="720" w:type="pct"/>
                  <w:vAlign w:val="center"/>
                </w:tcPr>
                <w:p w14:paraId="238FEA33">
                  <w:pPr>
                    <w:adjustRightInd w:val="0"/>
                    <w:snapToGrid w:val="0"/>
                    <w:jc w:val="center"/>
                    <w:rPr>
                      <w:color w:val="auto"/>
                      <w:szCs w:val="21"/>
                      <w:highlight w:val="none"/>
                    </w:rPr>
                  </w:pPr>
                  <w:r>
                    <w:rPr>
                      <w:color w:val="auto"/>
                      <w:szCs w:val="21"/>
                      <w:highlight w:val="none"/>
                    </w:rPr>
                    <w:t>监测</w:t>
                  </w:r>
                  <w:r>
                    <w:rPr>
                      <w:rFonts w:hint="eastAsia"/>
                      <w:color w:val="auto"/>
                      <w:szCs w:val="21"/>
                      <w:highlight w:val="none"/>
                    </w:rPr>
                    <w:t>指标</w:t>
                  </w:r>
                </w:p>
              </w:tc>
              <w:tc>
                <w:tcPr>
                  <w:tcW w:w="759" w:type="pct"/>
                  <w:vAlign w:val="center"/>
                </w:tcPr>
                <w:p w14:paraId="4274A51B">
                  <w:pPr>
                    <w:adjustRightInd w:val="0"/>
                    <w:snapToGrid w:val="0"/>
                    <w:jc w:val="center"/>
                    <w:rPr>
                      <w:color w:val="auto"/>
                      <w:szCs w:val="21"/>
                      <w:highlight w:val="none"/>
                    </w:rPr>
                  </w:pPr>
                  <w:r>
                    <w:rPr>
                      <w:color w:val="auto"/>
                      <w:szCs w:val="21"/>
                      <w:highlight w:val="none"/>
                    </w:rPr>
                    <w:t>监测频率</w:t>
                  </w:r>
                </w:p>
              </w:tc>
              <w:tc>
                <w:tcPr>
                  <w:tcW w:w="1809" w:type="pct"/>
                  <w:vAlign w:val="center"/>
                </w:tcPr>
                <w:p w14:paraId="5FA181DF">
                  <w:pPr>
                    <w:adjustRightInd w:val="0"/>
                    <w:snapToGrid w:val="0"/>
                    <w:jc w:val="center"/>
                    <w:rPr>
                      <w:color w:val="auto"/>
                      <w:szCs w:val="21"/>
                      <w:highlight w:val="none"/>
                    </w:rPr>
                  </w:pPr>
                  <w:r>
                    <w:rPr>
                      <w:rFonts w:hint="eastAsia"/>
                      <w:color w:val="auto"/>
                      <w:szCs w:val="21"/>
                      <w:highlight w:val="none"/>
                    </w:rPr>
                    <w:t>执行标准</w:t>
                  </w:r>
                </w:p>
              </w:tc>
            </w:tr>
            <w:tr w14:paraId="61784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98" w:type="pct"/>
                  <w:vMerge w:val="restart"/>
                  <w:vAlign w:val="center"/>
                </w:tcPr>
                <w:p w14:paraId="2F32D239">
                  <w:pPr>
                    <w:adjustRightInd w:val="0"/>
                    <w:snapToGrid w:val="0"/>
                    <w:jc w:val="center"/>
                    <w:rPr>
                      <w:color w:val="auto"/>
                      <w:szCs w:val="21"/>
                      <w:highlight w:val="none"/>
                    </w:rPr>
                  </w:pPr>
                  <w:r>
                    <w:rPr>
                      <w:rFonts w:hint="eastAsia"/>
                      <w:color w:val="auto"/>
                      <w:szCs w:val="21"/>
                      <w:highlight w:val="none"/>
                    </w:rPr>
                    <w:t>有组织</w:t>
                  </w:r>
                </w:p>
              </w:tc>
              <w:tc>
                <w:tcPr>
                  <w:tcW w:w="1011" w:type="pct"/>
                  <w:vAlign w:val="center"/>
                </w:tcPr>
                <w:p w14:paraId="6A32963F">
                  <w:pPr>
                    <w:widowControl/>
                    <w:ind w:left="-105" w:leftChars="-50" w:right="-105" w:rightChars="-50"/>
                    <w:jc w:val="center"/>
                    <w:textAlignment w:val="center"/>
                    <w:rPr>
                      <w:color w:val="auto"/>
                      <w:szCs w:val="21"/>
                      <w:highlight w:val="none"/>
                    </w:rPr>
                  </w:pPr>
                  <w:r>
                    <w:rPr>
                      <w:rFonts w:hint="eastAsia"/>
                      <w:color w:val="auto"/>
                      <w:szCs w:val="21"/>
                      <w:highlight w:val="none"/>
                    </w:rPr>
                    <w:t>DA001</w:t>
                  </w:r>
                </w:p>
              </w:tc>
              <w:tc>
                <w:tcPr>
                  <w:tcW w:w="720" w:type="pct"/>
                  <w:vAlign w:val="center"/>
                </w:tcPr>
                <w:p w14:paraId="17BD0117">
                  <w:pPr>
                    <w:adjustRightInd w:val="0"/>
                    <w:snapToGrid w:val="0"/>
                    <w:jc w:val="center"/>
                    <w:rPr>
                      <w:color w:val="auto"/>
                      <w:szCs w:val="21"/>
                      <w:highlight w:val="none"/>
                    </w:rPr>
                  </w:pPr>
                  <w:r>
                    <w:rPr>
                      <w:color w:val="auto"/>
                      <w:szCs w:val="21"/>
                      <w:highlight w:val="none"/>
                    </w:rPr>
                    <w:t>颗粒物</w:t>
                  </w:r>
                </w:p>
              </w:tc>
              <w:tc>
                <w:tcPr>
                  <w:tcW w:w="759" w:type="pct"/>
                  <w:vAlign w:val="center"/>
                </w:tcPr>
                <w:p w14:paraId="53A39B10">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年</w:t>
                  </w:r>
                </w:p>
              </w:tc>
              <w:tc>
                <w:tcPr>
                  <w:tcW w:w="1809" w:type="pct"/>
                  <w:vAlign w:val="center"/>
                </w:tcPr>
                <w:p w14:paraId="1024392D">
                  <w:pPr>
                    <w:adjustRightInd w:val="0"/>
                    <w:snapToGrid w:val="0"/>
                    <w:jc w:val="center"/>
                    <w:rPr>
                      <w:color w:val="auto"/>
                      <w:szCs w:val="21"/>
                      <w:highlight w:val="none"/>
                    </w:rPr>
                  </w:pPr>
                  <w:r>
                    <w:rPr>
                      <w:color w:val="auto"/>
                      <w:szCs w:val="21"/>
                      <w:highlight w:val="none"/>
                    </w:rPr>
                    <w:t>《大气污染物综合排放标准》（GB16297-1996）</w:t>
                  </w:r>
                </w:p>
              </w:tc>
            </w:tr>
            <w:tr w14:paraId="56B7E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698" w:type="pct"/>
                  <w:vMerge w:val="continue"/>
                  <w:vAlign w:val="center"/>
                </w:tcPr>
                <w:p w14:paraId="12B556D9">
                  <w:pPr>
                    <w:adjustRightInd w:val="0"/>
                    <w:snapToGrid w:val="0"/>
                    <w:jc w:val="center"/>
                    <w:rPr>
                      <w:color w:val="auto"/>
                      <w:szCs w:val="21"/>
                      <w:highlight w:val="none"/>
                    </w:rPr>
                  </w:pPr>
                </w:p>
              </w:tc>
              <w:tc>
                <w:tcPr>
                  <w:tcW w:w="1011" w:type="pct"/>
                  <w:vAlign w:val="center"/>
                </w:tcPr>
                <w:p w14:paraId="1EB834A2">
                  <w:pPr>
                    <w:widowControl/>
                    <w:ind w:left="-105" w:leftChars="-50" w:right="-105" w:rightChars="-50"/>
                    <w:jc w:val="center"/>
                    <w:textAlignment w:val="center"/>
                    <w:rPr>
                      <w:color w:val="auto"/>
                      <w:szCs w:val="21"/>
                      <w:highlight w:val="none"/>
                    </w:rPr>
                  </w:pPr>
                  <w:r>
                    <w:rPr>
                      <w:rFonts w:hint="eastAsia"/>
                      <w:color w:val="auto"/>
                      <w:szCs w:val="21"/>
                      <w:highlight w:val="none"/>
                    </w:rPr>
                    <w:t>DA002</w:t>
                  </w:r>
                </w:p>
              </w:tc>
              <w:tc>
                <w:tcPr>
                  <w:tcW w:w="720" w:type="pct"/>
                  <w:vAlign w:val="center"/>
                </w:tcPr>
                <w:p w14:paraId="300EE85F">
                  <w:pPr>
                    <w:adjustRightInd w:val="0"/>
                    <w:snapToGrid w:val="0"/>
                    <w:jc w:val="center"/>
                    <w:rPr>
                      <w:color w:val="auto"/>
                      <w:szCs w:val="21"/>
                      <w:highlight w:val="none"/>
                    </w:rPr>
                  </w:pPr>
                  <w:r>
                    <w:rPr>
                      <w:color w:val="auto"/>
                      <w:szCs w:val="21"/>
                      <w:highlight w:val="none"/>
                    </w:rPr>
                    <w:t>颗粒物</w:t>
                  </w:r>
                </w:p>
              </w:tc>
              <w:tc>
                <w:tcPr>
                  <w:tcW w:w="759" w:type="pct"/>
                  <w:vAlign w:val="center"/>
                </w:tcPr>
                <w:p w14:paraId="5197821C">
                  <w:pPr>
                    <w:adjustRightInd w:val="0"/>
                    <w:snapToGrid w:val="0"/>
                    <w:jc w:val="center"/>
                    <w:rPr>
                      <w:rFonts w:hint="eastAsia" w:eastAsia="宋体"/>
                      <w:color w:val="auto"/>
                      <w:szCs w:val="21"/>
                      <w:highlight w:val="none"/>
                      <w:lang w:val="en-US" w:eastAsia="zh-CN"/>
                    </w:rPr>
                  </w:pPr>
                  <w:r>
                    <w:rPr>
                      <w:color w:val="auto"/>
                      <w:szCs w:val="21"/>
                      <w:highlight w:val="none"/>
                    </w:rPr>
                    <w:t>1次</w:t>
                  </w:r>
                  <w:r>
                    <w:rPr>
                      <w:rFonts w:hint="eastAsia"/>
                      <w:color w:val="auto"/>
                      <w:szCs w:val="21"/>
                      <w:highlight w:val="none"/>
                      <w:lang w:val="en-US" w:eastAsia="zh-CN"/>
                    </w:rPr>
                    <w:t>/半年</w:t>
                  </w:r>
                </w:p>
              </w:tc>
              <w:tc>
                <w:tcPr>
                  <w:tcW w:w="1809" w:type="pct"/>
                  <w:vMerge w:val="restart"/>
                  <w:vAlign w:val="center"/>
                </w:tcPr>
                <w:p w14:paraId="2DEEC0FB">
                  <w:pPr>
                    <w:adjustRightInd w:val="0"/>
                    <w:snapToGrid w:val="0"/>
                    <w:jc w:val="center"/>
                    <w:rPr>
                      <w:color w:val="auto"/>
                      <w:szCs w:val="21"/>
                      <w:highlight w:val="none"/>
                    </w:rPr>
                  </w:pPr>
                  <w:r>
                    <w:rPr>
                      <w:rFonts w:hint="eastAsia"/>
                      <w:color w:val="auto"/>
                      <w:szCs w:val="21"/>
                      <w:highlight w:val="none"/>
                      <w:lang w:eastAsia="zh-CN"/>
                    </w:rPr>
                    <w:t>《水泥工业大气污染物排放标准》（GB4915-2013）</w:t>
                  </w:r>
                </w:p>
              </w:tc>
            </w:tr>
            <w:tr w14:paraId="0E067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698" w:type="pct"/>
                  <w:vMerge w:val="continue"/>
                  <w:vAlign w:val="center"/>
                </w:tcPr>
                <w:p w14:paraId="17F7E685">
                  <w:pPr>
                    <w:adjustRightInd w:val="0"/>
                    <w:snapToGrid w:val="0"/>
                    <w:jc w:val="center"/>
                    <w:rPr>
                      <w:color w:val="auto"/>
                      <w:szCs w:val="21"/>
                      <w:highlight w:val="none"/>
                    </w:rPr>
                  </w:pPr>
                </w:p>
              </w:tc>
              <w:tc>
                <w:tcPr>
                  <w:tcW w:w="1011" w:type="pct"/>
                  <w:vAlign w:val="center"/>
                </w:tcPr>
                <w:p w14:paraId="571DB415">
                  <w:pPr>
                    <w:widowControl/>
                    <w:ind w:left="-105" w:leftChars="-50" w:right="-105" w:rightChars="-50"/>
                    <w:jc w:val="center"/>
                    <w:textAlignment w:val="center"/>
                    <w:rPr>
                      <w:rFonts w:hint="eastAsia"/>
                      <w:color w:val="auto"/>
                      <w:szCs w:val="21"/>
                      <w:highlight w:val="none"/>
                    </w:rPr>
                  </w:pPr>
                  <w:r>
                    <w:rPr>
                      <w:rFonts w:hint="eastAsia"/>
                      <w:color w:val="auto"/>
                      <w:szCs w:val="21"/>
                      <w:highlight w:val="none"/>
                    </w:rPr>
                    <w:t>DA00</w:t>
                  </w:r>
                  <w:r>
                    <w:rPr>
                      <w:rFonts w:hint="eastAsia"/>
                      <w:color w:val="auto"/>
                      <w:szCs w:val="21"/>
                      <w:highlight w:val="none"/>
                      <w:lang w:val="en-US" w:eastAsia="zh-CN"/>
                    </w:rPr>
                    <w:t>3</w:t>
                  </w:r>
                </w:p>
              </w:tc>
              <w:tc>
                <w:tcPr>
                  <w:tcW w:w="720" w:type="pct"/>
                  <w:vAlign w:val="center"/>
                </w:tcPr>
                <w:p w14:paraId="104849D2">
                  <w:pPr>
                    <w:adjustRightInd w:val="0"/>
                    <w:snapToGrid w:val="0"/>
                    <w:jc w:val="center"/>
                    <w:rPr>
                      <w:rFonts w:hint="eastAsia"/>
                      <w:color w:val="auto"/>
                      <w:szCs w:val="21"/>
                      <w:highlight w:val="none"/>
                    </w:rPr>
                  </w:pPr>
                  <w:r>
                    <w:rPr>
                      <w:color w:val="auto"/>
                      <w:szCs w:val="21"/>
                      <w:highlight w:val="none"/>
                    </w:rPr>
                    <w:t>颗粒物</w:t>
                  </w:r>
                </w:p>
              </w:tc>
              <w:tc>
                <w:tcPr>
                  <w:tcW w:w="759" w:type="pct"/>
                  <w:vAlign w:val="center"/>
                </w:tcPr>
                <w:p w14:paraId="5F6BFBB9">
                  <w:pPr>
                    <w:adjustRightInd w:val="0"/>
                    <w:snapToGrid w:val="0"/>
                    <w:jc w:val="center"/>
                    <w:rPr>
                      <w:color w:val="auto"/>
                      <w:szCs w:val="21"/>
                      <w:highlight w:val="none"/>
                    </w:rPr>
                  </w:pPr>
                  <w:r>
                    <w:rPr>
                      <w:color w:val="auto"/>
                      <w:szCs w:val="21"/>
                      <w:highlight w:val="none"/>
                    </w:rPr>
                    <w:t>1次</w:t>
                  </w:r>
                  <w:r>
                    <w:rPr>
                      <w:rFonts w:hint="eastAsia"/>
                      <w:color w:val="auto"/>
                      <w:szCs w:val="21"/>
                      <w:highlight w:val="none"/>
                      <w:lang w:val="en-US" w:eastAsia="zh-CN"/>
                    </w:rPr>
                    <w:t>/半年</w:t>
                  </w:r>
                </w:p>
              </w:tc>
              <w:tc>
                <w:tcPr>
                  <w:tcW w:w="1809" w:type="pct"/>
                  <w:vMerge w:val="continue"/>
                  <w:vAlign w:val="center"/>
                </w:tcPr>
                <w:p w14:paraId="06578482">
                  <w:pPr>
                    <w:adjustRightInd w:val="0"/>
                    <w:snapToGrid w:val="0"/>
                    <w:jc w:val="center"/>
                    <w:rPr>
                      <w:color w:val="auto"/>
                      <w:szCs w:val="21"/>
                      <w:highlight w:val="none"/>
                    </w:rPr>
                  </w:pPr>
                </w:p>
              </w:tc>
            </w:tr>
            <w:tr w14:paraId="7D579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698" w:type="pct"/>
                  <w:vAlign w:val="center"/>
                </w:tcPr>
                <w:p w14:paraId="09FD9919">
                  <w:pPr>
                    <w:adjustRightInd w:val="0"/>
                    <w:snapToGrid w:val="0"/>
                    <w:jc w:val="center"/>
                    <w:rPr>
                      <w:color w:val="auto"/>
                      <w:szCs w:val="21"/>
                      <w:highlight w:val="none"/>
                    </w:rPr>
                  </w:pPr>
                  <w:r>
                    <w:rPr>
                      <w:rFonts w:hint="eastAsia"/>
                      <w:color w:val="auto"/>
                      <w:szCs w:val="21"/>
                      <w:highlight w:val="none"/>
                    </w:rPr>
                    <w:t>无组织</w:t>
                  </w:r>
                </w:p>
              </w:tc>
              <w:tc>
                <w:tcPr>
                  <w:tcW w:w="1011" w:type="pct"/>
                  <w:vAlign w:val="center"/>
                </w:tcPr>
                <w:p w14:paraId="5CA87E09">
                  <w:pPr>
                    <w:widowControl/>
                    <w:ind w:left="-105" w:leftChars="-50" w:right="-105" w:rightChars="-50"/>
                    <w:jc w:val="center"/>
                    <w:textAlignment w:val="center"/>
                    <w:rPr>
                      <w:color w:val="auto"/>
                      <w:szCs w:val="21"/>
                      <w:highlight w:val="none"/>
                    </w:rPr>
                  </w:pPr>
                  <w:r>
                    <w:rPr>
                      <w:rFonts w:hint="eastAsia"/>
                      <w:color w:val="auto"/>
                      <w:szCs w:val="21"/>
                      <w:highlight w:val="none"/>
                    </w:rPr>
                    <w:t>厂界上风向1个</w:t>
                  </w:r>
                </w:p>
                <w:p w14:paraId="2AD3B003">
                  <w:pPr>
                    <w:widowControl/>
                    <w:ind w:left="-105" w:leftChars="-50" w:right="-105" w:rightChars="-50"/>
                    <w:jc w:val="center"/>
                    <w:textAlignment w:val="center"/>
                    <w:rPr>
                      <w:color w:val="auto"/>
                      <w:szCs w:val="21"/>
                      <w:highlight w:val="none"/>
                    </w:rPr>
                  </w:pPr>
                  <w:r>
                    <w:rPr>
                      <w:rFonts w:hint="eastAsia"/>
                      <w:color w:val="auto"/>
                      <w:szCs w:val="21"/>
                      <w:highlight w:val="none"/>
                    </w:rPr>
                    <w:t>下风向3个</w:t>
                  </w:r>
                </w:p>
              </w:tc>
              <w:tc>
                <w:tcPr>
                  <w:tcW w:w="720" w:type="pct"/>
                  <w:vAlign w:val="center"/>
                </w:tcPr>
                <w:p w14:paraId="3279A4C8">
                  <w:pPr>
                    <w:adjustRightInd w:val="0"/>
                    <w:snapToGrid w:val="0"/>
                    <w:jc w:val="center"/>
                    <w:rPr>
                      <w:color w:val="auto"/>
                      <w:szCs w:val="21"/>
                      <w:highlight w:val="none"/>
                    </w:rPr>
                  </w:pPr>
                  <w:r>
                    <w:rPr>
                      <w:color w:val="auto"/>
                      <w:szCs w:val="21"/>
                      <w:highlight w:val="none"/>
                    </w:rPr>
                    <w:t>颗粒物</w:t>
                  </w:r>
                </w:p>
              </w:tc>
              <w:tc>
                <w:tcPr>
                  <w:tcW w:w="759" w:type="pct"/>
                  <w:vAlign w:val="center"/>
                </w:tcPr>
                <w:p w14:paraId="58E769E1">
                  <w:pPr>
                    <w:adjustRightInd w:val="0"/>
                    <w:snapToGrid w:val="0"/>
                    <w:jc w:val="center"/>
                    <w:rPr>
                      <w:rFonts w:hint="eastAsia" w:eastAsia="宋体"/>
                      <w:color w:val="auto"/>
                      <w:szCs w:val="21"/>
                      <w:highlight w:val="none"/>
                      <w:lang w:eastAsia="zh-CN"/>
                    </w:rPr>
                  </w:pPr>
                  <w:r>
                    <w:rPr>
                      <w:color w:val="auto"/>
                      <w:szCs w:val="21"/>
                      <w:highlight w:val="none"/>
                    </w:rPr>
                    <w:t>1次/</w:t>
                  </w:r>
                  <w:r>
                    <w:rPr>
                      <w:rFonts w:hint="eastAsia"/>
                      <w:color w:val="auto"/>
                      <w:szCs w:val="21"/>
                      <w:highlight w:val="none"/>
                      <w:lang w:eastAsia="zh-CN"/>
                    </w:rPr>
                    <w:t>季度</w:t>
                  </w:r>
                </w:p>
              </w:tc>
              <w:tc>
                <w:tcPr>
                  <w:tcW w:w="1809" w:type="pct"/>
                  <w:vAlign w:val="center"/>
                </w:tcPr>
                <w:p w14:paraId="7E04C853">
                  <w:pPr>
                    <w:adjustRightInd w:val="0"/>
                    <w:snapToGrid w:val="0"/>
                    <w:jc w:val="center"/>
                    <w:rPr>
                      <w:color w:val="auto"/>
                      <w:szCs w:val="21"/>
                      <w:highlight w:val="none"/>
                    </w:rPr>
                  </w:pPr>
                  <w:r>
                    <w:rPr>
                      <w:rFonts w:hint="eastAsia" w:ascii="Times New Roman" w:hAnsi="Times New Roman"/>
                      <w:color w:val="auto"/>
                      <w:szCs w:val="24"/>
                      <w:highlight w:val="none"/>
                      <w:lang w:eastAsia="zh-CN"/>
                    </w:rPr>
                    <w:t>《水泥工业大气污染物排放标准》（GB4915-2013）</w:t>
                  </w:r>
                </w:p>
              </w:tc>
            </w:tr>
          </w:tbl>
          <w:p w14:paraId="05EE0834">
            <w:pPr>
              <w:pStyle w:val="45"/>
              <w:spacing w:line="360" w:lineRule="auto"/>
              <w:ind w:firstLine="480" w:firstLineChars="200"/>
              <w:rPr>
                <w:rFonts w:ascii="Times New Roman" w:cs="Times New Roman"/>
                <w:b w:val="0"/>
                <w:bCs w:val="0"/>
                <w:color w:val="auto"/>
                <w:highlight w:val="none"/>
              </w:rPr>
            </w:pPr>
            <w:r>
              <w:rPr>
                <w:rFonts w:hint="eastAsia" w:ascii="Times New Roman" w:cs="Times New Roman"/>
                <w:b w:val="0"/>
                <w:bCs w:val="0"/>
                <w:color w:val="auto"/>
                <w:highlight w:val="none"/>
                <w:lang w:val="en-US" w:eastAsia="zh-CN"/>
              </w:rPr>
              <w:t>（7）</w:t>
            </w:r>
            <w:r>
              <w:rPr>
                <w:rFonts w:hint="eastAsia" w:ascii="Times New Roman" w:cs="Times New Roman"/>
                <w:b w:val="0"/>
                <w:bCs w:val="0"/>
                <w:color w:val="auto"/>
                <w:highlight w:val="none"/>
              </w:rPr>
              <w:t>非正常工况下废气排放情况及处理措施</w:t>
            </w:r>
          </w:p>
          <w:p w14:paraId="215F9072">
            <w:pPr>
              <w:pStyle w:val="45"/>
              <w:spacing w:line="360" w:lineRule="auto"/>
              <w:ind w:firstLine="480" w:firstLineChars="200"/>
              <w:rPr>
                <w:b/>
                <w:bCs/>
                <w:color w:val="auto"/>
                <w:szCs w:val="21"/>
                <w:highlight w:val="none"/>
              </w:rPr>
            </w:pPr>
            <w:r>
              <w:rPr>
                <w:rFonts w:hint="eastAsia" w:ascii="Times New Roman" w:cs="Times New Roman"/>
                <w:bCs/>
                <w:color w:val="auto"/>
                <w:highlight w:val="none"/>
              </w:rPr>
              <w:t>本项目</w:t>
            </w:r>
            <w:r>
              <w:rPr>
                <w:rFonts w:hint="eastAsia" w:ascii="Times New Roman" w:cs="Times New Roman"/>
                <w:color w:val="auto"/>
                <w:highlight w:val="none"/>
              </w:rPr>
              <w:t>后期运营过程中会不可避免地出现生产设备故障等非正常工况，根据企业介绍，非正常工况发生的频次约为1~2次/a。废气排放情况见下表：</w:t>
            </w:r>
          </w:p>
          <w:p w14:paraId="4E3A9137">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lang w:val="en-US" w:eastAsia="zh-CN"/>
              </w:rPr>
              <w:t>7</w:t>
            </w:r>
            <w:r>
              <w:rPr>
                <w:b/>
                <w:bCs/>
                <w:color w:val="auto"/>
                <w:szCs w:val="21"/>
                <w:highlight w:val="none"/>
              </w:rPr>
              <w:t xml:space="preserve">  </w:t>
            </w:r>
            <w:r>
              <w:rPr>
                <w:rFonts w:hint="eastAsia"/>
                <w:b/>
                <w:bCs/>
                <w:color w:val="auto"/>
                <w:szCs w:val="21"/>
                <w:highlight w:val="none"/>
              </w:rPr>
              <w:t>项目非正常工况大气污染物排放量核算表</w:t>
            </w:r>
          </w:p>
          <w:tbl>
            <w:tblPr>
              <w:tblStyle w:val="36"/>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2"/>
              <w:gridCol w:w="750"/>
              <w:gridCol w:w="1055"/>
              <w:gridCol w:w="1083"/>
              <w:gridCol w:w="984"/>
              <w:gridCol w:w="2000"/>
              <w:gridCol w:w="900"/>
              <w:gridCol w:w="831"/>
            </w:tblGrid>
            <w:tr w14:paraId="0694E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0FDB8D51">
                  <w:pPr>
                    <w:snapToGrid w:val="0"/>
                    <w:jc w:val="center"/>
                    <w:rPr>
                      <w:rFonts w:hint="eastAsia" w:eastAsia="宋体"/>
                      <w:color w:val="auto"/>
                      <w:szCs w:val="21"/>
                      <w:highlight w:val="none"/>
                      <w:lang w:eastAsia="zh-CN"/>
                    </w:rPr>
                  </w:pPr>
                  <w:r>
                    <w:rPr>
                      <w:rFonts w:hint="eastAsia"/>
                      <w:color w:val="auto"/>
                      <w:szCs w:val="21"/>
                      <w:highlight w:val="none"/>
                      <w:lang w:eastAsia="zh-CN"/>
                    </w:rPr>
                    <w:t>生产线</w:t>
                  </w:r>
                </w:p>
              </w:tc>
              <w:tc>
                <w:tcPr>
                  <w:tcW w:w="750" w:type="dxa"/>
                  <w:vAlign w:val="center"/>
                </w:tcPr>
                <w:p w14:paraId="4A7046B4">
                  <w:pPr>
                    <w:snapToGrid w:val="0"/>
                    <w:jc w:val="center"/>
                    <w:rPr>
                      <w:color w:val="auto"/>
                      <w:szCs w:val="21"/>
                      <w:highlight w:val="none"/>
                    </w:rPr>
                  </w:pPr>
                  <w:r>
                    <w:rPr>
                      <w:rFonts w:hint="eastAsia"/>
                      <w:color w:val="auto"/>
                      <w:szCs w:val="21"/>
                      <w:highlight w:val="none"/>
                    </w:rPr>
                    <w:t>污染物</w:t>
                  </w:r>
                </w:p>
              </w:tc>
              <w:tc>
                <w:tcPr>
                  <w:tcW w:w="1055" w:type="dxa"/>
                  <w:vAlign w:val="center"/>
                </w:tcPr>
                <w:p w14:paraId="3ACD4F4E">
                  <w:pPr>
                    <w:snapToGrid w:val="0"/>
                    <w:jc w:val="center"/>
                    <w:rPr>
                      <w:color w:val="auto"/>
                      <w:szCs w:val="21"/>
                      <w:highlight w:val="none"/>
                    </w:rPr>
                  </w:pPr>
                  <w:r>
                    <w:rPr>
                      <w:rFonts w:hint="eastAsia"/>
                      <w:color w:val="auto"/>
                      <w:szCs w:val="21"/>
                      <w:highlight w:val="none"/>
                    </w:rPr>
                    <w:t>排放量</w:t>
                  </w:r>
                </w:p>
              </w:tc>
              <w:tc>
                <w:tcPr>
                  <w:tcW w:w="1083" w:type="dxa"/>
                  <w:vAlign w:val="center"/>
                </w:tcPr>
                <w:p w14:paraId="7028DAE1">
                  <w:pPr>
                    <w:snapToGrid w:val="0"/>
                    <w:jc w:val="center"/>
                    <w:rPr>
                      <w:color w:val="auto"/>
                      <w:szCs w:val="21"/>
                      <w:highlight w:val="none"/>
                    </w:rPr>
                  </w:pPr>
                  <w:r>
                    <w:rPr>
                      <w:rFonts w:hint="eastAsia"/>
                      <w:color w:val="auto"/>
                      <w:szCs w:val="21"/>
                      <w:highlight w:val="none"/>
                    </w:rPr>
                    <w:t>排放浓度</w:t>
                  </w:r>
                </w:p>
              </w:tc>
              <w:tc>
                <w:tcPr>
                  <w:tcW w:w="984" w:type="dxa"/>
                  <w:vAlign w:val="center"/>
                </w:tcPr>
                <w:p w14:paraId="1FDB74FE">
                  <w:pPr>
                    <w:snapToGrid w:val="0"/>
                    <w:jc w:val="center"/>
                    <w:rPr>
                      <w:color w:val="auto"/>
                      <w:szCs w:val="21"/>
                      <w:highlight w:val="none"/>
                    </w:rPr>
                  </w:pPr>
                  <w:r>
                    <w:rPr>
                      <w:rFonts w:hint="eastAsia"/>
                      <w:color w:val="auto"/>
                      <w:szCs w:val="21"/>
                      <w:highlight w:val="none"/>
                    </w:rPr>
                    <w:t>排放速率</w:t>
                  </w:r>
                </w:p>
              </w:tc>
              <w:tc>
                <w:tcPr>
                  <w:tcW w:w="2000" w:type="dxa"/>
                  <w:vAlign w:val="center"/>
                </w:tcPr>
                <w:p w14:paraId="5CC5BD06">
                  <w:pPr>
                    <w:snapToGrid w:val="0"/>
                    <w:jc w:val="center"/>
                    <w:rPr>
                      <w:color w:val="auto"/>
                      <w:szCs w:val="21"/>
                      <w:highlight w:val="none"/>
                    </w:rPr>
                  </w:pPr>
                  <w:r>
                    <w:rPr>
                      <w:rFonts w:hint="eastAsia"/>
                      <w:color w:val="auto"/>
                      <w:szCs w:val="21"/>
                      <w:highlight w:val="none"/>
                    </w:rPr>
                    <w:t>非正常排放原因</w:t>
                  </w:r>
                </w:p>
              </w:tc>
              <w:tc>
                <w:tcPr>
                  <w:tcW w:w="900" w:type="dxa"/>
                  <w:vAlign w:val="center"/>
                </w:tcPr>
                <w:p w14:paraId="7D967F11">
                  <w:pPr>
                    <w:snapToGrid w:val="0"/>
                    <w:jc w:val="center"/>
                    <w:rPr>
                      <w:color w:val="auto"/>
                      <w:szCs w:val="21"/>
                      <w:highlight w:val="none"/>
                    </w:rPr>
                  </w:pPr>
                  <w:r>
                    <w:rPr>
                      <w:rFonts w:hint="eastAsia"/>
                      <w:color w:val="auto"/>
                      <w:szCs w:val="21"/>
                      <w:highlight w:val="none"/>
                    </w:rPr>
                    <w:t>单次持续时间</w:t>
                  </w:r>
                </w:p>
              </w:tc>
              <w:tc>
                <w:tcPr>
                  <w:tcW w:w="831" w:type="dxa"/>
                  <w:vAlign w:val="center"/>
                </w:tcPr>
                <w:p w14:paraId="1ED20620">
                  <w:pPr>
                    <w:snapToGrid w:val="0"/>
                    <w:jc w:val="center"/>
                    <w:rPr>
                      <w:color w:val="auto"/>
                      <w:szCs w:val="21"/>
                      <w:highlight w:val="none"/>
                    </w:rPr>
                  </w:pPr>
                  <w:r>
                    <w:rPr>
                      <w:rFonts w:hint="eastAsia"/>
                      <w:color w:val="auto"/>
                      <w:szCs w:val="21"/>
                      <w:highlight w:val="none"/>
                    </w:rPr>
                    <w:t>年发生</w:t>
                  </w:r>
                </w:p>
                <w:p w14:paraId="3F049E9F">
                  <w:pPr>
                    <w:snapToGrid w:val="0"/>
                    <w:jc w:val="center"/>
                    <w:rPr>
                      <w:color w:val="auto"/>
                      <w:szCs w:val="21"/>
                      <w:highlight w:val="none"/>
                    </w:rPr>
                  </w:pPr>
                  <w:r>
                    <w:rPr>
                      <w:rFonts w:hint="eastAsia"/>
                      <w:color w:val="auto"/>
                      <w:szCs w:val="21"/>
                      <w:highlight w:val="none"/>
                    </w:rPr>
                    <w:t>频次</w:t>
                  </w:r>
                </w:p>
              </w:tc>
            </w:tr>
            <w:tr w14:paraId="2EAF5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687E8CC1">
                  <w:pPr>
                    <w:widowControl/>
                    <w:jc w:val="center"/>
                    <w:rPr>
                      <w:rFonts w:hint="eastAsia" w:eastAsia="宋体"/>
                      <w:color w:val="auto"/>
                      <w:kern w:val="0"/>
                      <w:szCs w:val="21"/>
                      <w:highlight w:val="none"/>
                      <w:lang w:eastAsia="zh-CN"/>
                    </w:rPr>
                  </w:pPr>
                  <w:r>
                    <w:rPr>
                      <w:rFonts w:hint="eastAsia"/>
                      <w:color w:val="auto"/>
                      <w:kern w:val="0"/>
                      <w:szCs w:val="21"/>
                      <w:highlight w:val="none"/>
                      <w:lang w:eastAsia="zh-CN"/>
                    </w:rPr>
                    <w:t>彩砂及钙粉生产线</w:t>
                  </w:r>
                </w:p>
              </w:tc>
              <w:tc>
                <w:tcPr>
                  <w:tcW w:w="750" w:type="dxa"/>
                  <w:vAlign w:val="center"/>
                </w:tcPr>
                <w:p w14:paraId="6BDDEADC">
                  <w:pPr>
                    <w:widowControl/>
                    <w:jc w:val="center"/>
                    <w:rPr>
                      <w:color w:val="auto"/>
                      <w:szCs w:val="21"/>
                      <w:highlight w:val="none"/>
                    </w:rPr>
                  </w:pPr>
                  <w:r>
                    <w:rPr>
                      <w:color w:val="auto"/>
                      <w:kern w:val="0"/>
                      <w:szCs w:val="21"/>
                      <w:highlight w:val="none"/>
                    </w:rPr>
                    <w:t>颗粒物</w:t>
                  </w:r>
                </w:p>
              </w:tc>
              <w:tc>
                <w:tcPr>
                  <w:tcW w:w="1055" w:type="dxa"/>
                  <w:vAlign w:val="center"/>
                </w:tcPr>
                <w:p w14:paraId="3BF49014">
                  <w:pPr>
                    <w:snapToGrid w:val="0"/>
                    <w:jc w:val="center"/>
                    <w:rPr>
                      <w:color w:val="auto"/>
                      <w:szCs w:val="21"/>
                      <w:highlight w:val="none"/>
                    </w:rPr>
                  </w:pPr>
                  <w:r>
                    <w:rPr>
                      <w:rFonts w:hint="eastAsia"/>
                      <w:color w:val="auto"/>
                      <w:kern w:val="0"/>
                      <w:szCs w:val="21"/>
                      <w:highlight w:val="none"/>
                      <w:lang w:val="en-US" w:eastAsia="zh-CN"/>
                    </w:rPr>
                    <w:t>5.55</w:t>
                  </w:r>
                  <w:r>
                    <w:rPr>
                      <w:rFonts w:hint="eastAsia"/>
                      <w:color w:val="auto"/>
                      <w:kern w:val="0"/>
                      <w:szCs w:val="21"/>
                      <w:highlight w:val="none"/>
                    </w:rPr>
                    <w:t>kg</w:t>
                  </w:r>
                  <w:r>
                    <w:rPr>
                      <w:color w:val="auto"/>
                      <w:kern w:val="0"/>
                      <w:szCs w:val="21"/>
                      <w:highlight w:val="none"/>
                    </w:rPr>
                    <w:t>/</w:t>
                  </w:r>
                  <w:r>
                    <w:rPr>
                      <w:rFonts w:hint="eastAsia"/>
                      <w:color w:val="auto"/>
                      <w:kern w:val="0"/>
                      <w:szCs w:val="21"/>
                      <w:highlight w:val="none"/>
                    </w:rPr>
                    <w:t>次</w:t>
                  </w:r>
                </w:p>
              </w:tc>
              <w:tc>
                <w:tcPr>
                  <w:tcW w:w="1083" w:type="dxa"/>
                  <w:vAlign w:val="center"/>
                </w:tcPr>
                <w:p w14:paraId="7CF031CF">
                  <w:pPr>
                    <w:snapToGrid w:val="0"/>
                    <w:jc w:val="center"/>
                    <w:rPr>
                      <w:color w:val="auto"/>
                      <w:szCs w:val="21"/>
                      <w:highlight w:val="none"/>
                    </w:rPr>
                  </w:pPr>
                  <w:r>
                    <w:rPr>
                      <w:rFonts w:hint="eastAsia"/>
                      <w:color w:val="auto"/>
                      <w:szCs w:val="21"/>
                      <w:highlight w:val="none"/>
                      <w:lang w:val="en-US" w:eastAsia="zh-CN"/>
                    </w:rPr>
                    <w:t>1110</w:t>
                  </w:r>
                  <w:r>
                    <w:rPr>
                      <w:rFonts w:hint="eastAsia"/>
                      <w:color w:val="auto"/>
                      <w:szCs w:val="21"/>
                      <w:highlight w:val="none"/>
                    </w:rPr>
                    <w:t>mg/m</w:t>
                  </w:r>
                  <w:r>
                    <w:rPr>
                      <w:rFonts w:hint="eastAsia"/>
                      <w:color w:val="auto"/>
                      <w:szCs w:val="21"/>
                      <w:highlight w:val="none"/>
                      <w:vertAlign w:val="superscript"/>
                    </w:rPr>
                    <w:t>3</w:t>
                  </w:r>
                </w:p>
              </w:tc>
              <w:tc>
                <w:tcPr>
                  <w:tcW w:w="984" w:type="dxa"/>
                  <w:vAlign w:val="center"/>
                </w:tcPr>
                <w:p w14:paraId="2358EBD5">
                  <w:pPr>
                    <w:snapToGrid w:val="0"/>
                    <w:jc w:val="center"/>
                    <w:rPr>
                      <w:color w:val="auto"/>
                      <w:szCs w:val="21"/>
                      <w:highlight w:val="none"/>
                    </w:rPr>
                  </w:pPr>
                  <w:r>
                    <w:rPr>
                      <w:rFonts w:hint="eastAsia"/>
                      <w:color w:val="auto"/>
                      <w:kern w:val="0"/>
                      <w:szCs w:val="21"/>
                      <w:highlight w:val="none"/>
                      <w:lang w:val="en-US" w:eastAsia="zh-CN"/>
                    </w:rPr>
                    <w:t>5.55</w:t>
                  </w:r>
                  <w:r>
                    <w:rPr>
                      <w:rFonts w:hint="eastAsia"/>
                      <w:color w:val="auto"/>
                      <w:szCs w:val="21"/>
                      <w:highlight w:val="none"/>
                    </w:rPr>
                    <w:t>kg/h</w:t>
                  </w:r>
                </w:p>
              </w:tc>
              <w:tc>
                <w:tcPr>
                  <w:tcW w:w="2000" w:type="dxa"/>
                  <w:vAlign w:val="center"/>
                </w:tcPr>
                <w:p w14:paraId="5CD22CFB">
                  <w:pPr>
                    <w:snapToGrid w:val="0"/>
                    <w:jc w:val="center"/>
                    <w:rPr>
                      <w:color w:val="auto"/>
                      <w:szCs w:val="21"/>
                      <w:highlight w:val="none"/>
                    </w:rPr>
                  </w:pPr>
                  <w:r>
                    <w:rPr>
                      <w:rFonts w:hint="eastAsia"/>
                      <w:color w:val="auto"/>
                      <w:szCs w:val="21"/>
                      <w:highlight w:val="none"/>
                    </w:rPr>
                    <w:t>集气或布袋除尘设施失效，效率为0情况</w:t>
                  </w:r>
                </w:p>
              </w:tc>
              <w:tc>
                <w:tcPr>
                  <w:tcW w:w="900" w:type="dxa"/>
                  <w:vAlign w:val="center"/>
                </w:tcPr>
                <w:p w14:paraId="7A742E70">
                  <w:pPr>
                    <w:snapToGrid w:val="0"/>
                    <w:jc w:val="center"/>
                    <w:rPr>
                      <w:color w:val="auto"/>
                      <w:szCs w:val="21"/>
                      <w:highlight w:val="none"/>
                    </w:rPr>
                  </w:pPr>
                  <w:r>
                    <w:rPr>
                      <w:rFonts w:hint="eastAsia"/>
                      <w:color w:val="auto"/>
                      <w:szCs w:val="21"/>
                      <w:highlight w:val="none"/>
                    </w:rPr>
                    <w:t>1h</w:t>
                  </w:r>
                </w:p>
              </w:tc>
              <w:tc>
                <w:tcPr>
                  <w:tcW w:w="831" w:type="dxa"/>
                  <w:vAlign w:val="center"/>
                </w:tcPr>
                <w:p w14:paraId="410B56AA">
                  <w:pPr>
                    <w:snapToGrid w:val="0"/>
                    <w:jc w:val="center"/>
                    <w:rPr>
                      <w:color w:val="auto"/>
                      <w:szCs w:val="21"/>
                      <w:highlight w:val="none"/>
                    </w:rPr>
                  </w:pPr>
                  <w:r>
                    <w:rPr>
                      <w:rFonts w:hint="eastAsia"/>
                      <w:color w:val="auto"/>
                      <w:szCs w:val="21"/>
                      <w:highlight w:val="none"/>
                    </w:rPr>
                    <w:t>1~2次</w:t>
                  </w:r>
                </w:p>
              </w:tc>
            </w:tr>
            <w:tr w14:paraId="66BA3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33CD7F7D">
                  <w:pPr>
                    <w:widowControl/>
                    <w:jc w:val="center"/>
                    <w:rPr>
                      <w:rFonts w:hint="eastAsia"/>
                      <w:color w:val="auto"/>
                      <w:kern w:val="0"/>
                      <w:szCs w:val="21"/>
                      <w:highlight w:val="none"/>
                      <w:lang w:eastAsia="zh-CN"/>
                    </w:rPr>
                  </w:pPr>
                  <w:r>
                    <w:rPr>
                      <w:rFonts w:hint="eastAsia"/>
                      <w:color w:val="auto"/>
                      <w:kern w:val="0"/>
                      <w:szCs w:val="21"/>
                      <w:highlight w:val="none"/>
                      <w:lang w:eastAsia="zh-CN"/>
                    </w:rPr>
                    <w:t>腻子粉及石膏</w:t>
                  </w:r>
                </w:p>
                <w:p w14:paraId="3DC34B6A">
                  <w:pPr>
                    <w:widowControl/>
                    <w:jc w:val="center"/>
                    <w:rPr>
                      <w:color w:val="auto"/>
                      <w:kern w:val="0"/>
                      <w:szCs w:val="21"/>
                      <w:highlight w:val="none"/>
                    </w:rPr>
                  </w:pPr>
                  <w:r>
                    <w:rPr>
                      <w:rFonts w:hint="eastAsia"/>
                      <w:color w:val="auto"/>
                      <w:kern w:val="0"/>
                      <w:szCs w:val="21"/>
                      <w:highlight w:val="none"/>
                      <w:lang w:eastAsia="zh-CN"/>
                    </w:rPr>
                    <w:t>生产线</w:t>
                  </w:r>
                </w:p>
              </w:tc>
              <w:tc>
                <w:tcPr>
                  <w:tcW w:w="750" w:type="dxa"/>
                  <w:vAlign w:val="center"/>
                </w:tcPr>
                <w:p w14:paraId="067EFFBE">
                  <w:pPr>
                    <w:widowControl/>
                    <w:jc w:val="center"/>
                    <w:rPr>
                      <w:color w:val="auto"/>
                      <w:kern w:val="0"/>
                      <w:szCs w:val="21"/>
                      <w:highlight w:val="none"/>
                    </w:rPr>
                  </w:pPr>
                  <w:r>
                    <w:rPr>
                      <w:color w:val="auto"/>
                      <w:kern w:val="0"/>
                      <w:szCs w:val="21"/>
                      <w:highlight w:val="none"/>
                    </w:rPr>
                    <w:t>颗粒物</w:t>
                  </w:r>
                </w:p>
              </w:tc>
              <w:tc>
                <w:tcPr>
                  <w:tcW w:w="1055" w:type="dxa"/>
                  <w:vAlign w:val="center"/>
                </w:tcPr>
                <w:p w14:paraId="0D40061A">
                  <w:pPr>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11.25</w:t>
                  </w:r>
                  <w:r>
                    <w:rPr>
                      <w:rFonts w:hint="eastAsia"/>
                      <w:color w:val="auto"/>
                      <w:kern w:val="0"/>
                      <w:szCs w:val="21"/>
                      <w:highlight w:val="none"/>
                    </w:rPr>
                    <w:t>kg</w:t>
                  </w:r>
                  <w:r>
                    <w:rPr>
                      <w:color w:val="auto"/>
                      <w:kern w:val="0"/>
                      <w:szCs w:val="21"/>
                      <w:highlight w:val="none"/>
                    </w:rPr>
                    <w:t>/</w:t>
                  </w:r>
                  <w:r>
                    <w:rPr>
                      <w:rFonts w:hint="eastAsia"/>
                      <w:color w:val="auto"/>
                      <w:kern w:val="0"/>
                      <w:szCs w:val="21"/>
                      <w:highlight w:val="none"/>
                    </w:rPr>
                    <w:t>次</w:t>
                  </w:r>
                </w:p>
              </w:tc>
              <w:tc>
                <w:tcPr>
                  <w:tcW w:w="1083" w:type="dxa"/>
                  <w:vAlign w:val="center"/>
                </w:tcPr>
                <w:p w14:paraId="5D419293">
                  <w:pPr>
                    <w:snapToGrid w:val="0"/>
                    <w:jc w:val="center"/>
                    <w:rPr>
                      <w:rFonts w:hint="default"/>
                      <w:color w:val="auto"/>
                      <w:szCs w:val="21"/>
                      <w:highlight w:val="none"/>
                      <w:lang w:val="en-US" w:eastAsia="zh-CN"/>
                    </w:rPr>
                  </w:pPr>
                  <w:r>
                    <w:rPr>
                      <w:rFonts w:hint="eastAsia"/>
                      <w:color w:val="auto"/>
                      <w:szCs w:val="21"/>
                      <w:highlight w:val="none"/>
                      <w:lang w:val="en-US" w:eastAsia="zh-CN"/>
                    </w:rPr>
                    <w:t>1125</w:t>
                  </w:r>
                  <w:r>
                    <w:rPr>
                      <w:rFonts w:hint="eastAsia"/>
                      <w:color w:val="auto"/>
                      <w:szCs w:val="21"/>
                      <w:highlight w:val="none"/>
                    </w:rPr>
                    <w:t>mg/m</w:t>
                  </w:r>
                  <w:r>
                    <w:rPr>
                      <w:rFonts w:hint="eastAsia"/>
                      <w:color w:val="auto"/>
                      <w:szCs w:val="21"/>
                      <w:highlight w:val="none"/>
                      <w:vertAlign w:val="superscript"/>
                    </w:rPr>
                    <w:t>3</w:t>
                  </w:r>
                </w:p>
              </w:tc>
              <w:tc>
                <w:tcPr>
                  <w:tcW w:w="984" w:type="dxa"/>
                  <w:vAlign w:val="center"/>
                </w:tcPr>
                <w:p w14:paraId="40C26717">
                  <w:pPr>
                    <w:snapToGrid w:val="0"/>
                    <w:jc w:val="center"/>
                    <w:rPr>
                      <w:rFonts w:hint="eastAsia" w:eastAsia="宋体"/>
                      <w:color w:val="auto"/>
                      <w:szCs w:val="21"/>
                      <w:highlight w:val="none"/>
                      <w:lang w:val="en-US" w:eastAsia="zh-CN"/>
                    </w:rPr>
                  </w:pPr>
                  <w:r>
                    <w:rPr>
                      <w:rFonts w:hint="eastAsia"/>
                      <w:color w:val="auto"/>
                      <w:kern w:val="0"/>
                      <w:szCs w:val="21"/>
                      <w:highlight w:val="none"/>
                      <w:lang w:val="en-US" w:eastAsia="zh-CN"/>
                    </w:rPr>
                    <w:t>11.25</w:t>
                  </w:r>
                  <w:r>
                    <w:rPr>
                      <w:rFonts w:hint="eastAsia"/>
                      <w:color w:val="auto"/>
                      <w:kern w:val="0"/>
                      <w:szCs w:val="21"/>
                      <w:highlight w:val="none"/>
                    </w:rPr>
                    <w:t>kg</w:t>
                  </w:r>
                  <w:r>
                    <w:rPr>
                      <w:color w:val="auto"/>
                      <w:kern w:val="0"/>
                      <w:szCs w:val="21"/>
                      <w:highlight w:val="none"/>
                    </w:rPr>
                    <w:t>/</w:t>
                  </w:r>
                  <w:r>
                    <w:rPr>
                      <w:rFonts w:hint="eastAsia"/>
                      <w:color w:val="auto"/>
                      <w:kern w:val="0"/>
                      <w:szCs w:val="21"/>
                      <w:highlight w:val="none"/>
                      <w:lang w:val="en-US" w:eastAsia="zh-CN"/>
                    </w:rPr>
                    <w:t>h</w:t>
                  </w:r>
                </w:p>
              </w:tc>
              <w:tc>
                <w:tcPr>
                  <w:tcW w:w="2000" w:type="dxa"/>
                  <w:vAlign w:val="center"/>
                </w:tcPr>
                <w:p w14:paraId="5A24033E">
                  <w:pPr>
                    <w:snapToGrid w:val="0"/>
                    <w:jc w:val="center"/>
                    <w:rPr>
                      <w:rFonts w:hint="eastAsia"/>
                      <w:color w:val="auto"/>
                      <w:szCs w:val="21"/>
                      <w:highlight w:val="none"/>
                    </w:rPr>
                  </w:pPr>
                  <w:r>
                    <w:rPr>
                      <w:rFonts w:hint="eastAsia"/>
                      <w:color w:val="auto"/>
                      <w:szCs w:val="21"/>
                      <w:highlight w:val="none"/>
                    </w:rPr>
                    <w:t>集气或布袋除尘设施失效，效率为0情况</w:t>
                  </w:r>
                </w:p>
              </w:tc>
              <w:tc>
                <w:tcPr>
                  <w:tcW w:w="900" w:type="dxa"/>
                  <w:vAlign w:val="center"/>
                </w:tcPr>
                <w:p w14:paraId="10F7A0A3">
                  <w:pPr>
                    <w:snapToGrid w:val="0"/>
                    <w:jc w:val="center"/>
                    <w:rPr>
                      <w:rFonts w:hint="eastAsia"/>
                      <w:color w:val="auto"/>
                      <w:szCs w:val="21"/>
                      <w:highlight w:val="none"/>
                    </w:rPr>
                  </w:pPr>
                  <w:r>
                    <w:rPr>
                      <w:rFonts w:hint="eastAsia"/>
                      <w:color w:val="auto"/>
                      <w:szCs w:val="21"/>
                      <w:highlight w:val="none"/>
                    </w:rPr>
                    <w:t>1h</w:t>
                  </w:r>
                </w:p>
              </w:tc>
              <w:tc>
                <w:tcPr>
                  <w:tcW w:w="831" w:type="dxa"/>
                  <w:vAlign w:val="center"/>
                </w:tcPr>
                <w:p w14:paraId="62E37583">
                  <w:pPr>
                    <w:snapToGrid w:val="0"/>
                    <w:jc w:val="center"/>
                    <w:rPr>
                      <w:rFonts w:hint="eastAsia"/>
                      <w:color w:val="auto"/>
                      <w:szCs w:val="21"/>
                      <w:highlight w:val="none"/>
                    </w:rPr>
                  </w:pPr>
                  <w:r>
                    <w:rPr>
                      <w:rFonts w:hint="eastAsia"/>
                      <w:color w:val="auto"/>
                      <w:szCs w:val="21"/>
                      <w:highlight w:val="none"/>
                    </w:rPr>
                    <w:t>1~2次</w:t>
                  </w:r>
                </w:p>
              </w:tc>
            </w:tr>
            <w:tr w14:paraId="45C19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1BA40E75">
                  <w:pPr>
                    <w:widowControl/>
                    <w:jc w:val="center"/>
                    <w:rPr>
                      <w:rFonts w:hint="eastAsia"/>
                      <w:color w:val="auto"/>
                      <w:kern w:val="0"/>
                      <w:szCs w:val="21"/>
                      <w:highlight w:val="none"/>
                      <w:lang w:eastAsia="zh-CN"/>
                    </w:rPr>
                  </w:pPr>
                  <w:r>
                    <w:rPr>
                      <w:rFonts w:hint="eastAsia"/>
                      <w:color w:val="auto"/>
                      <w:kern w:val="0"/>
                      <w:szCs w:val="21"/>
                      <w:highlight w:val="none"/>
                      <w:lang w:eastAsia="zh-CN"/>
                    </w:rPr>
                    <w:t>砂浆</w:t>
                  </w:r>
                </w:p>
                <w:p w14:paraId="2805AEA3">
                  <w:pPr>
                    <w:widowControl/>
                    <w:jc w:val="center"/>
                    <w:rPr>
                      <w:rFonts w:hint="eastAsia"/>
                      <w:color w:val="auto"/>
                      <w:kern w:val="0"/>
                      <w:szCs w:val="21"/>
                      <w:highlight w:val="none"/>
                      <w:lang w:eastAsia="zh-CN"/>
                    </w:rPr>
                  </w:pPr>
                  <w:r>
                    <w:rPr>
                      <w:rFonts w:hint="eastAsia"/>
                      <w:color w:val="auto"/>
                      <w:kern w:val="0"/>
                      <w:szCs w:val="21"/>
                      <w:highlight w:val="none"/>
                      <w:lang w:eastAsia="zh-CN"/>
                    </w:rPr>
                    <w:t>生产线</w:t>
                  </w:r>
                </w:p>
              </w:tc>
              <w:tc>
                <w:tcPr>
                  <w:tcW w:w="750" w:type="dxa"/>
                  <w:vAlign w:val="center"/>
                </w:tcPr>
                <w:p w14:paraId="403C4392">
                  <w:pPr>
                    <w:widowControl/>
                    <w:jc w:val="center"/>
                    <w:rPr>
                      <w:color w:val="auto"/>
                      <w:kern w:val="0"/>
                      <w:szCs w:val="21"/>
                      <w:highlight w:val="none"/>
                    </w:rPr>
                  </w:pPr>
                  <w:r>
                    <w:rPr>
                      <w:color w:val="auto"/>
                      <w:kern w:val="0"/>
                      <w:szCs w:val="21"/>
                      <w:highlight w:val="none"/>
                    </w:rPr>
                    <w:t>颗粒物</w:t>
                  </w:r>
                </w:p>
              </w:tc>
              <w:tc>
                <w:tcPr>
                  <w:tcW w:w="1055" w:type="dxa"/>
                  <w:vAlign w:val="center"/>
                </w:tcPr>
                <w:p w14:paraId="6543EBB0">
                  <w:pPr>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3.375</w:t>
                  </w:r>
                  <w:r>
                    <w:rPr>
                      <w:rFonts w:hint="eastAsia"/>
                      <w:color w:val="auto"/>
                      <w:kern w:val="0"/>
                      <w:szCs w:val="21"/>
                      <w:highlight w:val="none"/>
                    </w:rPr>
                    <w:t>kg</w:t>
                  </w:r>
                  <w:r>
                    <w:rPr>
                      <w:color w:val="auto"/>
                      <w:kern w:val="0"/>
                      <w:szCs w:val="21"/>
                      <w:highlight w:val="none"/>
                    </w:rPr>
                    <w:t>/</w:t>
                  </w:r>
                  <w:r>
                    <w:rPr>
                      <w:rFonts w:hint="eastAsia"/>
                      <w:color w:val="auto"/>
                      <w:kern w:val="0"/>
                      <w:szCs w:val="21"/>
                      <w:highlight w:val="none"/>
                    </w:rPr>
                    <w:t>次</w:t>
                  </w:r>
                </w:p>
              </w:tc>
              <w:tc>
                <w:tcPr>
                  <w:tcW w:w="1083" w:type="dxa"/>
                  <w:vAlign w:val="center"/>
                </w:tcPr>
                <w:p w14:paraId="71BC7E05">
                  <w:pPr>
                    <w:snapToGrid w:val="0"/>
                    <w:jc w:val="center"/>
                    <w:rPr>
                      <w:rFonts w:hint="default"/>
                      <w:color w:val="auto"/>
                      <w:szCs w:val="21"/>
                      <w:highlight w:val="none"/>
                      <w:lang w:val="en-US" w:eastAsia="zh-CN"/>
                    </w:rPr>
                  </w:pPr>
                  <w:r>
                    <w:rPr>
                      <w:rFonts w:hint="eastAsia"/>
                      <w:color w:val="auto"/>
                      <w:szCs w:val="21"/>
                      <w:highlight w:val="none"/>
                      <w:lang w:val="en-US" w:eastAsia="zh-CN"/>
                    </w:rPr>
                    <w:t>337.5</w:t>
                  </w:r>
                  <w:r>
                    <w:rPr>
                      <w:rFonts w:hint="eastAsia"/>
                      <w:color w:val="auto"/>
                      <w:szCs w:val="21"/>
                      <w:highlight w:val="none"/>
                    </w:rPr>
                    <w:t>mg/m</w:t>
                  </w:r>
                  <w:r>
                    <w:rPr>
                      <w:rFonts w:hint="eastAsia"/>
                      <w:color w:val="auto"/>
                      <w:szCs w:val="21"/>
                      <w:highlight w:val="none"/>
                      <w:vertAlign w:val="superscript"/>
                    </w:rPr>
                    <w:t>3</w:t>
                  </w:r>
                </w:p>
              </w:tc>
              <w:tc>
                <w:tcPr>
                  <w:tcW w:w="984" w:type="dxa"/>
                  <w:vAlign w:val="center"/>
                </w:tcPr>
                <w:p w14:paraId="1992C806">
                  <w:pPr>
                    <w:snapToGrid w:val="0"/>
                    <w:jc w:val="center"/>
                    <w:rPr>
                      <w:rFonts w:hint="default"/>
                      <w:color w:val="auto"/>
                      <w:szCs w:val="21"/>
                      <w:highlight w:val="none"/>
                      <w:lang w:val="en-US" w:eastAsia="zh-CN"/>
                    </w:rPr>
                  </w:pPr>
                  <w:r>
                    <w:rPr>
                      <w:rFonts w:hint="eastAsia"/>
                      <w:color w:val="auto"/>
                      <w:szCs w:val="21"/>
                      <w:highlight w:val="none"/>
                      <w:lang w:val="en-US" w:eastAsia="zh-CN"/>
                    </w:rPr>
                    <w:t>3.375</w:t>
                  </w:r>
                  <w:r>
                    <w:rPr>
                      <w:rFonts w:hint="eastAsia"/>
                      <w:color w:val="auto"/>
                      <w:kern w:val="0"/>
                      <w:szCs w:val="21"/>
                      <w:highlight w:val="none"/>
                    </w:rPr>
                    <w:t>kg</w:t>
                  </w:r>
                  <w:r>
                    <w:rPr>
                      <w:color w:val="auto"/>
                      <w:kern w:val="0"/>
                      <w:szCs w:val="21"/>
                      <w:highlight w:val="none"/>
                    </w:rPr>
                    <w:t>/</w:t>
                  </w:r>
                  <w:r>
                    <w:rPr>
                      <w:rFonts w:hint="eastAsia"/>
                      <w:color w:val="auto"/>
                      <w:kern w:val="0"/>
                      <w:szCs w:val="21"/>
                      <w:highlight w:val="none"/>
                      <w:lang w:val="en-US" w:eastAsia="zh-CN"/>
                    </w:rPr>
                    <w:t>h</w:t>
                  </w:r>
                </w:p>
              </w:tc>
              <w:tc>
                <w:tcPr>
                  <w:tcW w:w="2000" w:type="dxa"/>
                  <w:vAlign w:val="center"/>
                </w:tcPr>
                <w:p w14:paraId="3E24F7C3">
                  <w:pPr>
                    <w:snapToGrid w:val="0"/>
                    <w:jc w:val="center"/>
                    <w:rPr>
                      <w:rFonts w:hint="eastAsia"/>
                      <w:color w:val="auto"/>
                      <w:szCs w:val="21"/>
                      <w:highlight w:val="none"/>
                    </w:rPr>
                  </w:pPr>
                  <w:r>
                    <w:rPr>
                      <w:rFonts w:hint="eastAsia"/>
                      <w:color w:val="auto"/>
                      <w:szCs w:val="21"/>
                      <w:highlight w:val="none"/>
                    </w:rPr>
                    <w:t>集气或布袋除尘设施失效，效率为0情况</w:t>
                  </w:r>
                </w:p>
              </w:tc>
              <w:tc>
                <w:tcPr>
                  <w:tcW w:w="900" w:type="dxa"/>
                  <w:vAlign w:val="center"/>
                </w:tcPr>
                <w:p w14:paraId="312D2341">
                  <w:pPr>
                    <w:snapToGrid w:val="0"/>
                    <w:jc w:val="center"/>
                    <w:rPr>
                      <w:rFonts w:hint="eastAsia"/>
                      <w:color w:val="auto"/>
                      <w:szCs w:val="21"/>
                      <w:highlight w:val="none"/>
                    </w:rPr>
                  </w:pPr>
                  <w:r>
                    <w:rPr>
                      <w:rFonts w:hint="eastAsia"/>
                      <w:color w:val="auto"/>
                      <w:szCs w:val="21"/>
                      <w:highlight w:val="none"/>
                    </w:rPr>
                    <w:t>1h</w:t>
                  </w:r>
                </w:p>
              </w:tc>
              <w:tc>
                <w:tcPr>
                  <w:tcW w:w="831" w:type="dxa"/>
                  <w:vAlign w:val="center"/>
                </w:tcPr>
                <w:p w14:paraId="10D31999">
                  <w:pPr>
                    <w:snapToGrid w:val="0"/>
                    <w:jc w:val="center"/>
                    <w:rPr>
                      <w:rFonts w:hint="eastAsia"/>
                      <w:color w:val="auto"/>
                      <w:szCs w:val="21"/>
                      <w:highlight w:val="none"/>
                    </w:rPr>
                  </w:pPr>
                  <w:r>
                    <w:rPr>
                      <w:rFonts w:hint="eastAsia"/>
                      <w:color w:val="auto"/>
                      <w:szCs w:val="21"/>
                      <w:highlight w:val="none"/>
                    </w:rPr>
                    <w:t>1~2次</w:t>
                  </w:r>
                </w:p>
              </w:tc>
            </w:tr>
          </w:tbl>
          <w:p w14:paraId="1279916A">
            <w:pPr>
              <w:adjustRightInd w:val="0"/>
              <w:snapToGrid w:val="0"/>
              <w:spacing w:line="360" w:lineRule="auto"/>
              <w:ind w:firstLine="480" w:firstLineChars="200"/>
              <w:rPr>
                <w:color w:val="auto"/>
                <w:sz w:val="24"/>
                <w:highlight w:val="none"/>
              </w:rPr>
            </w:pPr>
            <w:r>
              <w:rPr>
                <w:rFonts w:hint="eastAsia"/>
                <w:color w:val="auto"/>
                <w:sz w:val="24"/>
                <w:highlight w:val="none"/>
              </w:rPr>
              <w:t>遇此情况，环评建议企业应立即停止生产并采取如下措施：</w:t>
            </w:r>
          </w:p>
          <w:p w14:paraId="3D0497F3">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发生废气非正常排放后立即停止生产，确保将废气污染控制在最小范围；</w:t>
            </w:r>
          </w:p>
          <w:p w14:paraId="6DDF4932">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②企业应按照环评要求定期检查集气设施和布袋除尘器，确保其正常运行</w:t>
            </w:r>
            <w:r>
              <w:rPr>
                <w:rFonts w:hint="eastAsia"/>
                <w:color w:val="auto"/>
                <w:sz w:val="24"/>
                <w:highlight w:val="none"/>
              </w:rPr>
              <w:t>；</w:t>
            </w:r>
          </w:p>
          <w:p w14:paraId="335E0A59">
            <w:pPr>
              <w:snapToGrid w:val="0"/>
              <w:spacing w:line="360" w:lineRule="auto"/>
              <w:ind w:firstLine="480" w:firstLineChars="200"/>
              <w:rPr>
                <w:rFonts w:hint="eastAsia"/>
                <w:b/>
                <w:color w:val="auto"/>
                <w:kern w:val="0"/>
                <w:sz w:val="24"/>
                <w:highlight w:val="none"/>
              </w:rPr>
            </w:pPr>
            <w:r>
              <w:rPr>
                <w:rFonts w:hint="eastAsia" w:ascii="宋体" w:hAnsi="宋体" w:cs="宋体"/>
                <w:color w:val="auto"/>
                <w:sz w:val="24"/>
                <w:highlight w:val="none"/>
              </w:rPr>
              <w:t>③</w:t>
            </w:r>
            <w:r>
              <w:rPr>
                <w:rFonts w:hint="eastAsia"/>
                <w:color w:val="auto"/>
                <w:sz w:val="24"/>
                <w:highlight w:val="none"/>
              </w:rPr>
              <w:t>按照监测要求对项目废气定期进行检测，防止废气超标排放</w:t>
            </w:r>
            <w:r>
              <w:rPr>
                <w:rFonts w:hint="eastAsia" w:ascii="宋体" w:hAnsi="宋体" w:cs="宋体"/>
                <w:color w:val="auto"/>
                <w:sz w:val="24"/>
                <w:highlight w:val="none"/>
              </w:rPr>
              <w:t>。</w:t>
            </w:r>
          </w:p>
          <w:p w14:paraId="646C6BBB">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二</w:t>
            </w:r>
            <w:r>
              <w:rPr>
                <w:rFonts w:hint="eastAsia"/>
                <w:b/>
                <w:color w:val="auto"/>
                <w:kern w:val="0"/>
                <w:sz w:val="24"/>
                <w:highlight w:val="none"/>
              </w:rPr>
              <w:t>）地表</w:t>
            </w:r>
            <w:r>
              <w:rPr>
                <w:b/>
                <w:color w:val="auto"/>
                <w:kern w:val="0"/>
                <w:sz w:val="24"/>
                <w:highlight w:val="none"/>
              </w:rPr>
              <w:t>水环境影响分析</w:t>
            </w:r>
          </w:p>
          <w:p w14:paraId="0EE2B275">
            <w:pPr>
              <w:spacing w:line="360" w:lineRule="auto"/>
              <w:ind w:firstLine="482"/>
              <w:rPr>
                <w:color w:val="auto"/>
                <w:sz w:val="24"/>
                <w:highlight w:val="none"/>
              </w:rPr>
            </w:pPr>
            <w:r>
              <w:rPr>
                <w:rFonts w:hint="eastAsia"/>
                <w:color w:val="auto"/>
                <w:sz w:val="24"/>
                <w:highlight w:val="none"/>
              </w:rPr>
              <w:t>由于厂区道路抑尘用水最终会蒸发，因此该过程无废水产生，故</w:t>
            </w:r>
            <w:r>
              <w:rPr>
                <w:color w:val="auto"/>
                <w:sz w:val="24"/>
                <w:highlight w:val="none"/>
              </w:rPr>
              <w:t>项目运营期废水主要包括</w:t>
            </w:r>
            <w:r>
              <w:rPr>
                <w:rFonts w:hint="eastAsia"/>
                <w:color w:val="auto"/>
                <w:sz w:val="24"/>
                <w:highlight w:val="none"/>
              </w:rPr>
              <w:t>车辆冲洗废水</w:t>
            </w:r>
            <w:r>
              <w:rPr>
                <w:color w:val="auto"/>
                <w:sz w:val="24"/>
                <w:highlight w:val="none"/>
              </w:rPr>
              <w:t>和生活污水。</w:t>
            </w:r>
            <w:r>
              <w:rPr>
                <w:rFonts w:hint="eastAsia"/>
                <w:color w:val="auto"/>
                <w:sz w:val="24"/>
                <w:highlight w:val="none"/>
              </w:rPr>
              <w:t>具体分析如下：</w:t>
            </w:r>
          </w:p>
          <w:p w14:paraId="4515296C">
            <w:pPr>
              <w:adjustRightInd w:val="0"/>
              <w:spacing w:line="360" w:lineRule="auto"/>
              <w:ind w:firstLine="480" w:firstLineChars="200"/>
              <w:rPr>
                <w:color w:val="auto"/>
                <w:sz w:val="24"/>
                <w:highlight w:val="none"/>
              </w:rPr>
            </w:pPr>
            <w:r>
              <w:rPr>
                <w:rFonts w:hint="eastAsia"/>
                <w:color w:val="auto"/>
                <w:sz w:val="24"/>
                <w:highlight w:val="none"/>
                <w:lang w:val="en-US" w:eastAsia="zh-CN"/>
              </w:rPr>
              <w:t>1</w:t>
            </w:r>
            <w:r>
              <w:rPr>
                <w:rFonts w:hint="eastAsia"/>
                <w:color w:val="auto"/>
                <w:sz w:val="24"/>
                <w:highlight w:val="none"/>
              </w:rPr>
              <w:t>、</w:t>
            </w:r>
            <w:r>
              <w:rPr>
                <w:color w:val="auto"/>
                <w:sz w:val="24"/>
                <w:highlight w:val="none"/>
              </w:rPr>
              <w:t>车辆</w:t>
            </w:r>
            <w:r>
              <w:rPr>
                <w:rFonts w:hint="eastAsia"/>
                <w:color w:val="auto"/>
                <w:sz w:val="24"/>
                <w:highlight w:val="none"/>
              </w:rPr>
              <w:t>冲洗</w:t>
            </w:r>
            <w:r>
              <w:rPr>
                <w:color w:val="auto"/>
                <w:sz w:val="24"/>
                <w:highlight w:val="none"/>
              </w:rPr>
              <w:t>废水</w:t>
            </w:r>
          </w:p>
          <w:p w14:paraId="00696619">
            <w:pPr>
              <w:spacing w:line="360" w:lineRule="auto"/>
              <w:ind w:firstLine="482"/>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根据前文水平衡计算可知，</w:t>
            </w:r>
            <w:r>
              <w:rPr>
                <w:rFonts w:hint="eastAsia" w:ascii="宋体" w:hAnsi="宋体" w:cs="宋体"/>
                <w:color w:val="auto"/>
                <w:kern w:val="0"/>
                <w:sz w:val="24"/>
                <w:highlight w:val="none"/>
                <w:lang w:eastAsia="zh-CN"/>
              </w:rPr>
              <w:t>现有工程</w:t>
            </w:r>
            <w:r>
              <w:rPr>
                <w:rFonts w:hint="eastAsia" w:ascii="宋体" w:hAnsi="宋体" w:cs="宋体"/>
                <w:color w:val="auto"/>
                <w:kern w:val="0"/>
                <w:sz w:val="24"/>
                <w:highlight w:val="none"/>
              </w:rPr>
              <w:t>车辆冲洗废水产生量</w:t>
            </w:r>
            <w:r>
              <w:rPr>
                <w:rFonts w:hint="default" w:ascii="Times New Roman" w:hAnsi="Times New Roman" w:eastAsia="宋体" w:cs="Times New Roman"/>
                <w:color w:val="auto"/>
                <w:kern w:val="0"/>
                <w:sz w:val="24"/>
                <w:highlight w:val="none"/>
              </w:rPr>
              <w:t>为</w:t>
            </w:r>
            <w:r>
              <w:rPr>
                <w:rFonts w:hint="default" w:ascii="Times New Roman" w:hAnsi="Times New Roman" w:eastAsia="宋体" w:cs="Times New Roman"/>
                <w:color w:val="auto"/>
                <w:kern w:val="0"/>
                <w:sz w:val="24"/>
                <w:highlight w:val="none"/>
                <w:lang w:val="en-US" w:eastAsia="zh-CN"/>
              </w:rPr>
              <w:t>1.8</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，新增工程</w:t>
            </w:r>
            <w:r>
              <w:rPr>
                <w:rFonts w:hint="eastAsia" w:ascii="宋体" w:hAnsi="宋体" w:cs="宋体"/>
                <w:color w:val="auto"/>
                <w:kern w:val="0"/>
                <w:sz w:val="24"/>
                <w:highlight w:val="none"/>
              </w:rPr>
              <w:t>车辆冲洗废水产生量</w:t>
            </w:r>
            <w:r>
              <w:rPr>
                <w:rFonts w:hint="default" w:ascii="Times New Roman" w:hAnsi="Times New Roman" w:eastAsia="宋体" w:cs="Times New Roman"/>
                <w:color w:val="auto"/>
                <w:kern w:val="0"/>
                <w:sz w:val="24"/>
                <w:highlight w:val="none"/>
              </w:rPr>
              <w:t>为</w:t>
            </w:r>
            <w:r>
              <w:rPr>
                <w:rFonts w:hint="eastAsia" w:eastAsia="宋体" w:cs="Times New Roman"/>
                <w:color w:val="auto"/>
                <w:kern w:val="0"/>
                <w:sz w:val="24"/>
                <w:highlight w:val="none"/>
                <w:lang w:val="en-US" w:eastAsia="zh-CN"/>
              </w:rPr>
              <w:t>3.45</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，合计</w:t>
            </w:r>
            <w:r>
              <w:rPr>
                <w:rFonts w:hint="eastAsia"/>
                <w:color w:val="auto"/>
                <w:kern w:val="0"/>
                <w:sz w:val="24"/>
                <w:highlight w:val="none"/>
                <w:lang w:val="en-US" w:eastAsia="zh-CN"/>
              </w:rPr>
              <w:t>5.25</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w:t>
            </w:r>
          </w:p>
          <w:p w14:paraId="103463A4">
            <w:pPr>
              <w:spacing w:line="360" w:lineRule="auto"/>
              <w:ind w:firstLine="482"/>
              <w:rPr>
                <w:rFonts w:eastAsia="新宋体"/>
                <w:b/>
                <w:bCs/>
                <w:color w:val="auto"/>
                <w:sz w:val="24"/>
                <w:szCs w:val="20"/>
                <w:highlight w:val="none"/>
              </w:rPr>
            </w:pPr>
            <w:r>
              <w:rPr>
                <w:rFonts w:hint="eastAsia" w:ascii="宋体" w:hAnsi="宋体" w:cs="宋体"/>
                <w:b/>
                <w:bCs/>
                <w:color w:val="auto"/>
                <w:kern w:val="0"/>
                <w:sz w:val="24"/>
                <w:highlight w:val="none"/>
              </w:rPr>
              <w:t>治理措施：</w:t>
            </w:r>
            <w:r>
              <w:rPr>
                <w:rFonts w:hint="eastAsia" w:ascii="宋体" w:hAnsi="宋体" w:cs="宋体"/>
                <w:b w:val="0"/>
                <w:bCs w:val="0"/>
                <w:color w:val="auto"/>
                <w:kern w:val="0"/>
                <w:sz w:val="24"/>
                <w:highlight w:val="none"/>
                <w:lang w:eastAsia="zh-CN"/>
              </w:rPr>
              <w:t>根据现场调查，</w:t>
            </w:r>
            <w:r>
              <w:rPr>
                <w:color w:val="auto"/>
                <w:kern w:val="0"/>
                <w:sz w:val="24"/>
                <w:highlight w:val="none"/>
              </w:rPr>
              <w:t>厂区</w:t>
            </w:r>
            <w:r>
              <w:rPr>
                <w:rFonts w:hint="eastAsia"/>
                <w:color w:val="auto"/>
                <w:kern w:val="0"/>
                <w:sz w:val="24"/>
                <w:highlight w:val="none"/>
                <w:lang w:eastAsia="zh-CN"/>
              </w:rPr>
              <w:t>现</w:t>
            </w:r>
            <w:r>
              <w:rPr>
                <w:color w:val="auto"/>
                <w:kern w:val="0"/>
                <w:sz w:val="24"/>
                <w:highlight w:val="none"/>
              </w:rPr>
              <w:t>配备</w:t>
            </w:r>
            <w:r>
              <w:rPr>
                <w:rFonts w:hint="eastAsia"/>
                <w:color w:val="auto"/>
                <w:kern w:val="0"/>
                <w:sz w:val="24"/>
                <w:highlight w:val="none"/>
                <w:lang w:eastAsia="zh-CN"/>
              </w:rPr>
              <w:t>有</w:t>
            </w:r>
            <w:r>
              <w:rPr>
                <w:color w:val="auto"/>
                <w:kern w:val="0"/>
                <w:sz w:val="24"/>
                <w:highlight w:val="none"/>
              </w:rPr>
              <w:t>专用沉淀池（</w:t>
            </w:r>
            <w:r>
              <w:rPr>
                <w:rFonts w:hint="eastAsia"/>
                <w:color w:val="auto"/>
                <w:kern w:val="0"/>
                <w:sz w:val="24"/>
                <w:highlight w:val="none"/>
                <w:lang w:val="en-US" w:eastAsia="zh-CN"/>
              </w:rPr>
              <w:t>6.0</w:t>
            </w:r>
            <w:r>
              <w:rPr>
                <w:color w:val="auto"/>
                <w:sz w:val="24"/>
                <w:highlight w:val="none"/>
              </w:rPr>
              <w:t>m</w:t>
            </w:r>
            <w:r>
              <w:rPr>
                <w:color w:val="auto"/>
                <w:sz w:val="24"/>
                <w:highlight w:val="none"/>
                <w:vertAlign w:val="superscript"/>
              </w:rPr>
              <w:t>3</w:t>
            </w:r>
            <w:r>
              <w:rPr>
                <w:color w:val="auto"/>
                <w:kern w:val="0"/>
                <w:sz w:val="24"/>
                <w:highlight w:val="none"/>
              </w:rPr>
              <w:t>）一个</w:t>
            </w:r>
            <w:r>
              <w:rPr>
                <w:color w:val="auto"/>
                <w:sz w:val="24"/>
                <w:highlight w:val="none"/>
              </w:rPr>
              <w:t>，车辆冲洗废水经沉淀池处理后回用。</w:t>
            </w:r>
          </w:p>
          <w:p w14:paraId="24C7107A">
            <w:pPr>
              <w:adjustRightInd w:val="0"/>
              <w:snapToGrid w:val="0"/>
              <w:spacing w:line="360" w:lineRule="auto"/>
              <w:ind w:firstLine="482" w:firstLineChars="200"/>
              <w:rPr>
                <w:rFonts w:hint="eastAsia"/>
                <w:b w:val="0"/>
                <w:bCs w:val="0"/>
                <w:color w:val="auto"/>
                <w:sz w:val="24"/>
                <w:highlight w:val="none"/>
                <w:lang w:eastAsia="zh-CN"/>
              </w:rPr>
            </w:pPr>
            <w:r>
              <w:rPr>
                <w:rFonts w:hint="eastAsia"/>
                <w:b/>
                <w:bCs/>
                <w:color w:val="auto"/>
                <w:sz w:val="24"/>
                <w:highlight w:val="none"/>
              </w:rPr>
              <w:t>可行性分析</w:t>
            </w:r>
            <w:r>
              <w:rPr>
                <w:b/>
                <w:bCs/>
                <w:color w:val="auto"/>
                <w:sz w:val="24"/>
                <w:highlight w:val="none"/>
              </w:rPr>
              <w:t>：</w:t>
            </w:r>
            <w:r>
              <w:rPr>
                <w:rFonts w:hint="eastAsia"/>
                <w:b w:val="0"/>
                <w:bCs w:val="0"/>
                <w:color w:val="auto"/>
                <w:sz w:val="24"/>
                <w:highlight w:val="none"/>
                <w:lang w:eastAsia="zh-CN"/>
              </w:rPr>
              <w:t>由于现有沉淀池容积大于变动后全厂废水产生量，冲洗水简单沉淀后及时回用，且</w:t>
            </w:r>
            <w:r>
              <w:rPr>
                <w:rFonts w:hint="eastAsia"/>
                <w:color w:val="auto"/>
                <w:sz w:val="24"/>
                <w:highlight w:val="none"/>
              </w:rPr>
              <w:t>车辆冲洗用水对水质要求不高</w:t>
            </w:r>
            <w:r>
              <w:rPr>
                <w:rFonts w:hint="eastAsia"/>
                <w:color w:val="auto"/>
                <w:sz w:val="24"/>
                <w:highlight w:val="none"/>
                <w:lang w:eastAsia="zh-CN"/>
              </w:rPr>
              <w:t>，</w:t>
            </w:r>
            <w:r>
              <w:rPr>
                <w:rFonts w:hint="eastAsia"/>
                <w:b w:val="0"/>
                <w:bCs w:val="0"/>
                <w:color w:val="auto"/>
                <w:sz w:val="24"/>
                <w:highlight w:val="none"/>
                <w:lang w:eastAsia="zh-CN"/>
              </w:rPr>
              <w:t>因此新增工程投入运营后，运营期全厂车辆冲洗废水可被妥善处置并回用，故依托现有沉淀池可行。</w:t>
            </w:r>
          </w:p>
          <w:p w14:paraId="0A9966EF">
            <w:pPr>
              <w:adjustRightInd w:val="0"/>
              <w:snapToGrid w:val="0"/>
              <w:spacing w:line="360" w:lineRule="auto"/>
              <w:ind w:firstLine="480" w:firstLineChars="200"/>
              <w:rPr>
                <w:color w:val="auto"/>
                <w:kern w:val="0"/>
                <w:sz w:val="24"/>
                <w:highlight w:val="none"/>
              </w:rPr>
            </w:pPr>
            <w:r>
              <w:rPr>
                <w:rFonts w:hint="eastAsia" w:eastAsia="新宋体"/>
                <w:color w:val="auto"/>
                <w:sz w:val="24"/>
                <w:szCs w:val="20"/>
                <w:highlight w:val="none"/>
                <w:lang w:val="en-US" w:eastAsia="zh-CN"/>
              </w:rPr>
              <w:t>2</w:t>
            </w:r>
            <w:r>
              <w:rPr>
                <w:rFonts w:hint="eastAsia" w:eastAsia="新宋体"/>
                <w:color w:val="auto"/>
                <w:sz w:val="24"/>
                <w:szCs w:val="20"/>
                <w:highlight w:val="none"/>
              </w:rPr>
              <w:t>、生活污水</w:t>
            </w:r>
          </w:p>
          <w:p w14:paraId="0BCC2E79">
            <w:pPr>
              <w:spacing w:line="360" w:lineRule="auto"/>
              <w:ind w:firstLine="482"/>
              <w:rPr>
                <w:color w:val="auto"/>
                <w:sz w:val="24"/>
                <w:highlight w:val="none"/>
              </w:rPr>
            </w:pPr>
            <w:r>
              <w:rPr>
                <w:rFonts w:hint="eastAsia"/>
                <w:color w:val="auto"/>
                <w:sz w:val="24"/>
                <w:highlight w:val="none"/>
              </w:rPr>
              <w:t>根据前文水平衡可知：</w:t>
            </w:r>
            <w:r>
              <w:rPr>
                <w:rFonts w:hint="eastAsia" w:ascii="宋体" w:hAnsi="宋体" w:cs="宋体"/>
                <w:color w:val="auto"/>
                <w:kern w:val="0"/>
                <w:sz w:val="24"/>
                <w:highlight w:val="none"/>
                <w:lang w:eastAsia="zh-CN"/>
              </w:rPr>
              <w:t>现有工程生活污水</w:t>
            </w:r>
            <w:r>
              <w:rPr>
                <w:rFonts w:hint="eastAsia" w:ascii="宋体" w:hAnsi="宋体" w:cs="宋体"/>
                <w:color w:val="auto"/>
                <w:kern w:val="0"/>
                <w:sz w:val="24"/>
                <w:highlight w:val="none"/>
              </w:rPr>
              <w:t>产生量</w:t>
            </w:r>
            <w:r>
              <w:rPr>
                <w:rFonts w:hint="default" w:ascii="Times New Roman" w:hAnsi="Times New Roman" w:eastAsia="宋体" w:cs="Times New Roman"/>
                <w:color w:val="auto"/>
                <w:kern w:val="0"/>
                <w:sz w:val="24"/>
                <w:highlight w:val="none"/>
              </w:rPr>
              <w:t>为</w:t>
            </w:r>
            <w:r>
              <w:rPr>
                <w:rFonts w:hint="eastAsia" w:eastAsia="宋体" w:cs="Times New Roman"/>
                <w:color w:val="auto"/>
                <w:kern w:val="0"/>
                <w:sz w:val="24"/>
                <w:highlight w:val="none"/>
                <w:lang w:val="en-US" w:eastAsia="zh-CN"/>
              </w:rPr>
              <w:t>0.4</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，新增员工</w:t>
            </w:r>
            <w:r>
              <w:rPr>
                <w:rFonts w:hint="eastAsia" w:ascii="宋体" w:hAnsi="宋体" w:cs="宋体"/>
                <w:color w:val="auto"/>
                <w:kern w:val="0"/>
                <w:sz w:val="24"/>
                <w:highlight w:val="none"/>
              </w:rPr>
              <w:t>车</w:t>
            </w:r>
            <w:r>
              <w:rPr>
                <w:rFonts w:hint="eastAsia" w:ascii="宋体" w:hAnsi="宋体" w:cs="宋体"/>
                <w:color w:val="auto"/>
                <w:kern w:val="0"/>
                <w:sz w:val="24"/>
                <w:highlight w:val="none"/>
                <w:lang w:eastAsia="zh-CN"/>
              </w:rPr>
              <w:t>生活污水</w:t>
            </w:r>
            <w:r>
              <w:rPr>
                <w:rFonts w:hint="eastAsia" w:ascii="宋体" w:hAnsi="宋体" w:cs="宋体"/>
                <w:color w:val="auto"/>
                <w:kern w:val="0"/>
                <w:sz w:val="24"/>
                <w:highlight w:val="none"/>
              </w:rPr>
              <w:t>产生量</w:t>
            </w:r>
            <w:r>
              <w:rPr>
                <w:rFonts w:hint="default" w:ascii="Times New Roman" w:hAnsi="Times New Roman" w:eastAsia="宋体" w:cs="Times New Roman"/>
                <w:color w:val="auto"/>
                <w:kern w:val="0"/>
                <w:sz w:val="24"/>
                <w:highlight w:val="none"/>
              </w:rPr>
              <w:t>为</w:t>
            </w:r>
            <w:r>
              <w:rPr>
                <w:rFonts w:hint="eastAsia" w:eastAsia="宋体" w:cs="Times New Roman"/>
                <w:color w:val="auto"/>
                <w:kern w:val="0"/>
                <w:sz w:val="24"/>
                <w:highlight w:val="none"/>
                <w:lang w:val="en-US" w:eastAsia="zh-CN"/>
              </w:rPr>
              <w:t>0.16</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，合计</w:t>
            </w:r>
            <w:r>
              <w:rPr>
                <w:rFonts w:hint="eastAsia"/>
                <w:color w:val="auto"/>
                <w:kern w:val="0"/>
                <w:sz w:val="24"/>
                <w:highlight w:val="none"/>
                <w:lang w:val="en-US" w:eastAsia="zh-CN"/>
              </w:rPr>
              <w:t>0.56</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。生活污水</w:t>
            </w:r>
            <w:r>
              <w:rPr>
                <w:color w:val="auto"/>
                <w:sz w:val="24"/>
                <w:highlight w:val="none"/>
              </w:rPr>
              <w:t>主要污染物为COD、氨氮等。</w:t>
            </w:r>
          </w:p>
          <w:p w14:paraId="590BCE07">
            <w:pPr>
              <w:spacing w:line="360" w:lineRule="auto"/>
              <w:ind w:firstLine="482"/>
              <w:rPr>
                <w:rFonts w:ascii="宋体" w:hAnsi="宋体" w:cs="宋体"/>
                <w:color w:val="auto"/>
                <w:kern w:val="0"/>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lang w:eastAsia="zh-CN"/>
              </w:rPr>
              <w:t>根据现场调查，厂区现有</w:t>
            </w:r>
            <w:r>
              <w:rPr>
                <w:rFonts w:hint="eastAsia" w:ascii="宋体" w:hAnsi="宋体" w:cs="宋体"/>
                <w:color w:val="auto"/>
                <w:kern w:val="0"/>
                <w:sz w:val="24"/>
                <w:highlight w:val="none"/>
              </w:rPr>
              <w:t>化粪池</w:t>
            </w:r>
            <w:r>
              <w:rPr>
                <w:rFonts w:hint="eastAsia"/>
                <w:color w:val="auto"/>
                <w:sz w:val="24"/>
                <w:highlight w:val="none"/>
              </w:rPr>
              <w:t>（约</w:t>
            </w:r>
            <w:r>
              <w:rPr>
                <w:rFonts w:hint="eastAsia"/>
                <w:color w:val="auto"/>
                <w:sz w:val="24"/>
                <w:highlight w:val="none"/>
                <w:lang w:val="en-US" w:eastAsia="zh-CN"/>
              </w:rPr>
              <w:t>4.5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eastAsia="zh-CN"/>
              </w:rPr>
              <w:t>一个，</w:t>
            </w:r>
            <w:r>
              <w:rPr>
                <w:rFonts w:hint="eastAsia" w:ascii="宋体" w:hAnsi="宋体" w:cs="宋体"/>
                <w:color w:val="auto"/>
                <w:kern w:val="0"/>
                <w:sz w:val="24"/>
                <w:highlight w:val="none"/>
              </w:rPr>
              <w:t>生活污水经</w:t>
            </w:r>
            <w:r>
              <w:rPr>
                <w:rFonts w:hint="eastAsia" w:ascii="宋体" w:hAnsi="宋体" w:cs="宋体"/>
                <w:color w:val="auto"/>
                <w:kern w:val="0"/>
                <w:sz w:val="24"/>
                <w:highlight w:val="none"/>
                <w:lang w:eastAsia="zh-CN"/>
              </w:rPr>
              <w:t>化粪池</w:t>
            </w:r>
            <w:r>
              <w:rPr>
                <w:rFonts w:hint="eastAsia" w:ascii="宋体" w:hAnsi="宋体" w:cs="宋体"/>
                <w:color w:val="auto"/>
                <w:kern w:val="0"/>
                <w:sz w:val="24"/>
                <w:highlight w:val="none"/>
              </w:rPr>
              <w:t>处理后用于周边农田施肥。</w:t>
            </w:r>
          </w:p>
          <w:p w14:paraId="62D0242C">
            <w:pPr>
              <w:adjustRightInd w:val="0"/>
              <w:snapToGrid w:val="0"/>
              <w:spacing w:line="360" w:lineRule="auto"/>
              <w:ind w:firstLine="482" w:firstLineChars="200"/>
              <w:rPr>
                <w:bCs/>
                <w:color w:val="auto"/>
                <w:sz w:val="24"/>
                <w:highlight w:val="none"/>
              </w:rPr>
            </w:pPr>
            <w:r>
              <w:rPr>
                <w:rFonts w:hint="eastAsia"/>
                <w:b/>
                <w:bCs/>
                <w:color w:val="auto"/>
                <w:sz w:val="24"/>
                <w:highlight w:val="none"/>
              </w:rPr>
              <w:t>可行性分析</w:t>
            </w:r>
            <w:r>
              <w:rPr>
                <w:b/>
                <w:bCs/>
                <w:color w:val="auto"/>
                <w:sz w:val="24"/>
                <w:highlight w:val="none"/>
              </w:rPr>
              <w:t>：</w:t>
            </w:r>
            <w:r>
              <w:rPr>
                <w:rFonts w:hint="eastAsia"/>
                <w:b w:val="0"/>
                <w:bCs w:val="0"/>
                <w:color w:val="auto"/>
                <w:sz w:val="24"/>
                <w:highlight w:val="none"/>
                <w:lang w:eastAsia="zh-CN"/>
              </w:rPr>
              <w:t>新增工程投入运营后，运营期全厂生活污水产生量小于现有化粪池容积，</w:t>
            </w:r>
            <w:r>
              <w:rPr>
                <w:rFonts w:hint="eastAsia"/>
                <w:b w:val="0"/>
                <w:bCs w:val="0"/>
                <w:color w:val="auto"/>
                <w:sz w:val="24"/>
                <w:highlight w:val="none"/>
                <w:vertAlign w:val="baseline"/>
                <w:lang w:val="en-US" w:eastAsia="zh-CN"/>
              </w:rPr>
              <w:t>故足以满足新增生活污水的暂存及处理。</w:t>
            </w:r>
            <w:r>
              <w:rPr>
                <w:b w:val="0"/>
                <w:bCs w:val="0"/>
                <w:color w:val="auto"/>
                <w:sz w:val="24"/>
                <w:highlight w:val="none"/>
              </w:rPr>
              <w:t>化粪池是一</w:t>
            </w:r>
            <w:r>
              <w:rPr>
                <w:bCs/>
                <w:color w:val="auto"/>
                <w:sz w:val="24"/>
                <w:highlight w:val="none"/>
              </w:rPr>
              <w:t>种利用沉淀和厌氧发酵的原理，去除生活污水中悬浮性有机物的处理设施，属于初级的过渡性生活处理构筑物。根据调查项目</w:t>
            </w:r>
            <w:r>
              <w:rPr>
                <w:rFonts w:hint="eastAsia"/>
                <w:bCs/>
                <w:color w:val="auto"/>
                <w:sz w:val="24"/>
                <w:highlight w:val="none"/>
                <w:lang w:eastAsia="zh-CN"/>
              </w:rPr>
              <w:t>东北</w:t>
            </w:r>
            <w:r>
              <w:rPr>
                <w:rFonts w:hint="eastAsia"/>
                <w:bCs/>
                <w:color w:val="auto"/>
                <w:sz w:val="24"/>
                <w:highlight w:val="none"/>
              </w:rPr>
              <w:t>侧和南侧</w:t>
            </w:r>
            <w:r>
              <w:rPr>
                <w:bCs/>
                <w:color w:val="auto"/>
                <w:sz w:val="24"/>
                <w:highlight w:val="none"/>
              </w:rPr>
              <w:t>500m范围内有</w:t>
            </w:r>
            <w:r>
              <w:rPr>
                <w:rFonts w:hint="eastAsia"/>
                <w:bCs/>
                <w:color w:val="auto"/>
                <w:sz w:val="24"/>
                <w:highlight w:val="none"/>
              </w:rPr>
              <w:t>大量</w:t>
            </w:r>
            <w:r>
              <w:rPr>
                <w:bCs/>
                <w:color w:val="auto"/>
                <w:sz w:val="24"/>
                <w:highlight w:val="none"/>
              </w:rPr>
              <w:t>农地，足以接纳项目所产生的生活污水。</w:t>
            </w:r>
          </w:p>
          <w:p w14:paraId="7C9AFE56">
            <w:pPr>
              <w:pStyle w:val="35"/>
              <w:spacing w:line="360" w:lineRule="auto"/>
              <w:ind w:left="0" w:leftChars="0" w:firstLine="480" w:firstLineChars="200"/>
              <w:rPr>
                <w:rFonts w:ascii="宋体" w:hAnsi="宋体" w:eastAsia="宋体" w:cs="宋体"/>
                <w:bCs/>
                <w:color w:val="auto"/>
                <w:sz w:val="24"/>
                <w:highlight w:val="none"/>
              </w:rPr>
            </w:pPr>
            <w:r>
              <w:rPr>
                <w:rFonts w:hint="eastAsia" w:ascii="宋体" w:hAnsi="宋体" w:eastAsia="宋体" w:cs="宋体"/>
                <w:bCs/>
                <w:color w:val="auto"/>
                <w:sz w:val="24"/>
                <w:highlight w:val="none"/>
              </w:rPr>
              <w:t>综上，本项目生活污水处理措施可行。</w:t>
            </w:r>
          </w:p>
          <w:p w14:paraId="736824DF">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三</w:t>
            </w:r>
            <w:r>
              <w:rPr>
                <w:rFonts w:hint="eastAsia"/>
                <w:b/>
                <w:color w:val="auto"/>
                <w:kern w:val="0"/>
                <w:sz w:val="24"/>
                <w:highlight w:val="none"/>
              </w:rPr>
              <w:t>）</w:t>
            </w:r>
            <w:r>
              <w:rPr>
                <w:b/>
                <w:color w:val="auto"/>
                <w:kern w:val="0"/>
                <w:sz w:val="24"/>
                <w:highlight w:val="none"/>
              </w:rPr>
              <w:t>噪声环境影响分析</w:t>
            </w:r>
          </w:p>
          <w:p w14:paraId="1B002DAA">
            <w:pPr>
              <w:widowControl/>
              <w:spacing w:line="360" w:lineRule="auto"/>
              <w:ind w:firstLine="480" w:firstLineChars="200"/>
              <w:rPr>
                <w:color w:val="auto"/>
                <w:sz w:val="24"/>
                <w:highlight w:val="none"/>
              </w:rPr>
            </w:pPr>
            <w:r>
              <w:rPr>
                <w:rFonts w:hint="eastAsia"/>
                <w:color w:val="auto"/>
                <w:sz w:val="24"/>
                <w:highlight w:val="none"/>
              </w:rPr>
              <w:t>1、噪声源强</w:t>
            </w:r>
          </w:p>
          <w:p w14:paraId="0AE0AFE1">
            <w:pPr>
              <w:widowControl/>
              <w:spacing w:line="360" w:lineRule="auto"/>
              <w:ind w:firstLine="480" w:firstLineChars="200"/>
              <w:rPr>
                <w:rFonts w:hint="eastAsia"/>
                <w:b/>
                <w:bCs/>
                <w:color w:val="auto"/>
                <w:szCs w:val="21"/>
                <w:highlight w:val="none"/>
              </w:rPr>
            </w:pPr>
            <w:r>
              <w:rPr>
                <w:rFonts w:hint="eastAsia"/>
                <w:color w:val="auto"/>
                <w:sz w:val="24"/>
                <w:highlight w:val="none"/>
                <w:lang w:eastAsia="zh-CN"/>
              </w:rPr>
              <w:t>本次新增工程</w:t>
            </w:r>
            <w:r>
              <w:rPr>
                <w:color w:val="auto"/>
                <w:sz w:val="24"/>
                <w:highlight w:val="none"/>
              </w:rPr>
              <w:t>运营期噪声为</w:t>
            </w:r>
            <w:r>
              <w:rPr>
                <w:rFonts w:hint="eastAsia"/>
                <w:color w:val="auto"/>
                <w:sz w:val="24"/>
                <w:highlight w:val="none"/>
                <w:lang w:eastAsia="zh-CN"/>
              </w:rPr>
              <w:t>搅拌机、提升机和自动包装机</w:t>
            </w:r>
            <w:r>
              <w:rPr>
                <w:color w:val="auto"/>
                <w:sz w:val="24"/>
                <w:highlight w:val="none"/>
              </w:rPr>
              <w:t>等设备</w:t>
            </w:r>
            <w:r>
              <w:rPr>
                <w:rFonts w:hint="eastAsia"/>
                <w:color w:val="auto"/>
                <w:sz w:val="24"/>
                <w:highlight w:val="none"/>
              </w:rPr>
              <w:t>及</w:t>
            </w:r>
            <w:r>
              <w:rPr>
                <w:color w:val="auto"/>
                <w:sz w:val="24"/>
                <w:highlight w:val="none"/>
              </w:rPr>
              <w:t>装卸运输过程产生的噪声，</w:t>
            </w:r>
            <w:r>
              <w:rPr>
                <w:rFonts w:hint="eastAsia"/>
                <w:color w:val="auto"/>
                <w:sz w:val="24"/>
                <w:highlight w:val="none"/>
              </w:rPr>
              <w:t>噪声</w:t>
            </w:r>
            <w:r>
              <w:rPr>
                <w:color w:val="auto"/>
                <w:sz w:val="24"/>
                <w:highlight w:val="none"/>
              </w:rPr>
              <w:t>源强</w:t>
            </w:r>
            <w:r>
              <w:rPr>
                <w:rFonts w:hint="eastAsia"/>
                <w:color w:val="auto"/>
                <w:sz w:val="24"/>
                <w:highlight w:val="none"/>
              </w:rPr>
              <w:t>维持在8</w:t>
            </w:r>
            <w:r>
              <w:rPr>
                <w:rFonts w:hint="eastAsia"/>
                <w:color w:val="auto"/>
                <w:sz w:val="24"/>
                <w:highlight w:val="none"/>
                <w:lang w:val="en-US" w:eastAsia="zh-CN"/>
              </w:rPr>
              <w:t>0</w:t>
            </w:r>
            <w:r>
              <w:rPr>
                <w:color w:val="auto"/>
                <w:sz w:val="24"/>
                <w:highlight w:val="none"/>
              </w:rPr>
              <w:t>～</w:t>
            </w:r>
            <w:r>
              <w:rPr>
                <w:rFonts w:hint="eastAsia"/>
                <w:color w:val="auto"/>
                <w:sz w:val="24"/>
                <w:highlight w:val="none"/>
                <w:lang w:val="en-US" w:eastAsia="zh-CN"/>
              </w:rPr>
              <w:t>85</w:t>
            </w:r>
            <w:r>
              <w:rPr>
                <w:color w:val="auto"/>
                <w:sz w:val="24"/>
                <w:highlight w:val="none"/>
              </w:rPr>
              <w:t>dB(A)</w:t>
            </w:r>
            <w:r>
              <w:rPr>
                <w:rFonts w:hint="eastAsia"/>
                <w:color w:val="auto"/>
                <w:sz w:val="24"/>
                <w:highlight w:val="none"/>
              </w:rPr>
              <w:t>之间</w:t>
            </w:r>
            <w:r>
              <w:rPr>
                <w:color w:val="auto"/>
                <w:sz w:val="24"/>
                <w:highlight w:val="none"/>
              </w:rPr>
              <w:t>。各主要噪声源、声压级及治理措施具体见表4-</w:t>
            </w:r>
            <w:r>
              <w:rPr>
                <w:rFonts w:hint="eastAsia"/>
                <w:color w:val="auto"/>
                <w:sz w:val="24"/>
                <w:highlight w:val="none"/>
                <w:lang w:val="en-US" w:eastAsia="zh-CN"/>
              </w:rPr>
              <w:t>8</w:t>
            </w:r>
            <w:r>
              <w:rPr>
                <w:rFonts w:hint="eastAsia"/>
                <w:color w:val="auto"/>
                <w:sz w:val="24"/>
                <w:highlight w:val="none"/>
                <w:lang w:eastAsia="zh-CN"/>
              </w:rPr>
              <w:t>。</w:t>
            </w:r>
          </w:p>
          <w:p w14:paraId="5F2EED9A">
            <w:pPr>
              <w:widowControl/>
              <w:ind w:firstLine="422" w:firstLineChars="200"/>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8</w:t>
            </w:r>
            <w:r>
              <w:rPr>
                <w:b/>
                <w:bCs/>
                <w:color w:val="auto"/>
                <w:szCs w:val="21"/>
                <w:highlight w:val="none"/>
              </w:rPr>
              <w:t xml:space="preserve">  </w:t>
            </w:r>
            <w:r>
              <w:rPr>
                <w:rFonts w:hint="eastAsia"/>
                <w:b/>
                <w:bCs/>
                <w:color w:val="auto"/>
                <w:szCs w:val="21"/>
                <w:highlight w:val="none"/>
              </w:rPr>
              <w:t xml:space="preserve">各设备噪声声级一览表  </w:t>
            </w:r>
            <w:r>
              <w:rPr>
                <w:rFonts w:hint="eastAsia"/>
                <w:b/>
                <w:bCs/>
                <w:color w:val="auto"/>
                <w:szCs w:val="21"/>
                <w:highlight w:val="none"/>
                <w:lang w:val="en-US" w:eastAsia="zh-CN"/>
              </w:rPr>
              <w:t xml:space="preserve"> </w:t>
            </w:r>
            <w:r>
              <w:rPr>
                <w:rFonts w:hint="eastAsia"/>
                <w:b/>
                <w:bCs/>
                <w:color w:val="auto"/>
                <w:szCs w:val="21"/>
                <w:highlight w:val="none"/>
              </w:rPr>
              <w:t xml:space="preserve"> 单位：</w:t>
            </w:r>
            <w:r>
              <w:rPr>
                <w:b/>
                <w:bCs/>
                <w:color w:val="auto"/>
                <w:szCs w:val="21"/>
                <w:highlight w:val="none"/>
              </w:rPr>
              <w:t>dB(A)</w:t>
            </w:r>
          </w:p>
          <w:tbl>
            <w:tblPr>
              <w:tblStyle w:val="36"/>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75"/>
              <w:gridCol w:w="800"/>
              <w:gridCol w:w="1083"/>
              <w:gridCol w:w="884"/>
              <w:gridCol w:w="2583"/>
              <w:gridCol w:w="1199"/>
            </w:tblGrid>
            <w:tr w14:paraId="6F045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3C214F21">
                  <w:pPr>
                    <w:snapToGrid w:val="0"/>
                    <w:spacing w:beforeLines="30" w:afterLines="30"/>
                    <w:jc w:val="center"/>
                    <w:rPr>
                      <w:color w:val="auto"/>
                      <w:highlight w:val="none"/>
                    </w:rPr>
                  </w:pPr>
                  <w:r>
                    <w:rPr>
                      <w:rFonts w:hint="eastAsia" w:cs="宋体"/>
                      <w:color w:val="auto"/>
                      <w:szCs w:val="21"/>
                      <w:highlight w:val="none"/>
                    </w:rPr>
                    <w:t>序号</w:t>
                  </w:r>
                </w:p>
              </w:tc>
              <w:tc>
                <w:tcPr>
                  <w:tcW w:w="1275" w:type="dxa"/>
                  <w:tcBorders>
                    <w:tl2br w:val="nil"/>
                    <w:tr2bl w:val="nil"/>
                  </w:tcBorders>
                  <w:vAlign w:val="center"/>
                </w:tcPr>
                <w:p w14:paraId="7FE99BB5">
                  <w:pPr>
                    <w:snapToGrid w:val="0"/>
                    <w:spacing w:beforeLines="30" w:afterLines="30"/>
                    <w:jc w:val="center"/>
                    <w:rPr>
                      <w:color w:val="auto"/>
                      <w:highlight w:val="none"/>
                    </w:rPr>
                  </w:pPr>
                  <w:r>
                    <w:rPr>
                      <w:rFonts w:hint="eastAsia" w:cs="宋体"/>
                      <w:color w:val="auto"/>
                      <w:szCs w:val="21"/>
                      <w:highlight w:val="none"/>
                    </w:rPr>
                    <w:t>噪声源</w:t>
                  </w:r>
                </w:p>
              </w:tc>
              <w:tc>
                <w:tcPr>
                  <w:tcW w:w="800" w:type="dxa"/>
                  <w:tcBorders>
                    <w:tl2br w:val="nil"/>
                    <w:tr2bl w:val="nil"/>
                  </w:tcBorders>
                  <w:vAlign w:val="center"/>
                </w:tcPr>
                <w:p w14:paraId="121DD584">
                  <w:pPr>
                    <w:snapToGrid w:val="0"/>
                    <w:spacing w:beforeLines="30" w:afterLines="30"/>
                    <w:jc w:val="center"/>
                    <w:rPr>
                      <w:color w:val="auto"/>
                      <w:highlight w:val="none"/>
                    </w:rPr>
                  </w:pPr>
                  <w:r>
                    <w:rPr>
                      <w:rFonts w:hint="eastAsia" w:cs="宋体"/>
                      <w:color w:val="auto"/>
                      <w:szCs w:val="21"/>
                      <w:highlight w:val="none"/>
                    </w:rPr>
                    <w:t>数量</w:t>
                  </w:r>
                </w:p>
              </w:tc>
              <w:tc>
                <w:tcPr>
                  <w:tcW w:w="1083" w:type="dxa"/>
                  <w:tcBorders>
                    <w:tl2br w:val="nil"/>
                    <w:tr2bl w:val="nil"/>
                  </w:tcBorders>
                  <w:vAlign w:val="center"/>
                </w:tcPr>
                <w:p w14:paraId="70EDAB77">
                  <w:pPr>
                    <w:snapToGrid w:val="0"/>
                    <w:spacing w:beforeLines="30" w:afterLines="30"/>
                    <w:jc w:val="center"/>
                    <w:rPr>
                      <w:color w:val="auto"/>
                      <w:highlight w:val="none"/>
                    </w:rPr>
                  </w:pPr>
                  <w:r>
                    <w:rPr>
                      <w:rFonts w:hint="eastAsia" w:cs="宋体"/>
                      <w:color w:val="auto"/>
                      <w:szCs w:val="21"/>
                      <w:highlight w:val="none"/>
                    </w:rPr>
                    <w:t>产生源强</w:t>
                  </w:r>
                </w:p>
              </w:tc>
              <w:tc>
                <w:tcPr>
                  <w:tcW w:w="884" w:type="dxa"/>
                  <w:tcBorders>
                    <w:tl2br w:val="nil"/>
                    <w:tr2bl w:val="nil"/>
                  </w:tcBorders>
                  <w:vAlign w:val="center"/>
                </w:tcPr>
                <w:p w14:paraId="1E0C2614">
                  <w:pPr>
                    <w:snapToGrid w:val="0"/>
                    <w:spacing w:beforeLines="30" w:afterLines="30"/>
                    <w:jc w:val="center"/>
                    <w:rPr>
                      <w:rFonts w:ascii="宋体" w:hAnsi="宋体" w:cs="宋体"/>
                      <w:color w:val="auto"/>
                      <w:highlight w:val="none"/>
                    </w:rPr>
                  </w:pPr>
                  <w:r>
                    <w:rPr>
                      <w:rFonts w:hint="eastAsia" w:ascii="宋体" w:hAnsi="宋体" w:cs="宋体"/>
                      <w:color w:val="auto"/>
                      <w:szCs w:val="21"/>
                      <w:highlight w:val="none"/>
                    </w:rPr>
                    <w:t>类型</w:t>
                  </w:r>
                </w:p>
              </w:tc>
              <w:tc>
                <w:tcPr>
                  <w:tcW w:w="2583" w:type="dxa"/>
                  <w:tcBorders>
                    <w:tl2br w:val="nil"/>
                    <w:tr2bl w:val="nil"/>
                  </w:tcBorders>
                  <w:vAlign w:val="center"/>
                </w:tcPr>
                <w:p w14:paraId="399D67F3">
                  <w:pPr>
                    <w:snapToGrid w:val="0"/>
                    <w:spacing w:beforeLines="30" w:afterLines="30"/>
                    <w:jc w:val="center"/>
                    <w:rPr>
                      <w:rFonts w:ascii="宋体" w:hAnsi="宋体" w:cs="宋体"/>
                      <w:color w:val="auto"/>
                      <w:highlight w:val="none"/>
                    </w:rPr>
                  </w:pPr>
                  <w:r>
                    <w:rPr>
                      <w:rFonts w:hint="eastAsia" w:cs="宋体"/>
                      <w:color w:val="auto"/>
                      <w:szCs w:val="21"/>
                      <w:highlight w:val="none"/>
                    </w:rPr>
                    <w:t>治理措施</w:t>
                  </w:r>
                </w:p>
              </w:tc>
              <w:tc>
                <w:tcPr>
                  <w:tcW w:w="1199" w:type="dxa"/>
                  <w:tcBorders>
                    <w:tl2br w:val="nil"/>
                    <w:tr2bl w:val="nil"/>
                  </w:tcBorders>
                  <w:vAlign w:val="center"/>
                </w:tcPr>
                <w:p w14:paraId="733638F6">
                  <w:pPr>
                    <w:snapToGrid w:val="0"/>
                    <w:spacing w:beforeLines="30" w:afterLines="30"/>
                    <w:jc w:val="center"/>
                    <w:rPr>
                      <w:rFonts w:ascii="宋体" w:hAnsi="宋体" w:cs="宋体"/>
                      <w:color w:val="auto"/>
                      <w:highlight w:val="none"/>
                    </w:rPr>
                  </w:pPr>
                  <w:r>
                    <w:rPr>
                      <w:rFonts w:hint="eastAsia" w:ascii="宋体" w:hAnsi="宋体" w:cs="宋体"/>
                      <w:color w:val="auto"/>
                      <w:szCs w:val="21"/>
                      <w:highlight w:val="none"/>
                    </w:rPr>
                    <w:t>排放源强</w:t>
                  </w:r>
                </w:p>
              </w:tc>
            </w:tr>
            <w:tr w14:paraId="56E11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08F11F69">
                  <w:pPr>
                    <w:jc w:val="center"/>
                    <w:rPr>
                      <w:color w:val="auto"/>
                      <w:spacing w:val="-1"/>
                      <w:szCs w:val="21"/>
                      <w:highlight w:val="none"/>
                    </w:rPr>
                  </w:pPr>
                  <w:r>
                    <w:rPr>
                      <w:color w:val="auto"/>
                      <w:spacing w:val="-1"/>
                      <w:szCs w:val="21"/>
                      <w:highlight w:val="none"/>
                    </w:rPr>
                    <w:t>1</w:t>
                  </w:r>
                </w:p>
              </w:tc>
              <w:tc>
                <w:tcPr>
                  <w:tcW w:w="1275" w:type="dxa"/>
                  <w:tcBorders>
                    <w:tl2br w:val="nil"/>
                    <w:tr2bl w:val="nil"/>
                  </w:tcBorders>
                  <w:vAlign w:val="center"/>
                </w:tcPr>
                <w:p w14:paraId="5176AD7C">
                  <w:pPr>
                    <w:widowControl/>
                    <w:jc w:val="center"/>
                    <w:textAlignment w:val="center"/>
                    <w:rPr>
                      <w:rFonts w:hint="eastAsia" w:eastAsia="宋体"/>
                      <w:color w:val="auto"/>
                      <w:szCs w:val="21"/>
                      <w:highlight w:val="none"/>
                      <w:lang w:eastAsia="zh-CN"/>
                    </w:rPr>
                  </w:pPr>
                  <w:r>
                    <w:rPr>
                      <w:rFonts w:hint="eastAsia"/>
                      <w:color w:val="auto"/>
                      <w:szCs w:val="21"/>
                      <w:highlight w:val="none"/>
                      <w:lang w:eastAsia="zh-CN"/>
                    </w:rPr>
                    <w:t>搅拌机</w:t>
                  </w:r>
                </w:p>
              </w:tc>
              <w:tc>
                <w:tcPr>
                  <w:tcW w:w="800" w:type="dxa"/>
                  <w:tcBorders>
                    <w:tl2br w:val="nil"/>
                    <w:tr2bl w:val="nil"/>
                  </w:tcBorders>
                  <w:vAlign w:val="center"/>
                </w:tcPr>
                <w:p w14:paraId="5CB83EA9">
                  <w:pPr>
                    <w:widowControl/>
                    <w:jc w:val="center"/>
                    <w:textAlignment w:val="center"/>
                    <w:rPr>
                      <w:rFonts w:hint="eastAsia" w:ascii="Times New Roman" w:hAnsi="Times New Roman" w:eastAsia="宋体" w:cs="Times New Roman"/>
                      <w:color w:val="auto"/>
                      <w:spacing w:val="-1"/>
                      <w:kern w:val="2"/>
                      <w:sz w:val="21"/>
                      <w:szCs w:val="24"/>
                      <w:highlight w:val="none"/>
                      <w:lang w:val="en-US" w:eastAsia="zh-CN" w:bidi="ar-SA"/>
                    </w:rPr>
                  </w:pPr>
                  <w:r>
                    <w:rPr>
                      <w:rFonts w:hint="eastAsia"/>
                      <w:color w:val="auto"/>
                      <w:szCs w:val="21"/>
                      <w:highlight w:val="none"/>
                      <w:lang w:val="en-US" w:eastAsia="zh-CN"/>
                    </w:rPr>
                    <w:t>3</w:t>
                  </w:r>
                  <w:r>
                    <w:rPr>
                      <w:rFonts w:hint="eastAsia"/>
                      <w:color w:val="auto"/>
                      <w:szCs w:val="21"/>
                      <w:highlight w:val="none"/>
                    </w:rPr>
                    <w:t>台</w:t>
                  </w:r>
                </w:p>
              </w:tc>
              <w:tc>
                <w:tcPr>
                  <w:tcW w:w="1083" w:type="dxa"/>
                  <w:tcBorders>
                    <w:tl2br w:val="nil"/>
                    <w:tr2bl w:val="nil"/>
                  </w:tcBorders>
                  <w:vAlign w:val="center"/>
                </w:tcPr>
                <w:p w14:paraId="075FDE01">
                  <w:pPr>
                    <w:jc w:val="center"/>
                    <w:rPr>
                      <w:rFonts w:hint="default" w:eastAsia="宋体"/>
                      <w:color w:val="auto"/>
                      <w:szCs w:val="21"/>
                      <w:highlight w:val="none"/>
                      <w:lang w:val="en-US" w:eastAsia="zh-CN"/>
                    </w:rPr>
                  </w:pPr>
                  <w:r>
                    <w:rPr>
                      <w:rFonts w:hint="eastAsia"/>
                      <w:color w:val="auto"/>
                      <w:szCs w:val="21"/>
                      <w:highlight w:val="none"/>
                      <w:lang w:val="en-US" w:eastAsia="zh-CN"/>
                    </w:rPr>
                    <w:t>85</w:t>
                  </w:r>
                </w:p>
              </w:tc>
              <w:tc>
                <w:tcPr>
                  <w:tcW w:w="884" w:type="dxa"/>
                  <w:tcBorders>
                    <w:tl2br w:val="nil"/>
                    <w:tr2bl w:val="nil"/>
                  </w:tcBorders>
                  <w:vAlign w:val="center"/>
                </w:tcPr>
                <w:p w14:paraId="35A0A462">
                  <w:pPr>
                    <w:jc w:val="center"/>
                    <w:rPr>
                      <w:rFonts w:hint="eastAsia"/>
                      <w:color w:val="auto"/>
                      <w:highlight w:val="none"/>
                    </w:rPr>
                  </w:pPr>
                  <w:r>
                    <w:rPr>
                      <w:rFonts w:hint="eastAsia"/>
                      <w:color w:val="auto"/>
                      <w:highlight w:val="none"/>
                    </w:rPr>
                    <w:t>稳态</w:t>
                  </w:r>
                </w:p>
              </w:tc>
              <w:tc>
                <w:tcPr>
                  <w:tcW w:w="2583" w:type="dxa"/>
                  <w:vMerge w:val="restart"/>
                  <w:tcBorders>
                    <w:tl2br w:val="nil"/>
                    <w:tr2bl w:val="nil"/>
                  </w:tcBorders>
                  <w:vAlign w:val="center"/>
                </w:tcPr>
                <w:p w14:paraId="1454761F">
                  <w:pPr>
                    <w:jc w:val="center"/>
                    <w:rPr>
                      <w:color w:val="auto"/>
                      <w:highlight w:val="none"/>
                    </w:rPr>
                  </w:pPr>
                  <w:r>
                    <w:rPr>
                      <w:rFonts w:hint="eastAsia" w:ascii="宋体" w:hAnsi="宋体" w:cs="宋体"/>
                      <w:color w:val="auto"/>
                      <w:szCs w:val="21"/>
                      <w:highlight w:val="none"/>
                    </w:rPr>
                    <w:t>选用</w:t>
                  </w:r>
                  <w:r>
                    <w:rPr>
                      <w:rFonts w:hint="eastAsia" w:cs="宋体"/>
                      <w:color w:val="auto"/>
                      <w:szCs w:val="21"/>
                      <w:highlight w:val="none"/>
                    </w:rPr>
                    <w:t>低噪声设备，</w:t>
                  </w:r>
                  <w:r>
                    <w:rPr>
                      <w:rFonts w:hint="eastAsia" w:ascii="宋体" w:hAnsi="宋体" w:cs="宋体"/>
                      <w:color w:val="auto"/>
                      <w:szCs w:val="21"/>
                      <w:highlight w:val="none"/>
                    </w:rPr>
                    <w:t>合理布局；设置减振垫、厂房</w:t>
                  </w:r>
                  <w:r>
                    <w:rPr>
                      <w:rFonts w:hint="eastAsia" w:ascii="宋体" w:hAnsi="宋体" w:cs="宋体"/>
                      <w:color w:val="auto"/>
                      <w:szCs w:val="21"/>
                      <w:highlight w:val="none"/>
                      <w:lang w:eastAsia="zh-CN"/>
                    </w:rPr>
                    <w:t>封闭</w:t>
                  </w:r>
                  <w:r>
                    <w:rPr>
                      <w:rFonts w:hint="eastAsia" w:ascii="宋体" w:hAnsi="宋体" w:cs="宋体"/>
                      <w:color w:val="auto"/>
                      <w:szCs w:val="21"/>
                      <w:highlight w:val="none"/>
                    </w:rPr>
                    <w:t>隔声、</w:t>
                  </w:r>
                  <w:r>
                    <w:rPr>
                      <w:rFonts w:hint="eastAsia" w:cs="宋体"/>
                      <w:color w:val="auto"/>
                      <w:szCs w:val="21"/>
                      <w:highlight w:val="none"/>
                    </w:rPr>
                    <w:t>距离衰减</w:t>
                  </w:r>
                  <w:r>
                    <w:rPr>
                      <w:rFonts w:hint="eastAsia" w:ascii="宋体" w:hAnsi="宋体" w:cs="宋体"/>
                      <w:color w:val="auto"/>
                      <w:szCs w:val="21"/>
                      <w:highlight w:val="none"/>
                    </w:rPr>
                    <w:t>等</w:t>
                  </w:r>
                </w:p>
              </w:tc>
              <w:tc>
                <w:tcPr>
                  <w:tcW w:w="1199" w:type="dxa"/>
                  <w:tcBorders>
                    <w:tl2br w:val="nil"/>
                    <w:tr2bl w:val="nil"/>
                  </w:tcBorders>
                  <w:vAlign w:val="center"/>
                </w:tcPr>
                <w:p w14:paraId="4AC5FFC7">
                  <w:pPr>
                    <w:jc w:val="center"/>
                    <w:rPr>
                      <w:color w:val="auto"/>
                      <w:highlight w:val="none"/>
                    </w:rPr>
                  </w:pPr>
                  <w:r>
                    <w:rPr>
                      <w:color w:val="auto"/>
                      <w:highlight w:val="none"/>
                    </w:rPr>
                    <w:t>＜</w:t>
                  </w:r>
                  <w:r>
                    <w:rPr>
                      <w:rFonts w:hint="eastAsia"/>
                      <w:color w:val="auto"/>
                      <w:highlight w:val="none"/>
                    </w:rPr>
                    <w:t>75</w:t>
                  </w:r>
                </w:p>
              </w:tc>
            </w:tr>
            <w:tr w14:paraId="77E72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04762897">
                  <w:pPr>
                    <w:jc w:val="center"/>
                    <w:rPr>
                      <w:color w:val="auto"/>
                      <w:spacing w:val="-1"/>
                      <w:highlight w:val="none"/>
                    </w:rPr>
                  </w:pPr>
                  <w:r>
                    <w:rPr>
                      <w:color w:val="auto"/>
                      <w:spacing w:val="-1"/>
                      <w:szCs w:val="21"/>
                      <w:highlight w:val="none"/>
                    </w:rPr>
                    <w:t>2</w:t>
                  </w:r>
                </w:p>
              </w:tc>
              <w:tc>
                <w:tcPr>
                  <w:tcW w:w="1275" w:type="dxa"/>
                  <w:tcBorders>
                    <w:tl2br w:val="nil"/>
                    <w:tr2bl w:val="nil"/>
                  </w:tcBorders>
                  <w:vAlign w:val="center"/>
                </w:tcPr>
                <w:p w14:paraId="63392213">
                  <w:pPr>
                    <w:widowControl/>
                    <w:jc w:val="center"/>
                    <w:textAlignment w:val="center"/>
                    <w:rPr>
                      <w:color w:val="auto"/>
                      <w:spacing w:val="-1"/>
                      <w:szCs w:val="21"/>
                      <w:highlight w:val="none"/>
                    </w:rPr>
                  </w:pPr>
                  <w:r>
                    <w:rPr>
                      <w:rFonts w:hint="eastAsia"/>
                      <w:color w:val="auto"/>
                      <w:szCs w:val="21"/>
                      <w:highlight w:val="none"/>
                      <w:lang w:eastAsia="zh-CN"/>
                    </w:rPr>
                    <w:t>提升机</w:t>
                  </w:r>
                </w:p>
              </w:tc>
              <w:tc>
                <w:tcPr>
                  <w:tcW w:w="800" w:type="dxa"/>
                  <w:tcBorders>
                    <w:tl2br w:val="nil"/>
                    <w:tr2bl w:val="nil"/>
                  </w:tcBorders>
                  <w:vAlign w:val="center"/>
                </w:tcPr>
                <w:p w14:paraId="0D2BAFB1">
                  <w:pPr>
                    <w:widowControl/>
                    <w:jc w:val="center"/>
                    <w:textAlignment w:val="center"/>
                    <w:rPr>
                      <w:color w:val="auto"/>
                      <w:spacing w:val="-1"/>
                      <w:highlight w:val="none"/>
                    </w:rPr>
                  </w:pPr>
                  <w:r>
                    <w:rPr>
                      <w:rFonts w:hint="eastAsia"/>
                      <w:color w:val="auto"/>
                      <w:szCs w:val="21"/>
                      <w:highlight w:val="none"/>
                      <w:lang w:val="en-US" w:eastAsia="zh-CN"/>
                    </w:rPr>
                    <w:t>3</w:t>
                  </w:r>
                  <w:r>
                    <w:rPr>
                      <w:rFonts w:hint="eastAsia"/>
                      <w:color w:val="auto"/>
                      <w:szCs w:val="21"/>
                      <w:highlight w:val="none"/>
                    </w:rPr>
                    <w:t>台</w:t>
                  </w:r>
                </w:p>
              </w:tc>
              <w:tc>
                <w:tcPr>
                  <w:tcW w:w="1083" w:type="dxa"/>
                  <w:tcBorders>
                    <w:tl2br w:val="nil"/>
                    <w:tr2bl w:val="nil"/>
                  </w:tcBorders>
                  <w:vAlign w:val="center"/>
                </w:tcPr>
                <w:p w14:paraId="7F14C2F7">
                  <w:pPr>
                    <w:jc w:val="center"/>
                    <w:rPr>
                      <w:rFonts w:hint="default" w:eastAsia="宋体"/>
                      <w:color w:val="auto"/>
                      <w:highlight w:val="none"/>
                      <w:lang w:val="en-US" w:eastAsia="zh-CN"/>
                    </w:rPr>
                  </w:pPr>
                  <w:r>
                    <w:rPr>
                      <w:rFonts w:hint="eastAsia"/>
                      <w:color w:val="auto"/>
                      <w:szCs w:val="21"/>
                      <w:highlight w:val="none"/>
                      <w:lang w:val="en-US" w:eastAsia="zh-CN"/>
                    </w:rPr>
                    <w:t>85</w:t>
                  </w:r>
                </w:p>
              </w:tc>
              <w:tc>
                <w:tcPr>
                  <w:tcW w:w="884" w:type="dxa"/>
                  <w:tcBorders>
                    <w:tl2br w:val="nil"/>
                    <w:tr2bl w:val="nil"/>
                  </w:tcBorders>
                  <w:vAlign w:val="center"/>
                </w:tcPr>
                <w:p w14:paraId="4F990D49">
                  <w:pPr>
                    <w:jc w:val="center"/>
                    <w:rPr>
                      <w:color w:val="auto"/>
                      <w:highlight w:val="none"/>
                    </w:rPr>
                  </w:pPr>
                  <w:r>
                    <w:rPr>
                      <w:rFonts w:hint="eastAsia"/>
                      <w:color w:val="auto"/>
                      <w:highlight w:val="none"/>
                    </w:rPr>
                    <w:t>稳态</w:t>
                  </w:r>
                </w:p>
              </w:tc>
              <w:tc>
                <w:tcPr>
                  <w:tcW w:w="2583" w:type="dxa"/>
                  <w:vMerge w:val="continue"/>
                  <w:tcBorders>
                    <w:tl2br w:val="nil"/>
                    <w:tr2bl w:val="nil"/>
                  </w:tcBorders>
                  <w:vAlign w:val="center"/>
                </w:tcPr>
                <w:p w14:paraId="1B1E48F9">
                  <w:pPr>
                    <w:rPr>
                      <w:color w:val="auto"/>
                      <w:highlight w:val="none"/>
                    </w:rPr>
                  </w:pPr>
                </w:p>
              </w:tc>
              <w:tc>
                <w:tcPr>
                  <w:tcW w:w="1199" w:type="dxa"/>
                  <w:tcBorders>
                    <w:tl2br w:val="nil"/>
                    <w:tr2bl w:val="nil"/>
                  </w:tcBorders>
                  <w:vAlign w:val="center"/>
                </w:tcPr>
                <w:p w14:paraId="45F02E82">
                  <w:pPr>
                    <w:jc w:val="center"/>
                    <w:rPr>
                      <w:color w:val="auto"/>
                      <w:highlight w:val="none"/>
                    </w:rPr>
                  </w:pPr>
                  <w:r>
                    <w:rPr>
                      <w:color w:val="auto"/>
                      <w:highlight w:val="none"/>
                    </w:rPr>
                    <w:t>＜</w:t>
                  </w:r>
                  <w:r>
                    <w:rPr>
                      <w:rFonts w:hint="eastAsia"/>
                      <w:color w:val="auto"/>
                      <w:highlight w:val="none"/>
                    </w:rPr>
                    <w:t>75</w:t>
                  </w:r>
                </w:p>
              </w:tc>
            </w:tr>
            <w:tr w14:paraId="08FB7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73AAA877">
                  <w:pPr>
                    <w:jc w:val="center"/>
                    <w:rPr>
                      <w:color w:val="auto"/>
                      <w:spacing w:val="-1"/>
                      <w:highlight w:val="none"/>
                    </w:rPr>
                  </w:pPr>
                  <w:r>
                    <w:rPr>
                      <w:color w:val="auto"/>
                      <w:spacing w:val="-1"/>
                      <w:szCs w:val="21"/>
                      <w:highlight w:val="none"/>
                    </w:rPr>
                    <w:t>3</w:t>
                  </w:r>
                </w:p>
              </w:tc>
              <w:tc>
                <w:tcPr>
                  <w:tcW w:w="1275" w:type="dxa"/>
                  <w:tcBorders>
                    <w:tl2br w:val="nil"/>
                    <w:tr2bl w:val="nil"/>
                  </w:tcBorders>
                  <w:vAlign w:val="center"/>
                </w:tcPr>
                <w:p w14:paraId="0BDCF457">
                  <w:pPr>
                    <w:widowControl/>
                    <w:jc w:val="center"/>
                    <w:textAlignment w:val="center"/>
                    <w:rPr>
                      <w:color w:val="auto"/>
                      <w:spacing w:val="-1"/>
                      <w:szCs w:val="21"/>
                      <w:highlight w:val="none"/>
                    </w:rPr>
                  </w:pPr>
                  <w:r>
                    <w:rPr>
                      <w:rFonts w:hint="eastAsia"/>
                      <w:color w:val="auto"/>
                      <w:szCs w:val="21"/>
                      <w:highlight w:val="none"/>
                      <w:lang w:eastAsia="zh-CN"/>
                    </w:rPr>
                    <w:t>自动包装机</w:t>
                  </w:r>
                </w:p>
              </w:tc>
              <w:tc>
                <w:tcPr>
                  <w:tcW w:w="800" w:type="dxa"/>
                  <w:tcBorders>
                    <w:tl2br w:val="nil"/>
                    <w:tr2bl w:val="nil"/>
                  </w:tcBorders>
                  <w:vAlign w:val="center"/>
                </w:tcPr>
                <w:p w14:paraId="2204F113">
                  <w:pPr>
                    <w:widowControl/>
                    <w:jc w:val="center"/>
                    <w:textAlignment w:val="center"/>
                    <w:rPr>
                      <w:color w:val="auto"/>
                      <w:highlight w:val="none"/>
                    </w:rPr>
                  </w:pPr>
                  <w:r>
                    <w:rPr>
                      <w:rFonts w:hint="eastAsia"/>
                      <w:color w:val="auto"/>
                      <w:szCs w:val="21"/>
                      <w:highlight w:val="none"/>
                      <w:lang w:val="en-US" w:eastAsia="zh-CN"/>
                    </w:rPr>
                    <w:t>3</w:t>
                  </w:r>
                  <w:r>
                    <w:rPr>
                      <w:rFonts w:hint="eastAsia"/>
                      <w:color w:val="auto"/>
                      <w:szCs w:val="21"/>
                      <w:highlight w:val="none"/>
                    </w:rPr>
                    <w:t>台</w:t>
                  </w:r>
                </w:p>
              </w:tc>
              <w:tc>
                <w:tcPr>
                  <w:tcW w:w="1083" w:type="dxa"/>
                  <w:tcBorders>
                    <w:tl2br w:val="nil"/>
                    <w:tr2bl w:val="nil"/>
                  </w:tcBorders>
                  <w:vAlign w:val="center"/>
                </w:tcPr>
                <w:p w14:paraId="50D99322">
                  <w:pPr>
                    <w:jc w:val="center"/>
                    <w:rPr>
                      <w:rFonts w:hint="default" w:eastAsia="宋体"/>
                      <w:color w:val="auto"/>
                      <w:highlight w:val="none"/>
                      <w:lang w:val="en-US" w:eastAsia="zh-CN"/>
                    </w:rPr>
                  </w:pPr>
                  <w:r>
                    <w:rPr>
                      <w:rFonts w:hint="eastAsia"/>
                      <w:color w:val="auto"/>
                      <w:szCs w:val="21"/>
                      <w:highlight w:val="none"/>
                      <w:lang w:val="en-US" w:eastAsia="zh-CN"/>
                    </w:rPr>
                    <w:t>85</w:t>
                  </w:r>
                </w:p>
              </w:tc>
              <w:tc>
                <w:tcPr>
                  <w:tcW w:w="884" w:type="dxa"/>
                  <w:tcBorders>
                    <w:tl2br w:val="nil"/>
                    <w:tr2bl w:val="nil"/>
                  </w:tcBorders>
                  <w:vAlign w:val="center"/>
                </w:tcPr>
                <w:p w14:paraId="6910A1C3">
                  <w:pPr>
                    <w:jc w:val="center"/>
                    <w:rPr>
                      <w:color w:val="auto"/>
                      <w:highlight w:val="none"/>
                    </w:rPr>
                  </w:pPr>
                  <w:r>
                    <w:rPr>
                      <w:rFonts w:hint="eastAsia"/>
                      <w:color w:val="auto"/>
                      <w:highlight w:val="none"/>
                    </w:rPr>
                    <w:t>稳态</w:t>
                  </w:r>
                </w:p>
              </w:tc>
              <w:tc>
                <w:tcPr>
                  <w:tcW w:w="2583" w:type="dxa"/>
                  <w:vMerge w:val="continue"/>
                  <w:tcBorders>
                    <w:tl2br w:val="nil"/>
                    <w:tr2bl w:val="nil"/>
                  </w:tcBorders>
                </w:tcPr>
                <w:p w14:paraId="482E9D06">
                  <w:pPr>
                    <w:rPr>
                      <w:rFonts w:ascii="Calibri" w:hAnsi="Calibri" w:cs="Calibri"/>
                      <w:color w:val="auto"/>
                      <w:szCs w:val="22"/>
                      <w:highlight w:val="none"/>
                    </w:rPr>
                  </w:pPr>
                </w:p>
              </w:tc>
              <w:tc>
                <w:tcPr>
                  <w:tcW w:w="1199" w:type="dxa"/>
                  <w:tcBorders>
                    <w:tl2br w:val="nil"/>
                    <w:tr2bl w:val="nil"/>
                  </w:tcBorders>
                  <w:vAlign w:val="center"/>
                </w:tcPr>
                <w:p w14:paraId="0D51E38E">
                  <w:pPr>
                    <w:jc w:val="center"/>
                    <w:rPr>
                      <w:color w:val="auto"/>
                      <w:highlight w:val="none"/>
                    </w:rPr>
                  </w:pPr>
                  <w:r>
                    <w:rPr>
                      <w:color w:val="auto"/>
                      <w:highlight w:val="none"/>
                    </w:rPr>
                    <w:t>＜</w:t>
                  </w:r>
                  <w:r>
                    <w:rPr>
                      <w:rFonts w:hint="eastAsia"/>
                      <w:color w:val="auto"/>
                      <w:highlight w:val="none"/>
                    </w:rPr>
                    <w:t>75</w:t>
                  </w:r>
                </w:p>
              </w:tc>
            </w:tr>
            <w:tr w14:paraId="24A5E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7BCC6305">
                  <w:pPr>
                    <w:jc w:val="center"/>
                    <w:rPr>
                      <w:rFonts w:hint="eastAsia" w:eastAsia="宋体"/>
                      <w:color w:val="auto"/>
                      <w:spacing w:val="-1"/>
                      <w:highlight w:val="none"/>
                      <w:lang w:eastAsia="zh-CN"/>
                    </w:rPr>
                  </w:pPr>
                  <w:r>
                    <w:rPr>
                      <w:rFonts w:hint="eastAsia"/>
                      <w:color w:val="auto"/>
                      <w:spacing w:val="-1"/>
                      <w:highlight w:val="none"/>
                      <w:lang w:val="en-US" w:eastAsia="zh-CN"/>
                    </w:rPr>
                    <w:t>4</w:t>
                  </w:r>
                </w:p>
              </w:tc>
              <w:tc>
                <w:tcPr>
                  <w:tcW w:w="1275" w:type="dxa"/>
                  <w:tcBorders>
                    <w:tl2br w:val="nil"/>
                    <w:tr2bl w:val="nil"/>
                  </w:tcBorders>
                  <w:vAlign w:val="center"/>
                </w:tcPr>
                <w:p w14:paraId="650B65B7">
                  <w:pPr>
                    <w:pStyle w:val="30"/>
                    <w:widowControl w:val="0"/>
                    <w:adjustRightInd w:val="0"/>
                    <w:snapToGrid w:val="0"/>
                    <w:spacing w:before="0" w:beforeAutospacing="0" w:after="0" w:afterAutospacing="0"/>
                    <w:jc w:val="center"/>
                    <w:rPr>
                      <w:color w:val="auto"/>
                      <w:sz w:val="21"/>
                      <w:szCs w:val="21"/>
                      <w:highlight w:val="none"/>
                    </w:rPr>
                  </w:pPr>
                  <w:r>
                    <w:rPr>
                      <w:rFonts w:hint="eastAsia" w:ascii="Times New Roman" w:hAnsi="Times New Roman"/>
                      <w:color w:val="auto"/>
                      <w:kern w:val="2"/>
                      <w:sz w:val="21"/>
                      <w:szCs w:val="21"/>
                      <w:highlight w:val="none"/>
                    </w:rPr>
                    <w:t>运输车辆</w:t>
                  </w:r>
                </w:p>
              </w:tc>
              <w:tc>
                <w:tcPr>
                  <w:tcW w:w="800" w:type="dxa"/>
                  <w:tcBorders>
                    <w:tl2br w:val="nil"/>
                    <w:tr2bl w:val="nil"/>
                  </w:tcBorders>
                  <w:vAlign w:val="center"/>
                </w:tcPr>
                <w:p w14:paraId="355BDD75">
                  <w:pPr>
                    <w:pStyle w:val="30"/>
                    <w:widowControl w:val="0"/>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5</w:t>
                  </w:r>
                  <w:r>
                    <w:rPr>
                      <w:rFonts w:hint="eastAsia" w:ascii="Times New Roman" w:hAnsi="Times New Roman"/>
                      <w:color w:val="auto"/>
                      <w:sz w:val="21"/>
                      <w:szCs w:val="21"/>
                      <w:highlight w:val="none"/>
                    </w:rPr>
                    <w:t>辆</w:t>
                  </w:r>
                </w:p>
              </w:tc>
              <w:tc>
                <w:tcPr>
                  <w:tcW w:w="1083" w:type="dxa"/>
                  <w:tcBorders>
                    <w:tl2br w:val="nil"/>
                    <w:tr2bl w:val="nil"/>
                  </w:tcBorders>
                  <w:vAlign w:val="center"/>
                </w:tcPr>
                <w:p w14:paraId="00EA129F">
                  <w:pPr>
                    <w:jc w:val="center"/>
                    <w:rPr>
                      <w:rFonts w:hint="eastAsia" w:eastAsia="宋体"/>
                      <w:color w:val="auto"/>
                      <w:highlight w:val="none"/>
                      <w:lang w:eastAsia="zh-CN"/>
                    </w:rPr>
                  </w:pPr>
                  <w:r>
                    <w:rPr>
                      <w:rFonts w:hint="eastAsia"/>
                      <w:color w:val="auto"/>
                      <w:szCs w:val="21"/>
                      <w:highlight w:val="none"/>
                    </w:rPr>
                    <w:t>8</w:t>
                  </w:r>
                  <w:r>
                    <w:rPr>
                      <w:rFonts w:hint="eastAsia"/>
                      <w:color w:val="auto"/>
                      <w:szCs w:val="21"/>
                      <w:highlight w:val="none"/>
                      <w:lang w:val="en-US" w:eastAsia="zh-CN"/>
                    </w:rPr>
                    <w:t>0</w:t>
                  </w:r>
                </w:p>
              </w:tc>
              <w:tc>
                <w:tcPr>
                  <w:tcW w:w="884" w:type="dxa"/>
                  <w:tcBorders>
                    <w:tl2br w:val="nil"/>
                    <w:tr2bl w:val="nil"/>
                  </w:tcBorders>
                  <w:vAlign w:val="center"/>
                </w:tcPr>
                <w:p w14:paraId="6A4FD173">
                  <w:pPr>
                    <w:jc w:val="center"/>
                    <w:rPr>
                      <w:rFonts w:ascii="宋体" w:hAnsi="宋体" w:cs="宋体"/>
                      <w:color w:val="auto"/>
                      <w:highlight w:val="none"/>
                    </w:rPr>
                  </w:pPr>
                  <w:r>
                    <w:rPr>
                      <w:rFonts w:hint="eastAsia" w:ascii="宋体" w:hAnsi="宋体" w:cs="宋体"/>
                      <w:color w:val="auto"/>
                      <w:highlight w:val="none"/>
                    </w:rPr>
                    <w:t>非稳态</w:t>
                  </w:r>
                </w:p>
              </w:tc>
              <w:tc>
                <w:tcPr>
                  <w:tcW w:w="2583" w:type="dxa"/>
                  <w:tcBorders>
                    <w:tl2br w:val="nil"/>
                    <w:tr2bl w:val="nil"/>
                  </w:tcBorders>
                  <w:vAlign w:val="center"/>
                </w:tcPr>
                <w:p w14:paraId="65EDB305">
                  <w:pPr>
                    <w:jc w:val="center"/>
                    <w:rPr>
                      <w:rFonts w:ascii="宋体" w:hAnsi="宋体" w:cs="宋体"/>
                      <w:color w:val="auto"/>
                      <w:highlight w:val="none"/>
                    </w:rPr>
                  </w:pPr>
                  <w:r>
                    <w:rPr>
                      <w:rFonts w:hint="eastAsia"/>
                      <w:color w:val="auto"/>
                      <w:szCs w:val="21"/>
                      <w:highlight w:val="none"/>
                    </w:rPr>
                    <w:t>限速限载</w:t>
                  </w:r>
                  <w:r>
                    <w:rPr>
                      <w:color w:val="auto"/>
                      <w:szCs w:val="21"/>
                      <w:highlight w:val="none"/>
                    </w:rPr>
                    <w:t>，</w:t>
                  </w:r>
                  <w:r>
                    <w:rPr>
                      <w:rFonts w:hint="eastAsia"/>
                      <w:color w:val="auto"/>
                      <w:szCs w:val="21"/>
                      <w:highlight w:val="none"/>
                    </w:rPr>
                    <w:t>途经住户时减速</w:t>
                  </w:r>
                  <w:r>
                    <w:rPr>
                      <w:color w:val="auto"/>
                      <w:szCs w:val="21"/>
                      <w:highlight w:val="none"/>
                    </w:rPr>
                    <w:t>慢行</w:t>
                  </w:r>
                </w:p>
              </w:tc>
              <w:tc>
                <w:tcPr>
                  <w:tcW w:w="1199" w:type="dxa"/>
                  <w:tcBorders>
                    <w:tl2br w:val="nil"/>
                    <w:tr2bl w:val="nil"/>
                  </w:tcBorders>
                  <w:vAlign w:val="center"/>
                </w:tcPr>
                <w:p w14:paraId="490B1354">
                  <w:pPr>
                    <w:jc w:val="center"/>
                    <w:rPr>
                      <w:rFonts w:ascii="宋体" w:hAnsi="宋体" w:cs="宋体"/>
                      <w:color w:val="auto"/>
                      <w:highlight w:val="none"/>
                    </w:rPr>
                  </w:pPr>
                  <w:r>
                    <w:rPr>
                      <w:color w:val="auto"/>
                      <w:highlight w:val="none"/>
                    </w:rPr>
                    <w:t>＜</w:t>
                  </w:r>
                  <w:r>
                    <w:rPr>
                      <w:rFonts w:hint="eastAsia"/>
                      <w:color w:val="auto"/>
                      <w:highlight w:val="none"/>
                    </w:rPr>
                    <w:t>70</w:t>
                  </w:r>
                </w:p>
              </w:tc>
            </w:tr>
          </w:tbl>
          <w:p w14:paraId="64C18DD3">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根据项目噪声污染源的特征，按照《环境影响评价技术导则声环境》（</w:t>
            </w:r>
            <w:r>
              <w:rPr>
                <w:color w:val="auto"/>
                <w:sz w:val="24"/>
                <w:highlight w:val="none"/>
              </w:rPr>
              <w:t>HJ2.4-20</w:t>
            </w:r>
            <w:r>
              <w:rPr>
                <w:rFonts w:hint="eastAsia"/>
                <w:color w:val="auto"/>
                <w:sz w:val="24"/>
                <w:highlight w:val="none"/>
              </w:rPr>
              <w:t>21</w:t>
            </w:r>
            <w:r>
              <w:rPr>
                <w:rFonts w:ascii="宋体" w:hAnsi="宋体"/>
                <w:color w:val="auto"/>
                <w:sz w:val="24"/>
                <w:highlight w:val="none"/>
              </w:rPr>
              <w:t>）要求，采用多声源叠加综合预测模式对项目产生噪声的发散衰减进行模拟预测。</w:t>
            </w:r>
          </w:p>
          <w:p w14:paraId="4187AD22">
            <w:pPr>
              <w:snapToGrid w:val="0"/>
              <w:spacing w:line="360" w:lineRule="auto"/>
              <w:ind w:firstLine="480"/>
              <w:rPr>
                <w:rFonts w:hAnsi="宋体"/>
                <w:color w:val="auto"/>
                <w:sz w:val="24"/>
                <w:highlight w:val="none"/>
              </w:rPr>
            </w:pPr>
            <w:r>
              <w:rPr>
                <w:rFonts w:hAnsi="宋体"/>
                <w:color w:val="auto"/>
                <w:sz w:val="24"/>
                <w:highlight w:val="none"/>
              </w:rPr>
              <w:t>①室内声源</w:t>
            </w:r>
          </w:p>
          <w:p w14:paraId="1B721425">
            <w:pPr>
              <w:snapToGrid w:val="0"/>
              <w:spacing w:line="360" w:lineRule="auto"/>
              <w:ind w:firstLine="480"/>
              <w:rPr>
                <w:color w:val="auto"/>
                <w:sz w:val="24"/>
                <w:highlight w:val="none"/>
              </w:rPr>
            </w:pPr>
            <w:r>
              <w:rPr>
                <w:rFonts w:hAnsi="宋体"/>
                <w:color w:val="auto"/>
                <w:sz w:val="24"/>
                <w:highlight w:val="none"/>
              </w:rPr>
              <w:t>根据《环境影响评价技术导则</w:t>
            </w:r>
            <w:r>
              <w:rPr>
                <w:color w:val="auto"/>
                <w:sz w:val="24"/>
                <w:highlight w:val="none"/>
              </w:rPr>
              <w:t xml:space="preserve"> </w:t>
            </w:r>
            <w:r>
              <w:rPr>
                <w:rFonts w:hAnsi="宋体"/>
                <w:color w:val="auto"/>
                <w:sz w:val="24"/>
                <w:highlight w:val="none"/>
              </w:rPr>
              <w:t>声环境》（</w:t>
            </w:r>
            <w:r>
              <w:rPr>
                <w:color w:val="auto"/>
                <w:sz w:val="24"/>
                <w:highlight w:val="none"/>
              </w:rPr>
              <w:t>HJ2.4-20</w:t>
            </w:r>
            <w:r>
              <w:rPr>
                <w:rFonts w:hint="eastAsia"/>
                <w:color w:val="auto"/>
                <w:sz w:val="24"/>
                <w:highlight w:val="none"/>
              </w:rPr>
              <w:t>21</w:t>
            </w:r>
            <w:r>
              <w:rPr>
                <w:rFonts w:hAnsi="宋体"/>
                <w:color w:val="auto"/>
                <w:sz w:val="24"/>
                <w:highlight w:val="none"/>
              </w:rPr>
              <w:t>），室内声源可采用等效室外声源声功率级法进行计算。设靠近开口处（或窗户）室内、室外某倍频带的声压级分别为</w:t>
            </w:r>
            <w:r>
              <w:rPr>
                <w:i/>
                <w:color w:val="auto"/>
                <w:sz w:val="24"/>
                <w:highlight w:val="none"/>
              </w:rPr>
              <w:t>L</w:t>
            </w:r>
            <w:r>
              <w:rPr>
                <w:i/>
                <w:color w:val="auto"/>
                <w:sz w:val="24"/>
                <w:highlight w:val="none"/>
                <w:vertAlign w:val="subscript"/>
              </w:rPr>
              <w:t>P1</w:t>
            </w:r>
            <w:r>
              <w:rPr>
                <w:rFonts w:hAnsi="宋体"/>
                <w:color w:val="auto"/>
                <w:sz w:val="24"/>
                <w:highlight w:val="none"/>
              </w:rPr>
              <w:t>和</w:t>
            </w:r>
            <w:r>
              <w:rPr>
                <w:i/>
                <w:color w:val="auto"/>
                <w:sz w:val="24"/>
                <w:highlight w:val="none"/>
              </w:rPr>
              <w:t>L</w:t>
            </w:r>
            <w:r>
              <w:rPr>
                <w:i/>
                <w:color w:val="auto"/>
                <w:sz w:val="24"/>
                <w:highlight w:val="none"/>
                <w:vertAlign w:val="subscript"/>
              </w:rPr>
              <w:t>P2</w:t>
            </w:r>
            <w:r>
              <w:rPr>
                <w:rFonts w:hAnsi="宋体"/>
                <w:color w:val="auto"/>
                <w:sz w:val="24"/>
                <w:highlight w:val="none"/>
              </w:rPr>
              <w:t>。若声源所在室内声场为近似扩散声场，则室外的倍频带声压级可按下式近似求出：</w:t>
            </w:r>
          </w:p>
          <w:p w14:paraId="240BC182">
            <w:pPr>
              <w:snapToGrid w:val="0"/>
              <w:spacing w:line="360" w:lineRule="auto"/>
              <w:ind w:firstLine="480"/>
              <w:jc w:val="center"/>
              <w:rPr>
                <w:color w:val="auto"/>
                <w:sz w:val="24"/>
                <w:highlight w:val="none"/>
              </w:rPr>
            </w:pPr>
            <w:r>
              <w:rPr>
                <w:color w:val="auto"/>
                <w:sz w:val="24"/>
                <w:highlight w:val="none"/>
                <w:lang w:val="en-GB" w:eastAsia="zh-TW"/>
              </w:rPr>
              <w:object>
                <v:shape id="_x0000_i1032" o:spt="75" type="#_x0000_t75" style="height:15pt;width:98.2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p>
          <w:p w14:paraId="04B52A78">
            <w:pPr>
              <w:snapToGrid w:val="0"/>
              <w:spacing w:line="360" w:lineRule="auto"/>
              <w:ind w:firstLine="480"/>
              <w:rPr>
                <w:rFonts w:ascii="宋体" w:hAnsi="宋体"/>
                <w:color w:val="auto"/>
                <w:sz w:val="24"/>
                <w:highlight w:val="none"/>
              </w:rPr>
            </w:pPr>
            <w:r>
              <w:rPr>
                <w:rFonts w:hAnsi="宋体"/>
                <w:color w:val="auto"/>
                <w:sz w:val="24"/>
                <w:highlight w:val="none"/>
              </w:rPr>
              <w:t>式中：</w:t>
            </w:r>
            <w:r>
              <w:rPr>
                <w:color w:val="auto"/>
                <w:sz w:val="24"/>
                <w:highlight w:val="none"/>
                <w:lang w:val="en-GB" w:eastAsia="zh-TW"/>
              </w:rPr>
              <w:object>
                <v:shape id="_x0000_i1033" o:spt="75" type="#_x0000_t75" style="height:13.5pt;width:1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color w:val="auto"/>
                <w:sz w:val="24"/>
                <w:highlight w:val="none"/>
              </w:rPr>
              <w:t>---</w:t>
            </w:r>
            <w:r>
              <w:rPr>
                <w:rFonts w:hAnsi="宋体"/>
                <w:color w:val="auto"/>
                <w:sz w:val="24"/>
                <w:highlight w:val="none"/>
              </w:rPr>
              <w:t>隔墙（或窗户）倍频带的隔声量，</w:t>
            </w:r>
            <w:r>
              <w:rPr>
                <w:color w:val="auto"/>
                <w:sz w:val="24"/>
                <w:highlight w:val="none"/>
              </w:rPr>
              <w:t>dB</w:t>
            </w:r>
            <w:r>
              <w:rPr>
                <w:rFonts w:hAnsi="宋体"/>
                <w:color w:val="auto"/>
                <w:sz w:val="24"/>
                <w:highlight w:val="none"/>
              </w:rPr>
              <w:t>（</w:t>
            </w:r>
            <w:r>
              <w:rPr>
                <w:color w:val="auto"/>
                <w:sz w:val="24"/>
                <w:highlight w:val="none"/>
              </w:rPr>
              <w:t>A</w:t>
            </w:r>
            <w:r>
              <w:rPr>
                <w:rFonts w:hAnsi="宋体"/>
                <w:color w:val="auto"/>
                <w:sz w:val="24"/>
                <w:highlight w:val="none"/>
              </w:rPr>
              <w:t>）。</w:t>
            </w:r>
          </w:p>
          <w:p w14:paraId="071DCFD4">
            <w:pPr>
              <w:adjustRightInd w:val="0"/>
              <w:snapToGrid w:val="0"/>
              <w:spacing w:line="360" w:lineRule="auto"/>
              <w:ind w:firstLine="480" w:firstLineChars="200"/>
              <w:jc w:val="left"/>
              <w:rPr>
                <w:color w:val="auto"/>
                <w:spacing w:val="4"/>
                <w:sz w:val="24"/>
                <w:highlight w:val="none"/>
              </w:rPr>
            </w:pPr>
            <w:r>
              <w:rPr>
                <w:rFonts w:hint="eastAsia"/>
                <w:color w:val="auto"/>
                <w:sz w:val="24"/>
                <w:highlight w:val="none"/>
              </w:rPr>
              <w:t>②</w:t>
            </w:r>
            <w:r>
              <w:rPr>
                <w:rFonts w:ascii="宋体" w:hAnsi="宋体"/>
                <w:color w:val="auto"/>
                <w:spacing w:val="4"/>
                <w:sz w:val="24"/>
                <w:highlight w:val="none"/>
              </w:rPr>
              <w:t>衰减预测</w:t>
            </w:r>
          </w:p>
          <w:p w14:paraId="096465AB">
            <w:pPr>
              <w:adjustRightInd w:val="0"/>
              <w:snapToGrid w:val="0"/>
              <w:spacing w:line="360" w:lineRule="auto"/>
              <w:ind w:firstLine="420" w:firstLineChars="200"/>
              <w:jc w:val="center"/>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"C:\\Users\\ADMINI~1\\AppData\\Local\\Temp\\ksohtml7844\\wps1.png" \* MERGEFORMATINET </w:instrText>
            </w:r>
            <w:r>
              <w:rPr>
                <w:color w:val="auto"/>
                <w:highlight w:val="none"/>
              </w:rPr>
              <w:fldChar w:fldCharType="separate"/>
            </w:r>
            <w:r>
              <w:rPr>
                <w:color w:val="auto"/>
                <w:highlight w:val="none"/>
              </w:rPr>
              <w:drawing>
                <wp:inline distT="0" distB="0" distL="114300" distR="114300">
                  <wp:extent cx="1887220" cy="400685"/>
                  <wp:effectExtent l="0" t="0" r="0" b="18415"/>
                  <wp:docPr id="24" name="图片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wps1"/>
                          <pic:cNvPicPr>
                            <a:picLocks noChangeAspect="1"/>
                          </pic:cNvPicPr>
                        </pic:nvPicPr>
                        <pic:blipFill>
                          <a:blip r:embed="rId29" cstate="print"/>
                          <a:stretch>
                            <a:fillRect/>
                          </a:stretch>
                        </pic:blipFill>
                        <pic:spPr>
                          <a:xfrm>
                            <a:off x="0" y="0"/>
                            <a:ext cx="1887220" cy="40068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 xml:space="preserve"> </w:t>
            </w:r>
          </w:p>
          <w:p w14:paraId="02EFA0D4">
            <w:pPr>
              <w:adjustRightInd w:val="0"/>
              <w:snapToGrid w:val="0"/>
              <w:spacing w:line="360" w:lineRule="auto"/>
              <w:jc w:val="left"/>
              <w:rPr>
                <w:color w:val="auto"/>
                <w:spacing w:val="4"/>
                <w:sz w:val="24"/>
                <w:highlight w:val="none"/>
              </w:rPr>
            </w:pPr>
            <w:r>
              <w:rPr>
                <w:rFonts w:ascii="宋体" w:hAnsi="宋体"/>
                <w:color w:val="auto"/>
                <w:spacing w:val="4"/>
                <w:sz w:val="24"/>
                <w:highlight w:val="none"/>
              </w:rPr>
              <w:t>式中：</w:t>
            </w:r>
          </w:p>
          <w:p w14:paraId="0A5D647E">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"C:\\Users\\ADMINI~1\\AppData\\Local\\Temp\\ksohtml7844\\wps2.png" \* MERGEFORMATINET </w:instrText>
            </w:r>
            <w:r>
              <w:rPr>
                <w:color w:val="auto"/>
                <w:highlight w:val="none"/>
              </w:rPr>
              <w:fldChar w:fldCharType="separate"/>
            </w:r>
            <w:r>
              <w:rPr>
                <w:color w:val="auto"/>
                <w:highlight w:val="none"/>
              </w:rPr>
              <w:drawing>
                <wp:inline distT="0" distB="0" distL="114300" distR="114300">
                  <wp:extent cx="189230" cy="247015"/>
                  <wp:effectExtent l="0" t="0" r="1270" b="635"/>
                  <wp:docPr id="25" name="图片 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wps2"/>
                          <pic:cNvPicPr>
                            <a:picLocks noChangeAspect="1"/>
                          </pic:cNvPicPr>
                        </pic:nvPicPr>
                        <pic:blipFill>
                          <a:blip r:embed="rId30" cstate="print"/>
                          <a:stretch>
                            <a:fillRect/>
                          </a:stretch>
                        </pic:blipFill>
                        <pic:spPr>
                          <a:xfrm>
                            <a:off x="0" y="0"/>
                            <a:ext cx="189230"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rFonts w:ascii="宋体" w:hAnsi="宋体"/>
                <w:color w:val="auto"/>
                <w:spacing w:val="4"/>
                <w:sz w:val="24"/>
                <w:highlight w:val="none"/>
              </w:rPr>
              <w:t>米处的施工噪声预测值，</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707A3203">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"C:\\Users\\ADMINI~1\\AppData\\Local\\Temp\\ksohtml7844\\wps3.png"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6"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wps5"/>
                          <pic:cNvPicPr>
                            <a:picLocks noChangeAspect="1"/>
                          </pic:cNvPicPr>
                        </pic:nvPicPr>
                        <pic:blipFill>
                          <a:blip r:embed="rId31"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color w:val="auto"/>
                <w:spacing w:val="4"/>
                <w:sz w:val="24"/>
                <w:highlight w:val="none"/>
                <w:vertAlign w:val="subscript"/>
              </w:rPr>
              <w:t>o</w:t>
            </w:r>
            <w:r>
              <w:rPr>
                <w:rFonts w:ascii="宋体" w:hAnsi="宋体"/>
                <w:color w:val="auto"/>
                <w:spacing w:val="4"/>
                <w:sz w:val="24"/>
                <w:highlight w:val="none"/>
              </w:rPr>
              <w:t>米处的参考声级，</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31B4F44D">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"C:\\Users\\ADMINI~1\\AppData\\Local\\Temp\\ksohtml7844\\wps4.png" \* MERGEFORMATINET </w:instrText>
            </w:r>
            <w:r>
              <w:rPr>
                <w:color w:val="auto"/>
                <w:highlight w:val="none"/>
              </w:rPr>
              <w:fldChar w:fldCharType="separate"/>
            </w:r>
            <w:r>
              <w:rPr>
                <w:color w:val="auto"/>
                <w:highlight w:val="none"/>
              </w:rPr>
              <w:drawing>
                <wp:inline distT="0" distB="0" distL="114300" distR="114300">
                  <wp:extent cx="134620" cy="227965"/>
                  <wp:effectExtent l="0" t="0" r="17780" b="635"/>
                  <wp:docPr id="27" name="图片 1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wps4"/>
                          <pic:cNvPicPr>
                            <a:picLocks noChangeAspect="1"/>
                          </pic:cNvPicPr>
                        </pic:nvPicPr>
                        <pic:blipFill>
                          <a:blip r:embed="rId32" cstate="print"/>
                          <a:stretch>
                            <a:fillRect/>
                          </a:stretch>
                        </pic:blipFill>
                        <pic:spPr>
                          <a:xfrm>
                            <a:off x="0" y="0"/>
                            <a:ext cx="134620" cy="22796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color w:val="auto"/>
                <w:highlight w:val="none"/>
              </w:rPr>
              <w:fldChar w:fldCharType="begin"/>
            </w:r>
            <w:r>
              <w:rPr>
                <w:color w:val="auto"/>
                <w:highlight w:val="none"/>
              </w:rPr>
              <w:instrText xml:space="preserve"> INCLUDEPICTURE "C:\\Users\\ADMINI~1\\AppData\\Local\\Temp\\ksohtml7844\\wps5.png"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8" name="图片 1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wps5"/>
                          <pic:cNvPicPr>
                            <a:picLocks noChangeAspect="1"/>
                          </pic:cNvPicPr>
                        </pic:nvPicPr>
                        <pic:blipFill>
                          <a:blip r:embed="rId31"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rFonts w:ascii="宋体" w:hAnsi="宋体"/>
                <w:color w:val="auto"/>
                <w:spacing w:val="4"/>
                <w:sz w:val="24"/>
                <w:highlight w:val="none"/>
              </w:rPr>
              <w:t>噪声的测点距离（</w:t>
            </w:r>
            <w:r>
              <w:rPr>
                <w:color w:val="auto"/>
                <w:spacing w:val="4"/>
                <w:sz w:val="24"/>
                <w:highlight w:val="none"/>
              </w:rPr>
              <w:t>5m</w:t>
            </w:r>
            <w:r>
              <w:rPr>
                <w:rFonts w:ascii="宋体" w:hAnsi="宋体"/>
                <w:color w:val="auto"/>
                <w:spacing w:val="4"/>
                <w:sz w:val="24"/>
                <w:highlight w:val="none"/>
              </w:rPr>
              <w:t>或</w:t>
            </w:r>
            <w:r>
              <w:rPr>
                <w:color w:val="auto"/>
                <w:spacing w:val="4"/>
                <w:sz w:val="24"/>
                <w:highlight w:val="none"/>
              </w:rPr>
              <w:t>1m</w:t>
            </w:r>
            <w:r>
              <w:rPr>
                <w:rFonts w:ascii="宋体" w:hAnsi="宋体"/>
                <w:color w:val="auto"/>
                <w:spacing w:val="4"/>
                <w:sz w:val="24"/>
                <w:highlight w:val="none"/>
              </w:rPr>
              <w:t>），</w:t>
            </w:r>
            <w:r>
              <w:rPr>
                <w:color w:val="auto"/>
                <w:spacing w:val="4"/>
                <w:sz w:val="24"/>
                <w:highlight w:val="none"/>
              </w:rPr>
              <w:t>m</w:t>
            </w:r>
            <w:r>
              <w:rPr>
                <w:rFonts w:ascii="宋体" w:hAnsi="宋体"/>
                <w:color w:val="auto"/>
                <w:spacing w:val="4"/>
                <w:sz w:val="24"/>
                <w:highlight w:val="none"/>
              </w:rPr>
              <w:t>；</w:t>
            </w:r>
          </w:p>
          <w:p w14:paraId="626C7D92">
            <w:pPr>
              <w:adjustRightInd w:val="0"/>
              <w:snapToGrid w:val="0"/>
              <w:spacing w:line="360" w:lineRule="auto"/>
              <w:ind w:firstLine="496" w:firstLineChars="200"/>
              <w:jc w:val="left"/>
              <w:rPr>
                <w:color w:val="auto"/>
                <w:spacing w:val="4"/>
                <w:sz w:val="24"/>
                <w:highlight w:val="none"/>
              </w:rPr>
            </w:pPr>
            <w:r>
              <w:rPr>
                <w:rFonts w:ascii="Cambria Math" w:hAnsi="Cambria Math"/>
                <w:color w:val="auto"/>
                <w:spacing w:val="4"/>
                <w:sz w:val="24"/>
                <w:highlight w:val="none"/>
              </w:rPr>
              <w:t>△</w:t>
            </w:r>
            <w:r>
              <w:rPr>
                <w:color w:val="auto"/>
                <w:spacing w:val="4"/>
                <w:sz w:val="24"/>
                <w:highlight w:val="none"/>
              </w:rPr>
              <w:t>L——</w:t>
            </w:r>
            <w:r>
              <w:rPr>
                <w:rFonts w:ascii="宋体" w:hAnsi="宋体"/>
                <w:color w:val="auto"/>
                <w:spacing w:val="4"/>
                <w:sz w:val="24"/>
                <w:highlight w:val="none"/>
              </w:rPr>
              <w:t>采取各种措施后的噪声衰减量，</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62BE0768">
            <w:pPr>
              <w:pStyle w:val="2"/>
              <w:snapToGrid w:val="0"/>
              <w:spacing w:line="360" w:lineRule="auto"/>
              <w:ind w:firstLine="480" w:firstLineChars="200"/>
              <w:rPr>
                <w:color w:val="auto"/>
                <w:highlight w:val="none"/>
              </w:rPr>
            </w:pPr>
            <w:r>
              <w:rPr>
                <w:rFonts w:hint="eastAsia" w:ascii="宋体" w:hAnsi="宋体" w:cs="宋体"/>
                <w:color w:val="auto"/>
                <w:highlight w:val="none"/>
              </w:rPr>
              <w:t>③</w:t>
            </w:r>
            <w:r>
              <w:rPr>
                <w:rFonts w:hint="eastAsia" w:hAnsi="宋体"/>
                <w:color w:val="auto"/>
                <w:highlight w:val="none"/>
              </w:rPr>
              <w:t>多声源声压级的叠加</w:t>
            </w:r>
          </w:p>
          <w:tbl>
            <w:tblPr>
              <w:tblStyle w:val="36"/>
              <w:tblW w:w="2851" w:type="dxa"/>
              <w:tblCellSpacing w:w="0" w:type="dxa"/>
              <w:tblInd w:w="2882" w:type="dxa"/>
              <w:tblLayout w:type="fixed"/>
              <w:tblCellMar>
                <w:top w:w="0" w:type="dxa"/>
                <w:left w:w="0" w:type="dxa"/>
                <w:bottom w:w="0" w:type="dxa"/>
                <w:right w:w="0" w:type="dxa"/>
              </w:tblCellMar>
            </w:tblPr>
            <w:tblGrid>
              <w:gridCol w:w="2851"/>
            </w:tblGrid>
            <w:tr w14:paraId="77348428">
              <w:tblPrEx>
                <w:tblCellMar>
                  <w:top w:w="0" w:type="dxa"/>
                  <w:left w:w="0" w:type="dxa"/>
                  <w:bottom w:w="0" w:type="dxa"/>
                  <w:right w:w="0" w:type="dxa"/>
                </w:tblCellMar>
              </w:tblPrEx>
              <w:trPr>
                <w:tblCellSpacing w:w="0" w:type="dxa"/>
              </w:trPr>
              <w:tc>
                <w:tcPr>
                  <w:tcW w:w="2851" w:type="dxa"/>
                  <w:vAlign w:val="center"/>
                </w:tcPr>
                <w:p w14:paraId="4C8B6352">
                  <w:pPr>
                    <w:widowControl/>
                    <w:jc w:val="left"/>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"C:\\Users\\ADMINI~1\\AppData\\Local\\Temp\\ksohtml7844\\wps6.png"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1810385" cy="447040"/>
                        <wp:effectExtent l="0" t="0" r="0" b="10795"/>
                        <wp:docPr id="29" name="图片 1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wps6"/>
                                <pic:cNvPicPr>
                                  <a:picLocks noChangeAspect="1"/>
                                </pic:cNvPicPr>
                              </pic:nvPicPr>
                              <pic:blipFill>
                                <a:blip r:embed="rId33" cstate="print"/>
                                <a:stretch>
                                  <a:fillRect/>
                                </a:stretch>
                              </pic:blipFill>
                              <pic:spPr>
                                <a:xfrm>
                                  <a:off x="0" y="0"/>
                                  <a:ext cx="1810385" cy="447040"/>
                                </a:xfrm>
                                <a:prstGeom prst="rect">
                                  <a:avLst/>
                                </a:prstGeom>
                                <a:noFill/>
                                <a:ln>
                                  <a:noFill/>
                                </a:ln>
                              </pic:spPr>
                            </pic:pic>
                          </a:graphicData>
                        </a:graphic>
                      </wp:inline>
                    </w:drawing>
                  </w:r>
                  <w:r>
                    <w:rPr>
                      <w:rFonts w:ascii="宋体" w:hAnsi="宋体" w:cs="宋体"/>
                      <w:color w:val="auto"/>
                      <w:kern w:val="0"/>
                      <w:sz w:val="24"/>
                      <w:highlight w:val="none"/>
                    </w:rPr>
                    <w:fldChar w:fldCharType="end"/>
                  </w:r>
                </w:p>
              </w:tc>
            </w:tr>
          </w:tbl>
          <w:p w14:paraId="30A0C821">
            <w:pPr>
              <w:autoSpaceDE w:val="0"/>
              <w:autoSpaceDN w:val="0"/>
              <w:spacing w:line="360" w:lineRule="auto"/>
              <w:ind w:firstLine="720" w:firstLineChars="300"/>
              <w:rPr>
                <w:color w:val="auto"/>
                <w:sz w:val="24"/>
                <w:highlight w:val="none"/>
              </w:rPr>
            </w:pPr>
            <w:r>
              <w:rPr>
                <w:rFonts w:ascii="宋体" w:hAnsi="宋体"/>
                <w:color w:val="auto"/>
                <w:sz w:val="24"/>
                <w:highlight w:val="none"/>
              </w:rPr>
              <w:t>当有多个声源共同作用时，受声点的总声级计算公式：</w:t>
            </w:r>
            <w:r>
              <w:rPr>
                <w:color w:val="auto"/>
                <w:sz w:val="24"/>
                <w:highlight w:val="none"/>
              </w:rPr>
              <w:t xml:space="preserve"> </w:t>
            </w:r>
          </w:p>
          <w:p w14:paraId="5C7C1EC8">
            <w:pPr>
              <w:pStyle w:val="44"/>
              <w:snapToGrid w:val="0"/>
              <w:spacing w:line="360" w:lineRule="auto"/>
              <w:ind w:firstLine="240" w:firstLineChars="100"/>
              <w:rPr>
                <w:rFonts w:ascii="Times New Roman"/>
                <w:b w:val="0"/>
                <w:bCs w:val="0"/>
                <w:color w:val="auto"/>
                <w:highlight w:val="none"/>
              </w:rPr>
            </w:pPr>
            <w:r>
              <w:rPr>
                <w:b w:val="0"/>
                <w:bCs w:val="0"/>
                <w:color w:val="auto"/>
                <w:sz w:val="24"/>
                <w:szCs w:val="24"/>
                <w:highlight w:val="none"/>
              </w:rPr>
              <w:t>式中：</w:t>
            </w:r>
            <w:r>
              <w:rPr>
                <w:rFonts w:ascii="Times New Roman"/>
                <w:b w:val="0"/>
                <w:bCs w:val="0"/>
                <w:color w:val="auto"/>
                <w:sz w:val="24"/>
                <w:szCs w:val="24"/>
                <w:highlight w:val="none"/>
              </w:rPr>
              <w:t>Leq</w:t>
            </w:r>
            <w:r>
              <w:rPr>
                <w:b w:val="0"/>
                <w:bCs w:val="0"/>
                <w:color w:val="auto"/>
                <w:sz w:val="24"/>
                <w:szCs w:val="24"/>
                <w:highlight w:val="none"/>
              </w:rPr>
              <w:t>为某受声点总声级；</w:t>
            </w:r>
            <w:r>
              <w:rPr>
                <w:rFonts w:ascii="Times New Roman"/>
                <w:b w:val="0"/>
                <w:bCs w:val="0"/>
                <w:color w:val="auto"/>
                <w:sz w:val="24"/>
                <w:szCs w:val="24"/>
                <w:highlight w:val="none"/>
              </w:rPr>
              <w:t>Li</w:t>
            </w:r>
            <w:r>
              <w:rPr>
                <w:b w:val="0"/>
                <w:bCs w:val="0"/>
                <w:color w:val="auto"/>
                <w:sz w:val="24"/>
                <w:szCs w:val="24"/>
                <w:highlight w:val="none"/>
              </w:rPr>
              <w:t>为第</w:t>
            </w:r>
            <w:r>
              <w:rPr>
                <w:rFonts w:ascii="Times New Roman"/>
                <w:b w:val="0"/>
                <w:bCs w:val="0"/>
                <w:color w:val="auto"/>
                <w:sz w:val="24"/>
                <w:szCs w:val="24"/>
                <w:highlight w:val="none"/>
              </w:rPr>
              <w:t>i</w:t>
            </w:r>
            <w:r>
              <w:rPr>
                <w:b w:val="0"/>
                <w:bCs w:val="0"/>
                <w:color w:val="auto"/>
                <w:sz w:val="24"/>
                <w:szCs w:val="24"/>
                <w:highlight w:val="none"/>
              </w:rPr>
              <w:t>个声源在受声点产生的声级。</w:t>
            </w:r>
          </w:p>
          <w:p w14:paraId="6B1E5149">
            <w:pPr>
              <w:snapToGrid w:val="0"/>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4 \* GB3 \* MERGEFORMAT </w:instrText>
            </w:r>
            <w:r>
              <w:rPr>
                <w:color w:val="auto"/>
                <w:sz w:val="24"/>
                <w:highlight w:val="none"/>
              </w:rPr>
              <w:fldChar w:fldCharType="separate"/>
            </w:r>
            <w:r>
              <w:rPr>
                <w:color w:val="auto"/>
                <w:sz w:val="24"/>
                <w:highlight w:val="none"/>
              </w:rPr>
              <w:t>④</w:t>
            </w:r>
            <w:r>
              <w:rPr>
                <w:color w:val="auto"/>
                <w:sz w:val="24"/>
                <w:highlight w:val="none"/>
              </w:rPr>
              <w:fldChar w:fldCharType="end"/>
            </w:r>
            <w:r>
              <w:rPr>
                <w:rFonts w:ascii="宋体" w:hAnsi="宋体"/>
                <w:color w:val="auto"/>
                <w:sz w:val="24"/>
                <w:highlight w:val="none"/>
              </w:rPr>
              <w:t>同一受声点叠加背景噪声后的总噪声为：</w:t>
            </w:r>
          </w:p>
          <w:p w14:paraId="56A439C4">
            <w:pPr>
              <w:snapToGrid w:val="0"/>
              <w:spacing w:line="360" w:lineRule="auto"/>
              <w:ind w:firstLine="539" w:firstLineChars="257"/>
              <w:jc w:val="center"/>
              <w:rPr>
                <w:color w:val="auto"/>
                <w:sz w:val="24"/>
                <w:highlight w:val="none"/>
              </w:rPr>
            </w:pPr>
            <w:r>
              <w:rPr>
                <w:color w:val="auto"/>
                <w:highlight w:val="none"/>
              </w:rPr>
              <w:fldChar w:fldCharType="begin"/>
            </w:r>
            <w:r>
              <w:rPr>
                <w:color w:val="auto"/>
                <w:highlight w:val="none"/>
              </w:rPr>
              <w:instrText xml:space="preserve"> INCLUDEPICTURE "C:\\Users\\ADMINI~1\\AppData\\Local\\Temp\\ksohtml7844\\wps7.png" \* MERGEFORMATINET </w:instrText>
            </w:r>
            <w:r>
              <w:rPr>
                <w:color w:val="auto"/>
                <w:highlight w:val="none"/>
              </w:rPr>
              <w:fldChar w:fldCharType="separate"/>
            </w:r>
            <w:r>
              <w:rPr>
                <w:color w:val="auto"/>
                <w:highlight w:val="none"/>
              </w:rPr>
              <w:drawing>
                <wp:inline distT="0" distB="0" distL="114300" distR="114300">
                  <wp:extent cx="2600325" cy="304800"/>
                  <wp:effectExtent l="0" t="0" r="9525" b="0"/>
                  <wp:docPr id="30" name="图片 14"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wps7"/>
                          <pic:cNvPicPr>
                            <a:picLocks noChangeAspect="1"/>
                          </pic:cNvPicPr>
                        </pic:nvPicPr>
                        <pic:blipFill>
                          <a:blip r:embed="rId34" cstate="print"/>
                          <a:stretch>
                            <a:fillRect/>
                          </a:stretch>
                        </pic:blipFill>
                        <pic:spPr>
                          <a:xfrm>
                            <a:off x="0" y="0"/>
                            <a:ext cx="2600325" cy="304800"/>
                          </a:xfrm>
                          <a:prstGeom prst="rect">
                            <a:avLst/>
                          </a:prstGeom>
                          <a:noFill/>
                          <a:ln>
                            <a:noFill/>
                          </a:ln>
                        </pic:spPr>
                      </pic:pic>
                    </a:graphicData>
                  </a:graphic>
                </wp:inline>
              </w:drawing>
            </w:r>
            <w:r>
              <w:rPr>
                <w:color w:val="auto"/>
                <w:highlight w:val="none"/>
              </w:rPr>
              <w:fldChar w:fldCharType="end"/>
            </w:r>
            <w:r>
              <w:rPr>
                <w:color w:val="auto"/>
                <w:sz w:val="24"/>
                <w:highlight w:val="none"/>
              </w:rPr>
              <w:t xml:space="preserve"> </w:t>
            </w:r>
          </w:p>
          <w:p w14:paraId="30D69495">
            <w:pPr>
              <w:snapToGrid w:val="0"/>
              <w:spacing w:line="360" w:lineRule="auto"/>
              <w:ind w:firstLine="576" w:firstLineChars="240"/>
              <w:rPr>
                <w:color w:val="auto"/>
                <w:sz w:val="24"/>
                <w:highlight w:val="none"/>
              </w:rPr>
            </w:pPr>
            <w:r>
              <w:rPr>
                <w:rFonts w:ascii="宋体" w:hAnsi="宋体"/>
                <w:color w:val="auto"/>
                <w:sz w:val="24"/>
                <w:highlight w:val="none"/>
              </w:rPr>
              <w:t>式中：</w:t>
            </w:r>
          </w:p>
          <w:p w14:paraId="00A88937">
            <w:pPr>
              <w:pStyle w:val="134"/>
              <w:snapToGrid w:val="0"/>
              <w:ind w:firstLine="480"/>
              <w:rPr>
                <w:i/>
                <w:iCs/>
                <w:color w:val="auto"/>
                <w:sz w:val="24"/>
                <w:szCs w:val="24"/>
                <w:highlight w:val="none"/>
              </w:rPr>
            </w:pPr>
            <w:r>
              <w:rPr>
                <w:rFonts w:ascii="宋体" w:hAnsi="宋体"/>
                <w:i/>
                <w:iCs/>
                <w:color w:val="auto"/>
                <w:sz w:val="24"/>
                <w:szCs w:val="24"/>
                <w:highlight w:val="none"/>
              </w:rPr>
              <w:t>（</w:t>
            </w:r>
            <w:r>
              <w:rPr>
                <w:i/>
                <w:iCs/>
                <w:color w:val="auto"/>
                <w:sz w:val="24"/>
                <w:szCs w:val="24"/>
                <w:highlight w:val="none"/>
              </w:rPr>
              <w:t>LAeq</w:t>
            </w:r>
            <w:r>
              <w:rPr>
                <w:rFonts w:ascii="宋体" w:hAnsi="宋体"/>
                <w:i/>
                <w:iCs/>
                <w:color w:val="auto"/>
                <w:sz w:val="24"/>
                <w:szCs w:val="24"/>
                <w:highlight w:val="none"/>
              </w:rPr>
              <w:t>）</w:t>
            </w:r>
            <w:r>
              <w:rPr>
                <w:rFonts w:ascii="宋体" w:hAnsi="宋体"/>
                <w:i/>
                <w:iCs/>
                <w:color w:val="auto"/>
                <w:sz w:val="24"/>
                <w:szCs w:val="24"/>
                <w:highlight w:val="none"/>
                <w:vertAlign w:val="subscript"/>
              </w:rPr>
              <w:t>预</w:t>
            </w:r>
            <w:r>
              <w:rPr>
                <w:i/>
                <w:iCs/>
                <w:color w:val="auto"/>
                <w:sz w:val="24"/>
                <w:szCs w:val="24"/>
                <w:highlight w:val="none"/>
              </w:rPr>
              <w:t xml:space="preserve"> ——</w:t>
            </w:r>
            <w:r>
              <w:rPr>
                <w:rFonts w:ascii="宋体" w:hAnsi="宋体"/>
                <w:color w:val="auto"/>
                <w:sz w:val="24"/>
                <w:szCs w:val="24"/>
                <w:highlight w:val="none"/>
              </w:rPr>
              <w:t>预测点昼间或夜间的环境噪声预测值，</w:t>
            </w:r>
            <w:r>
              <w:rPr>
                <w:color w:val="auto"/>
                <w:sz w:val="24"/>
                <w:szCs w:val="24"/>
                <w:highlight w:val="none"/>
              </w:rPr>
              <w:t>dB(A)</w:t>
            </w:r>
            <w:r>
              <w:rPr>
                <w:rFonts w:ascii="宋体" w:hAnsi="宋体"/>
                <w:color w:val="auto"/>
                <w:sz w:val="24"/>
                <w:szCs w:val="24"/>
                <w:highlight w:val="none"/>
              </w:rPr>
              <w:t>；</w:t>
            </w:r>
          </w:p>
          <w:p w14:paraId="53869E7E">
            <w:pPr>
              <w:snapToGrid w:val="0"/>
              <w:spacing w:line="360" w:lineRule="auto"/>
              <w:ind w:firstLine="480" w:firstLineChars="200"/>
              <w:rPr>
                <w:color w:val="auto"/>
                <w:sz w:val="24"/>
                <w:highlight w:val="none"/>
              </w:rPr>
            </w:pPr>
            <w:r>
              <w:rPr>
                <w:rFonts w:ascii="宋体" w:hAnsi="宋体"/>
                <w:color w:val="auto"/>
                <w:sz w:val="24"/>
                <w:highlight w:val="none"/>
              </w:rPr>
              <w:t>（</w:t>
            </w:r>
            <w:r>
              <w:rPr>
                <w:color w:val="auto"/>
                <w:sz w:val="24"/>
                <w:highlight w:val="none"/>
              </w:rPr>
              <w:t>L</w:t>
            </w:r>
            <w:r>
              <w:rPr>
                <w:color w:val="auto"/>
                <w:sz w:val="24"/>
                <w:highlight w:val="none"/>
                <w:vertAlign w:val="subscript"/>
              </w:rPr>
              <w:t>Aeq</w:t>
            </w:r>
            <w:r>
              <w:rPr>
                <w:rFonts w:ascii="宋体" w:hAnsi="宋体"/>
                <w:color w:val="auto"/>
                <w:sz w:val="24"/>
                <w:highlight w:val="none"/>
              </w:rPr>
              <w:t>）</w:t>
            </w:r>
            <w:r>
              <w:rPr>
                <w:rFonts w:ascii="宋体" w:hAnsi="宋体"/>
                <w:i/>
                <w:iCs/>
                <w:color w:val="auto"/>
                <w:sz w:val="24"/>
                <w:highlight w:val="none"/>
                <w:vertAlign w:val="subscript"/>
              </w:rPr>
              <w:t>背</w:t>
            </w:r>
            <w:r>
              <w:rPr>
                <w:i/>
                <w:iCs/>
                <w:color w:val="auto"/>
                <w:sz w:val="24"/>
                <w:highlight w:val="none"/>
                <w:vertAlign w:val="subscript"/>
              </w:rPr>
              <w:t xml:space="preserve"> </w:t>
            </w:r>
            <w:r>
              <w:rPr>
                <w:color w:val="auto"/>
                <w:sz w:val="24"/>
                <w:highlight w:val="none"/>
              </w:rPr>
              <w:t>——</w:t>
            </w:r>
            <w:r>
              <w:rPr>
                <w:rFonts w:ascii="宋体" w:hAnsi="宋体"/>
                <w:color w:val="auto"/>
                <w:sz w:val="24"/>
                <w:highlight w:val="none"/>
              </w:rPr>
              <w:t>预测点预测时的环境噪声背景值，</w:t>
            </w:r>
            <w:r>
              <w:rPr>
                <w:color w:val="auto"/>
                <w:sz w:val="24"/>
                <w:highlight w:val="none"/>
              </w:rPr>
              <w:t>dB(A)</w:t>
            </w:r>
            <w:r>
              <w:rPr>
                <w:rFonts w:ascii="宋体" w:hAnsi="宋体"/>
                <w:color w:val="auto"/>
                <w:sz w:val="24"/>
                <w:highlight w:val="none"/>
              </w:rPr>
              <w:t>；</w:t>
            </w:r>
          </w:p>
          <w:p w14:paraId="63D4C77E">
            <w:pPr>
              <w:pStyle w:val="2"/>
              <w:snapToGrid w:val="0"/>
              <w:spacing w:line="360" w:lineRule="auto"/>
              <w:ind w:firstLine="480" w:firstLineChars="200"/>
              <w:rPr>
                <w:color w:val="auto"/>
                <w:highlight w:val="none"/>
              </w:rPr>
            </w:pPr>
            <w:r>
              <w:rPr>
                <w:rFonts w:hAnsi="宋体" w:cs="Times New Roman"/>
                <w:color w:val="auto"/>
                <w:highlight w:val="none"/>
              </w:rPr>
              <w:t>（</w:t>
            </w:r>
            <w:r>
              <w:rPr>
                <w:rFonts w:ascii="Times New Roman" w:cs="Times New Roman"/>
                <w:color w:val="auto"/>
                <w:highlight w:val="none"/>
              </w:rPr>
              <w:t>L</w:t>
            </w:r>
            <w:r>
              <w:rPr>
                <w:rFonts w:ascii="Times New Roman" w:cs="Times New Roman"/>
                <w:color w:val="auto"/>
                <w:highlight w:val="none"/>
                <w:vertAlign w:val="subscript"/>
              </w:rPr>
              <w:t>Aeq</w:t>
            </w:r>
            <w:r>
              <w:rPr>
                <w:rFonts w:hAnsi="宋体" w:cs="Times New Roman"/>
                <w:color w:val="auto"/>
                <w:highlight w:val="none"/>
              </w:rPr>
              <w:t>）</w:t>
            </w:r>
            <w:r>
              <w:rPr>
                <w:rFonts w:hAnsi="宋体" w:cs="Times New Roman"/>
                <w:color w:val="auto"/>
                <w:highlight w:val="none"/>
                <w:vertAlign w:val="subscript"/>
              </w:rPr>
              <w:t>合</w:t>
            </w:r>
            <w:r>
              <w:rPr>
                <w:rFonts w:ascii="Times New Roman" w:cs="Times New Roman"/>
                <w:color w:val="auto"/>
                <w:highlight w:val="none"/>
                <w:vertAlign w:val="subscript"/>
              </w:rPr>
              <w:t xml:space="preserve"> </w:t>
            </w:r>
            <w:r>
              <w:rPr>
                <w:rFonts w:ascii="Times New Roman" w:cs="Times New Roman"/>
                <w:color w:val="auto"/>
                <w:highlight w:val="none"/>
              </w:rPr>
              <w:t>——</w:t>
            </w:r>
            <w:r>
              <w:rPr>
                <w:rFonts w:hAnsi="宋体" w:cs="Times New Roman"/>
                <w:color w:val="auto"/>
                <w:highlight w:val="none"/>
              </w:rPr>
              <w:t>多个声源发出的噪声在同一预测受声点的合成噪声，</w:t>
            </w:r>
            <w:r>
              <w:rPr>
                <w:rFonts w:ascii="Times New Roman" w:cs="Times New Roman"/>
                <w:color w:val="auto"/>
                <w:highlight w:val="none"/>
              </w:rPr>
              <w:t>dB(A)</w:t>
            </w:r>
            <w:r>
              <w:rPr>
                <w:rFonts w:hAnsi="宋体" w:cs="Times New Roman"/>
                <w:color w:val="auto"/>
                <w:highlight w:val="none"/>
              </w:rPr>
              <w:t>。</w:t>
            </w:r>
          </w:p>
          <w:p w14:paraId="3FB0EB44">
            <w:pPr>
              <w:adjustRightInd w:val="0"/>
              <w:snapToGrid w:val="0"/>
              <w:spacing w:line="360" w:lineRule="auto"/>
              <w:ind w:firstLine="480" w:firstLineChars="200"/>
              <w:textAlignment w:val="baseline"/>
              <w:rPr>
                <w:b/>
                <w:color w:val="auto"/>
                <w:szCs w:val="21"/>
                <w:highlight w:val="none"/>
              </w:rPr>
            </w:pPr>
            <w:r>
              <w:rPr>
                <w:rFonts w:hint="eastAsia"/>
                <w:color w:val="auto"/>
                <w:sz w:val="24"/>
                <w:highlight w:val="none"/>
              </w:rPr>
              <w:t>本项目夜间不生产</w:t>
            </w:r>
            <w:r>
              <w:rPr>
                <w:rFonts w:hint="eastAsia"/>
                <w:color w:val="auto"/>
                <w:sz w:val="24"/>
                <w:highlight w:val="none"/>
                <w:lang w:eastAsia="zh-CN"/>
              </w:rPr>
              <w:t>。</w:t>
            </w:r>
            <w:r>
              <w:rPr>
                <w:rFonts w:hint="eastAsia"/>
                <w:color w:val="auto"/>
                <w:sz w:val="24"/>
                <w:highlight w:val="none"/>
              </w:rPr>
              <w:t>经预测可知，</w:t>
            </w:r>
            <w:r>
              <w:rPr>
                <w:rFonts w:hint="eastAsia"/>
                <w:color w:val="auto"/>
                <w:sz w:val="24"/>
                <w:highlight w:val="none"/>
                <w:lang w:eastAsia="zh-CN"/>
              </w:rPr>
              <w:t>新增工程投入运营后项目四侧厂界噪声预测结果见下表：</w:t>
            </w:r>
          </w:p>
          <w:p w14:paraId="6213D6F7">
            <w:pPr>
              <w:adjustRightInd w:val="0"/>
              <w:snapToGrid w:val="0"/>
              <w:jc w:val="center"/>
              <w:rPr>
                <w:b/>
                <w:color w:val="auto"/>
                <w:szCs w:val="21"/>
                <w:highlight w:val="none"/>
              </w:rPr>
            </w:pPr>
            <w:r>
              <w:rPr>
                <w:b/>
                <w:color w:val="auto"/>
                <w:szCs w:val="21"/>
                <w:highlight w:val="none"/>
              </w:rPr>
              <w:t>4-</w:t>
            </w:r>
            <w:r>
              <w:rPr>
                <w:rFonts w:hint="eastAsia"/>
                <w:b/>
                <w:color w:val="auto"/>
                <w:szCs w:val="21"/>
                <w:highlight w:val="none"/>
                <w:lang w:val="en-US" w:eastAsia="zh-CN"/>
              </w:rPr>
              <w:t>9</w:t>
            </w:r>
            <w:r>
              <w:rPr>
                <w:rFonts w:hint="eastAsia"/>
                <w:b/>
                <w:color w:val="auto"/>
                <w:szCs w:val="21"/>
                <w:highlight w:val="none"/>
              </w:rPr>
              <w:t xml:space="preserve"> </w:t>
            </w:r>
            <w:r>
              <w:rPr>
                <w:b/>
                <w:color w:val="auto"/>
                <w:szCs w:val="21"/>
                <w:highlight w:val="none"/>
              </w:rPr>
              <w:t xml:space="preserve"> </w:t>
            </w:r>
            <w:r>
              <w:rPr>
                <w:rFonts w:hint="eastAsia"/>
                <w:b/>
                <w:color w:val="auto"/>
                <w:szCs w:val="21"/>
                <w:highlight w:val="none"/>
              </w:rPr>
              <w:t>项目</w:t>
            </w:r>
            <w:r>
              <w:rPr>
                <w:b/>
                <w:color w:val="auto"/>
                <w:szCs w:val="21"/>
                <w:highlight w:val="none"/>
              </w:rPr>
              <w:t>厂界噪声</w:t>
            </w:r>
            <w:r>
              <w:rPr>
                <w:rFonts w:hint="eastAsia"/>
                <w:b/>
                <w:color w:val="auto"/>
                <w:szCs w:val="21"/>
                <w:highlight w:val="none"/>
                <w:lang w:eastAsia="zh-CN"/>
              </w:rPr>
              <w:t>预测</w:t>
            </w:r>
            <w:r>
              <w:rPr>
                <w:b/>
                <w:color w:val="auto"/>
                <w:szCs w:val="21"/>
                <w:highlight w:val="none"/>
              </w:rPr>
              <w:t>结果统计表</w:t>
            </w:r>
            <w:r>
              <w:rPr>
                <w:rFonts w:hint="eastAsia"/>
                <w:b/>
                <w:color w:val="auto"/>
                <w:szCs w:val="21"/>
                <w:highlight w:val="none"/>
              </w:rPr>
              <w:t xml:space="preserve">  </w:t>
            </w:r>
            <w:r>
              <w:rPr>
                <w:rFonts w:hint="eastAsia"/>
                <w:b/>
                <w:color w:val="auto"/>
                <w:szCs w:val="21"/>
                <w:highlight w:val="none"/>
                <w:lang w:val="en-US" w:eastAsia="zh-CN"/>
              </w:rPr>
              <w:t xml:space="preserve">  </w:t>
            </w:r>
            <w:r>
              <w:rPr>
                <w:rFonts w:hint="eastAsia"/>
                <w:b/>
                <w:color w:val="auto"/>
                <w:szCs w:val="21"/>
                <w:highlight w:val="none"/>
              </w:rPr>
              <w:t>单位：</w:t>
            </w:r>
            <w:r>
              <w:rPr>
                <w:b/>
                <w:color w:val="auto"/>
                <w:szCs w:val="21"/>
                <w:highlight w:val="none"/>
              </w:rPr>
              <w:t>dB(A)</w:t>
            </w:r>
          </w:p>
          <w:tbl>
            <w:tblPr>
              <w:tblStyle w:val="36"/>
              <w:tblW w:w="86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927"/>
              <w:gridCol w:w="927"/>
              <w:gridCol w:w="927"/>
              <w:gridCol w:w="927"/>
              <w:gridCol w:w="927"/>
              <w:gridCol w:w="927"/>
              <w:gridCol w:w="1112"/>
              <w:gridCol w:w="958"/>
            </w:tblGrid>
            <w:tr w14:paraId="5CBD7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024" w:type="dxa"/>
                  <w:vMerge w:val="restart"/>
                  <w:tcBorders>
                    <w:tl2br w:val="nil"/>
                    <w:tr2bl w:val="nil"/>
                  </w:tcBorders>
                  <w:vAlign w:val="center"/>
                </w:tcPr>
                <w:p w14:paraId="1ABDF1A1">
                  <w:pPr>
                    <w:jc w:val="center"/>
                    <w:rPr>
                      <w:rFonts w:eastAsiaTheme="minorEastAsia"/>
                      <w:b/>
                      <w:color w:val="auto"/>
                      <w:szCs w:val="21"/>
                      <w:highlight w:val="none"/>
                    </w:rPr>
                  </w:pPr>
                  <w:r>
                    <w:rPr>
                      <w:rFonts w:eastAsiaTheme="minorEastAsia"/>
                      <w:b/>
                      <w:color w:val="auto"/>
                      <w:szCs w:val="21"/>
                      <w:highlight w:val="none"/>
                    </w:rPr>
                    <w:t>预测</w:t>
                  </w:r>
                </w:p>
                <w:p w14:paraId="52653A80">
                  <w:pPr>
                    <w:jc w:val="center"/>
                    <w:rPr>
                      <w:rFonts w:eastAsiaTheme="minorEastAsia"/>
                      <w:color w:val="auto"/>
                      <w:szCs w:val="21"/>
                      <w:highlight w:val="none"/>
                    </w:rPr>
                  </w:pPr>
                  <w:r>
                    <w:rPr>
                      <w:rFonts w:eastAsiaTheme="minorEastAsia"/>
                      <w:b/>
                      <w:color w:val="auto"/>
                      <w:szCs w:val="21"/>
                      <w:highlight w:val="none"/>
                    </w:rPr>
                    <w:t>方位</w:t>
                  </w:r>
                </w:p>
              </w:tc>
              <w:tc>
                <w:tcPr>
                  <w:tcW w:w="2781" w:type="dxa"/>
                  <w:gridSpan w:val="3"/>
                  <w:tcBorders>
                    <w:tl2br w:val="nil"/>
                    <w:tr2bl w:val="nil"/>
                  </w:tcBorders>
                  <w:vAlign w:val="center"/>
                </w:tcPr>
                <w:p w14:paraId="73F5A551">
                  <w:pPr>
                    <w:jc w:val="center"/>
                    <w:rPr>
                      <w:rFonts w:eastAsiaTheme="minorEastAsia"/>
                      <w:color w:val="auto"/>
                      <w:szCs w:val="21"/>
                      <w:highlight w:val="none"/>
                    </w:rPr>
                  </w:pPr>
                  <w:r>
                    <w:rPr>
                      <w:rFonts w:eastAsiaTheme="minorEastAsia"/>
                      <w:b/>
                      <w:color w:val="auto"/>
                      <w:szCs w:val="21"/>
                      <w:highlight w:val="none"/>
                    </w:rPr>
                    <w:t>最大值点空间相对位置/m</w:t>
                  </w:r>
                </w:p>
              </w:tc>
              <w:tc>
                <w:tcPr>
                  <w:tcW w:w="927" w:type="dxa"/>
                  <w:tcBorders>
                    <w:tl2br w:val="nil"/>
                    <w:tr2bl w:val="nil"/>
                  </w:tcBorders>
                  <w:vAlign w:val="center"/>
                </w:tcPr>
                <w:p w14:paraId="305FA376">
                  <w:pPr>
                    <w:jc w:val="center"/>
                    <w:rPr>
                      <w:rFonts w:eastAsiaTheme="minorEastAsia"/>
                      <w:b/>
                      <w:color w:val="auto"/>
                      <w:szCs w:val="21"/>
                      <w:highlight w:val="none"/>
                    </w:rPr>
                  </w:pPr>
                  <w:r>
                    <w:rPr>
                      <w:rFonts w:hint="eastAsia" w:eastAsiaTheme="minorEastAsia"/>
                      <w:b/>
                      <w:color w:val="auto"/>
                      <w:szCs w:val="21"/>
                      <w:highlight w:val="none"/>
                      <w:lang w:eastAsia="zh-CN"/>
                    </w:rPr>
                    <w:t>背景</w:t>
                  </w:r>
                  <w:r>
                    <w:rPr>
                      <w:rFonts w:eastAsiaTheme="minorEastAsia"/>
                      <w:b/>
                      <w:color w:val="auto"/>
                      <w:szCs w:val="21"/>
                      <w:highlight w:val="none"/>
                    </w:rPr>
                    <w:t>值</w:t>
                  </w:r>
                </w:p>
              </w:tc>
              <w:tc>
                <w:tcPr>
                  <w:tcW w:w="927" w:type="dxa"/>
                  <w:tcBorders>
                    <w:tl2br w:val="nil"/>
                    <w:tr2bl w:val="nil"/>
                  </w:tcBorders>
                  <w:vAlign w:val="center"/>
                </w:tcPr>
                <w:p w14:paraId="5519CE3E">
                  <w:pPr>
                    <w:jc w:val="center"/>
                    <w:rPr>
                      <w:rFonts w:hint="eastAsia" w:eastAsiaTheme="minorEastAsia"/>
                      <w:b/>
                      <w:color w:val="auto"/>
                      <w:szCs w:val="21"/>
                      <w:highlight w:val="none"/>
                      <w:lang w:eastAsia="zh-CN"/>
                    </w:rPr>
                  </w:pPr>
                  <w:r>
                    <w:rPr>
                      <w:rFonts w:hint="eastAsia" w:eastAsiaTheme="minorEastAsia"/>
                      <w:b/>
                      <w:color w:val="auto"/>
                      <w:szCs w:val="21"/>
                      <w:highlight w:val="none"/>
                      <w:lang w:eastAsia="zh-CN"/>
                    </w:rPr>
                    <w:t>贡献值</w:t>
                  </w:r>
                </w:p>
              </w:tc>
              <w:tc>
                <w:tcPr>
                  <w:tcW w:w="927" w:type="dxa"/>
                  <w:tcBorders>
                    <w:tl2br w:val="nil"/>
                    <w:tr2bl w:val="nil"/>
                  </w:tcBorders>
                  <w:vAlign w:val="center"/>
                </w:tcPr>
                <w:p w14:paraId="556E110F">
                  <w:pPr>
                    <w:jc w:val="center"/>
                    <w:rPr>
                      <w:rFonts w:hint="eastAsia" w:eastAsiaTheme="minorEastAsia"/>
                      <w:b/>
                      <w:color w:val="auto"/>
                      <w:szCs w:val="21"/>
                      <w:highlight w:val="none"/>
                      <w:lang w:eastAsia="zh-CN"/>
                    </w:rPr>
                  </w:pPr>
                  <w:r>
                    <w:rPr>
                      <w:rFonts w:hint="eastAsia" w:eastAsiaTheme="minorEastAsia"/>
                      <w:b/>
                      <w:color w:val="auto"/>
                      <w:szCs w:val="21"/>
                      <w:highlight w:val="none"/>
                      <w:lang w:eastAsia="zh-CN"/>
                    </w:rPr>
                    <w:t>预测值</w:t>
                  </w:r>
                </w:p>
              </w:tc>
              <w:tc>
                <w:tcPr>
                  <w:tcW w:w="1112" w:type="dxa"/>
                  <w:tcBorders>
                    <w:tl2br w:val="nil"/>
                    <w:tr2bl w:val="nil"/>
                  </w:tcBorders>
                  <w:vAlign w:val="center"/>
                </w:tcPr>
                <w:p w14:paraId="4DEE9AAF">
                  <w:pPr>
                    <w:jc w:val="center"/>
                    <w:rPr>
                      <w:rFonts w:eastAsiaTheme="minorEastAsia"/>
                      <w:b/>
                      <w:color w:val="auto"/>
                      <w:szCs w:val="21"/>
                      <w:highlight w:val="none"/>
                    </w:rPr>
                  </w:pPr>
                  <w:r>
                    <w:rPr>
                      <w:rFonts w:eastAsiaTheme="minorEastAsia"/>
                      <w:b/>
                      <w:color w:val="auto"/>
                      <w:szCs w:val="21"/>
                      <w:highlight w:val="none"/>
                    </w:rPr>
                    <w:t>标准限值</w:t>
                  </w:r>
                </w:p>
              </w:tc>
              <w:tc>
                <w:tcPr>
                  <w:tcW w:w="958" w:type="dxa"/>
                  <w:vMerge w:val="restart"/>
                  <w:tcBorders>
                    <w:tl2br w:val="nil"/>
                    <w:tr2bl w:val="nil"/>
                  </w:tcBorders>
                  <w:vAlign w:val="center"/>
                </w:tcPr>
                <w:p w14:paraId="13BC8663">
                  <w:pPr>
                    <w:jc w:val="center"/>
                    <w:rPr>
                      <w:rFonts w:eastAsiaTheme="minorEastAsia"/>
                      <w:b/>
                      <w:color w:val="auto"/>
                      <w:szCs w:val="21"/>
                      <w:highlight w:val="none"/>
                    </w:rPr>
                  </w:pPr>
                  <w:r>
                    <w:rPr>
                      <w:rFonts w:eastAsiaTheme="minorEastAsia"/>
                      <w:b/>
                      <w:color w:val="auto"/>
                      <w:szCs w:val="21"/>
                      <w:highlight w:val="none"/>
                    </w:rPr>
                    <w:t>达标</w:t>
                  </w:r>
                </w:p>
                <w:p w14:paraId="5B6AA14E">
                  <w:pPr>
                    <w:jc w:val="center"/>
                    <w:rPr>
                      <w:rFonts w:eastAsiaTheme="minorEastAsia"/>
                      <w:color w:val="auto"/>
                      <w:szCs w:val="21"/>
                      <w:highlight w:val="none"/>
                    </w:rPr>
                  </w:pPr>
                  <w:r>
                    <w:rPr>
                      <w:rFonts w:eastAsiaTheme="minorEastAsia"/>
                      <w:b/>
                      <w:color w:val="auto"/>
                      <w:szCs w:val="21"/>
                      <w:highlight w:val="none"/>
                    </w:rPr>
                    <w:t>情况</w:t>
                  </w:r>
                </w:p>
              </w:tc>
            </w:tr>
            <w:tr w14:paraId="33A26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24" w:type="dxa"/>
                  <w:vMerge w:val="continue"/>
                  <w:tcBorders>
                    <w:tl2br w:val="nil"/>
                    <w:tr2bl w:val="nil"/>
                  </w:tcBorders>
                  <w:shd w:val="clear" w:color="auto" w:fill="FFFFFF"/>
                  <w:vAlign w:val="center"/>
                </w:tcPr>
                <w:p w14:paraId="7787FACF">
                  <w:pPr>
                    <w:jc w:val="center"/>
                    <w:rPr>
                      <w:rFonts w:eastAsiaTheme="minorEastAsia"/>
                      <w:color w:val="auto"/>
                      <w:szCs w:val="21"/>
                      <w:highlight w:val="none"/>
                    </w:rPr>
                  </w:pPr>
                </w:p>
              </w:tc>
              <w:tc>
                <w:tcPr>
                  <w:tcW w:w="927" w:type="dxa"/>
                  <w:tcBorders>
                    <w:tl2br w:val="nil"/>
                    <w:tr2bl w:val="nil"/>
                  </w:tcBorders>
                  <w:shd w:val="clear" w:color="auto" w:fill="FFFFFF"/>
                  <w:vAlign w:val="center"/>
                </w:tcPr>
                <w:p w14:paraId="4924E9F7">
                  <w:pPr>
                    <w:jc w:val="center"/>
                    <w:rPr>
                      <w:rFonts w:eastAsiaTheme="minorEastAsia"/>
                      <w:color w:val="auto"/>
                      <w:szCs w:val="21"/>
                      <w:highlight w:val="none"/>
                    </w:rPr>
                  </w:pPr>
                  <w:r>
                    <w:rPr>
                      <w:rFonts w:eastAsiaTheme="minorEastAsia"/>
                      <w:color w:val="auto"/>
                      <w:szCs w:val="21"/>
                      <w:highlight w:val="none"/>
                    </w:rPr>
                    <w:t>X</w:t>
                  </w:r>
                </w:p>
              </w:tc>
              <w:tc>
                <w:tcPr>
                  <w:tcW w:w="927" w:type="dxa"/>
                  <w:tcBorders>
                    <w:tl2br w:val="nil"/>
                    <w:tr2bl w:val="nil"/>
                  </w:tcBorders>
                  <w:shd w:val="clear" w:color="auto" w:fill="FFFFFF"/>
                  <w:vAlign w:val="center"/>
                </w:tcPr>
                <w:p w14:paraId="4C3C4670">
                  <w:pPr>
                    <w:jc w:val="center"/>
                    <w:rPr>
                      <w:rFonts w:eastAsiaTheme="minorEastAsia"/>
                      <w:color w:val="auto"/>
                      <w:szCs w:val="21"/>
                      <w:highlight w:val="none"/>
                    </w:rPr>
                  </w:pPr>
                  <w:r>
                    <w:rPr>
                      <w:rFonts w:eastAsiaTheme="minorEastAsia"/>
                      <w:color w:val="auto"/>
                      <w:szCs w:val="21"/>
                      <w:highlight w:val="none"/>
                    </w:rPr>
                    <w:t>Y</w:t>
                  </w:r>
                </w:p>
              </w:tc>
              <w:tc>
                <w:tcPr>
                  <w:tcW w:w="927" w:type="dxa"/>
                  <w:tcBorders>
                    <w:tl2br w:val="nil"/>
                    <w:tr2bl w:val="nil"/>
                  </w:tcBorders>
                  <w:shd w:val="clear" w:color="auto" w:fill="FFFFFF"/>
                  <w:vAlign w:val="center"/>
                </w:tcPr>
                <w:p w14:paraId="1196A5E4">
                  <w:pPr>
                    <w:jc w:val="center"/>
                    <w:rPr>
                      <w:rFonts w:eastAsiaTheme="minorEastAsia"/>
                      <w:color w:val="auto"/>
                      <w:szCs w:val="21"/>
                      <w:highlight w:val="none"/>
                    </w:rPr>
                  </w:pPr>
                  <w:r>
                    <w:rPr>
                      <w:rFonts w:eastAsiaTheme="minorEastAsia"/>
                      <w:color w:val="auto"/>
                      <w:szCs w:val="21"/>
                      <w:highlight w:val="none"/>
                    </w:rPr>
                    <w:t>Z</w:t>
                  </w:r>
                </w:p>
              </w:tc>
              <w:tc>
                <w:tcPr>
                  <w:tcW w:w="927" w:type="dxa"/>
                  <w:tcBorders>
                    <w:tl2br w:val="nil"/>
                    <w:tr2bl w:val="nil"/>
                  </w:tcBorders>
                  <w:shd w:val="clear" w:color="auto" w:fill="FFFFFF"/>
                  <w:vAlign w:val="center"/>
                </w:tcPr>
                <w:p w14:paraId="018168C8">
                  <w:pPr>
                    <w:jc w:val="center"/>
                    <w:rPr>
                      <w:rFonts w:eastAsiaTheme="minorEastAsia"/>
                      <w:color w:val="auto"/>
                      <w:szCs w:val="21"/>
                      <w:highlight w:val="none"/>
                    </w:rPr>
                  </w:pPr>
                  <w:r>
                    <w:rPr>
                      <w:rFonts w:hint="eastAsia" w:eastAsiaTheme="minorEastAsia"/>
                      <w:color w:val="auto"/>
                      <w:szCs w:val="21"/>
                      <w:highlight w:val="none"/>
                    </w:rPr>
                    <w:t>昼间</w:t>
                  </w:r>
                </w:p>
              </w:tc>
              <w:tc>
                <w:tcPr>
                  <w:tcW w:w="927" w:type="dxa"/>
                  <w:tcBorders>
                    <w:tl2br w:val="nil"/>
                    <w:tr2bl w:val="nil"/>
                  </w:tcBorders>
                  <w:shd w:val="clear" w:color="auto" w:fill="FFFFFF"/>
                  <w:vAlign w:val="center"/>
                </w:tcPr>
                <w:p w14:paraId="670D2B7E">
                  <w:pPr>
                    <w:jc w:val="center"/>
                    <w:rPr>
                      <w:rFonts w:hint="eastAsia" w:eastAsiaTheme="minorEastAsia"/>
                      <w:color w:val="auto"/>
                      <w:szCs w:val="21"/>
                      <w:highlight w:val="none"/>
                    </w:rPr>
                  </w:pPr>
                  <w:r>
                    <w:rPr>
                      <w:rFonts w:hint="eastAsia" w:eastAsiaTheme="minorEastAsia"/>
                      <w:color w:val="auto"/>
                      <w:szCs w:val="21"/>
                      <w:highlight w:val="none"/>
                    </w:rPr>
                    <w:t>昼间</w:t>
                  </w:r>
                </w:p>
              </w:tc>
              <w:tc>
                <w:tcPr>
                  <w:tcW w:w="927" w:type="dxa"/>
                  <w:tcBorders>
                    <w:tl2br w:val="nil"/>
                    <w:tr2bl w:val="nil"/>
                  </w:tcBorders>
                  <w:shd w:val="clear" w:color="auto" w:fill="FFFFFF"/>
                  <w:vAlign w:val="center"/>
                </w:tcPr>
                <w:p w14:paraId="10224AA3">
                  <w:pPr>
                    <w:jc w:val="center"/>
                    <w:rPr>
                      <w:rFonts w:hint="eastAsia" w:eastAsiaTheme="minorEastAsia"/>
                      <w:color w:val="auto"/>
                      <w:szCs w:val="21"/>
                      <w:highlight w:val="none"/>
                    </w:rPr>
                  </w:pPr>
                  <w:r>
                    <w:rPr>
                      <w:rFonts w:hint="eastAsia" w:eastAsiaTheme="minorEastAsia"/>
                      <w:color w:val="auto"/>
                      <w:szCs w:val="21"/>
                      <w:highlight w:val="none"/>
                    </w:rPr>
                    <w:t>昼间</w:t>
                  </w:r>
                </w:p>
              </w:tc>
              <w:tc>
                <w:tcPr>
                  <w:tcW w:w="1112" w:type="dxa"/>
                  <w:tcBorders>
                    <w:tl2br w:val="nil"/>
                    <w:tr2bl w:val="nil"/>
                  </w:tcBorders>
                  <w:shd w:val="clear" w:color="auto" w:fill="FFFFFF"/>
                  <w:vAlign w:val="center"/>
                </w:tcPr>
                <w:p w14:paraId="04F67B29">
                  <w:pPr>
                    <w:jc w:val="center"/>
                    <w:rPr>
                      <w:rFonts w:eastAsiaTheme="minorEastAsia"/>
                      <w:color w:val="auto"/>
                      <w:szCs w:val="21"/>
                      <w:highlight w:val="none"/>
                    </w:rPr>
                  </w:pPr>
                  <w:r>
                    <w:rPr>
                      <w:rFonts w:hint="eastAsia" w:eastAsiaTheme="minorEastAsia"/>
                      <w:color w:val="auto"/>
                      <w:szCs w:val="21"/>
                      <w:highlight w:val="none"/>
                    </w:rPr>
                    <w:t>昼间</w:t>
                  </w:r>
                </w:p>
              </w:tc>
              <w:tc>
                <w:tcPr>
                  <w:tcW w:w="958" w:type="dxa"/>
                  <w:vMerge w:val="continue"/>
                  <w:tcBorders>
                    <w:tl2br w:val="nil"/>
                    <w:tr2bl w:val="nil"/>
                  </w:tcBorders>
                  <w:shd w:val="clear" w:color="auto" w:fill="FFFFFF"/>
                  <w:vAlign w:val="center"/>
                </w:tcPr>
                <w:p w14:paraId="66810657">
                  <w:pPr>
                    <w:jc w:val="center"/>
                    <w:rPr>
                      <w:rFonts w:eastAsiaTheme="minorEastAsia"/>
                      <w:color w:val="auto"/>
                      <w:szCs w:val="21"/>
                      <w:highlight w:val="none"/>
                    </w:rPr>
                  </w:pPr>
                </w:p>
              </w:tc>
            </w:tr>
            <w:tr w14:paraId="408C4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024" w:type="dxa"/>
                  <w:tcBorders>
                    <w:tl2br w:val="nil"/>
                    <w:tr2bl w:val="nil"/>
                  </w:tcBorders>
                  <w:shd w:val="clear" w:color="auto" w:fill="FFFFFF"/>
                  <w:vAlign w:val="center"/>
                </w:tcPr>
                <w:p w14:paraId="1CFBC37E">
                  <w:pPr>
                    <w:jc w:val="center"/>
                    <w:rPr>
                      <w:color w:val="auto"/>
                      <w:szCs w:val="21"/>
                      <w:highlight w:val="none"/>
                    </w:rPr>
                  </w:pPr>
                  <w:r>
                    <w:rPr>
                      <w:rFonts w:eastAsia="Arial"/>
                      <w:color w:val="auto"/>
                      <w:szCs w:val="21"/>
                      <w:highlight w:val="none"/>
                    </w:rPr>
                    <w:t>东侧</w:t>
                  </w:r>
                </w:p>
              </w:tc>
              <w:tc>
                <w:tcPr>
                  <w:tcW w:w="927" w:type="dxa"/>
                  <w:tcBorders>
                    <w:tl2br w:val="nil"/>
                    <w:tr2bl w:val="nil"/>
                  </w:tcBorders>
                  <w:shd w:val="clear" w:color="auto" w:fill="FFFFFF"/>
                  <w:vAlign w:val="center"/>
                </w:tcPr>
                <w:p w14:paraId="03408C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927" w:type="dxa"/>
                  <w:tcBorders>
                    <w:tl2br w:val="nil"/>
                    <w:tr2bl w:val="nil"/>
                  </w:tcBorders>
                  <w:shd w:val="clear" w:color="auto" w:fill="FFFFFF"/>
                  <w:vAlign w:val="center"/>
                </w:tcPr>
                <w:p w14:paraId="590247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w:t>
                  </w:r>
                </w:p>
              </w:tc>
              <w:tc>
                <w:tcPr>
                  <w:tcW w:w="927" w:type="dxa"/>
                  <w:tcBorders>
                    <w:tl2br w:val="nil"/>
                    <w:tr2bl w:val="nil"/>
                  </w:tcBorders>
                  <w:shd w:val="clear" w:color="auto" w:fill="FFFFFF"/>
                  <w:vAlign w:val="center"/>
                </w:tcPr>
                <w:p w14:paraId="4688F9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27" w:type="dxa"/>
                  <w:tcBorders>
                    <w:tl2br w:val="nil"/>
                    <w:tr2bl w:val="nil"/>
                  </w:tcBorders>
                  <w:shd w:val="clear" w:color="auto" w:fill="FFFFFF"/>
                  <w:vAlign w:val="center"/>
                </w:tcPr>
                <w:p w14:paraId="39CD45A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927" w:type="dxa"/>
                  <w:tcBorders>
                    <w:tl2br w:val="nil"/>
                    <w:tr2bl w:val="nil"/>
                  </w:tcBorders>
                  <w:shd w:val="clear" w:color="auto" w:fill="FFFFFF"/>
                  <w:vAlign w:val="center"/>
                </w:tcPr>
                <w:p w14:paraId="6124D9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927" w:type="dxa"/>
                  <w:tcBorders>
                    <w:tl2br w:val="nil"/>
                    <w:tr2bl w:val="nil"/>
                  </w:tcBorders>
                  <w:shd w:val="clear" w:color="auto" w:fill="FFFFFF"/>
                  <w:vAlign w:val="center"/>
                </w:tcPr>
                <w:p w14:paraId="28E87E5A">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52</w:t>
                  </w:r>
                </w:p>
              </w:tc>
              <w:tc>
                <w:tcPr>
                  <w:tcW w:w="1112" w:type="dxa"/>
                  <w:vMerge w:val="restart"/>
                  <w:tcBorders>
                    <w:tl2br w:val="nil"/>
                    <w:tr2bl w:val="nil"/>
                  </w:tcBorders>
                  <w:shd w:val="clear" w:color="auto" w:fill="FFFFFF"/>
                  <w:vAlign w:val="center"/>
                </w:tcPr>
                <w:p w14:paraId="14938FD5">
                  <w:pPr>
                    <w:jc w:val="center"/>
                    <w:rPr>
                      <w:color w:val="auto"/>
                      <w:szCs w:val="21"/>
                      <w:highlight w:val="none"/>
                    </w:rPr>
                  </w:pPr>
                  <w:r>
                    <w:rPr>
                      <w:rFonts w:eastAsia="Arial"/>
                      <w:color w:val="auto"/>
                      <w:szCs w:val="21"/>
                      <w:highlight w:val="none"/>
                    </w:rPr>
                    <w:t>6</w:t>
                  </w:r>
                  <w:r>
                    <w:rPr>
                      <w:rFonts w:hint="eastAsia"/>
                      <w:color w:val="auto"/>
                      <w:szCs w:val="21"/>
                      <w:highlight w:val="none"/>
                    </w:rPr>
                    <w:t>5</w:t>
                  </w:r>
                </w:p>
              </w:tc>
              <w:tc>
                <w:tcPr>
                  <w:tcW w:w="958" w:type="dxa"/>
                  <w:tcBorders>
                    <w:tl2br w:val="nil"/>
                    <w:tr2bl w:val="nil"/>
                  </w:tcBorders>
                  <w:shd w:val="clear" w:color="auto" w:fill="FFFFFF"/>
                  <w:vAlign w:val="center"/>
                </w:tcPr>
                <w:p w14:paraId="47DA39B5">
                  <w:pPr>
                    <w:jc w:val="center"/>
                    <w:rPr>
                      <w:color w:val="auto"/>
                      <w:szCs w:val="21"/>
                      <w:highlight w:val="none"/>
                    </w:rPr>
                  </w:pPr>
                  <w:r>
                    <w:rPr>
                      <w:rFonts w:eastAsia="Arial"/>
                      <w:color w:val="auto"/>
                      <w:szCs w:val="21"/>
                      <w:highlight w:val="none"/>
                    </w:rPr>
                    <w:t>达标</w:t>
                  </w:r>
                </w:p>
              </w:tc>
            </w:tr>
            <w:tr w14:paraId="1DE94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024" w:type="dxa"/>
                  <w:tcBorders>
                    <w:tl2br w:val="nil"/>
                    <w:tr2bl w:val="nil"/>
                  </w:tcBorders>
                  <w:shd w:val="clear" w:color="auto" w:fill="FFFFFF"/>
                  <w:vAlign w:val="center"/>
                </w:tcPr>
                <w:p w14:paraId="0F3DC8F7">
                  <w:pPr>
                    <w:jc w:val="center"/>
                    <w:rPr>
                      <w:color w:val="auto"/>
                      <w:szCs w:val="21"/>
                      <w:highlight w:val="none"/>
                    </w:rPr>
                  </w:pPr>
                  <w:r>
                    <w:rPr>
                      <w:rFonts w:eastAsia="Arial"/>
                      <w:color w:val="auto"/>
                      <w:szCs w:val="21"/>
                      <w:highlight w:val="none"/>
                    </w:rPr>
                    <w:t>南侧</w:t>
                  </w:r>
                </w:p>
              </w:tc>
              <w:tc>
                <w:tcPr>
                  <w:tcW w:w="927" w:type="dxa"/>
                  <w:tcBorders>
                    <w:tl2br w:val="nil"/>
                    <w:tr2bl w:val="nil"/>
                  </w:tcBorders>
                  <w:shd w:val="clear" w:color="auto" w:fill="FFFFFF"/>
                  <w:vAlign w:val="center"/>
                </w:tcPr>
                <w:p w14:paraId="63B4D1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927" w:type="dxa"/>
                  <w:tcBorders>
                    <w:tl2br w:val="nil"/>
                    <w:tr2bl w:val="nil"/>
                  </w:tcBorders>
                  <w:shd w:val="clear" w:color="auto" w:fill="FFFFFF"/>
                  <w:vAlign w:val="center"/>
                </w:tcPr>
                <w:p w14:paraId="0B9548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927" w:type="dxa"/>
                  <w:tcBorders>
                    <w:tl2br w:val="nil"/>
                    <w:tr2bl w:val="nil"/>
                  </w:tcBorders>
                  <w:shd w:val="clear" w:color="auto" w:fill="FFFFFF"/>
                  <w:vAlign w:val="center"/>
                </w:tcPr>
                <w:p w14:paraId="04F0D3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27" w:type="dxa"/>
                  <w:tcBorders>
                    <w:tl2br w:val="nil"/>
                    <w:tr2bl w:val="nil"/>
                  </w:tcBorders>
                  <w:shd w:val="clear" w:color="auto" w:fill="FFFFFF"/>
                  <w:vAlign w:val="center"/>
                </w:tcPr>
                <w:p w14:paraId="46CE7AC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927" w:type="dxa"/>
                  <w:tcBorders>
                    <w:tl2br w:val="nil"/>
                    <w:tr2bl w:val="nil"/>
                  </w:tcBorders>
                  <w:shd w:val="clear" w:color="auto" w:fill="FFFFFF"/>
                  <w:vAlign w:val="center"/>
                </w:tcPr>
                <w:p w14:paraId="7AFEC4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w:t>
                  </w:r>
                </w:p>
              </w:tc>
              <w:tc>
                <w:tcPr>
                  <w:tcW w:w="927" w:type="dxa"/>
                  <w:tcBorders>
                    <w:tl2br w:val="nil"/>
                    <w:tr2bl w:val="nil"/>
                  </w:tcBorders>
                  <w:shd w:val="clear" w:color="auto" w:fill="FFFFFF"/>
                  <w:vAlign w:val="center"/>
                </w:tcPr>
                <w:p w14:paraId="4D3990A5">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63</w:t>
                  </w:r>
                </w:p>
              </w:tc>
              <w:tc>
                <w:tcPr>
                  <w:tcW w:w="1112" w:type="dxa"/>
                  <w:vMerge w:val="continue"/>
                  <w:tcBorders>
                    <w:tl2br w:val="nil"/>
                    <w:tr2bl w:val="nil"/>
                  </w:tcBorders>
                  <w:shd w:val="clear" w:color="auto" w:fill="FFFFFF"/>
                  <w:vAlign w:val="center"/>
                </w:tcPr>
                <w:p w14:paraId="331EA1E8">
                  <w:pPr>
                    <w:jc w:val="center"/>
                    <w:rPr>
                      <w:color w:val="auto"/>
                      <w:szCs w:val="21"/>
                      <w:highlight w:val="none"/>
                    </w:rPr>
                  </w:pPr>
                </w:p>
              </w:tc>
              <w:tc>
                <w:tcPr>
                  <w:tcW w:w="958" w:type="dxa"/>
                  <w:tcBorders>
                    <w:tl2br w:val="nil"/>
                    <w:tr2bl w:val="nil"/>
                  </w:tcBorders>
                  <w:shd w:val="clear" w:color="auto" w:fill="FFFFFF"/>
                  <w:vAlign w:val="center"/>
                </w:tcPr>
                <w:p w14:paraId="22763FFE">
                  <w:pPr>
                    <w:jc w:val="center"/>
                    <w:rPr>
                      <w:color w:val="auto"/>
                      <w:szCs w:val="21"/>
                      <w:highlight w:val="none"/>
                    </w:rPr>
                  </w:pPr>
                  <w:r>
                    <w:rPr>
                      <w:rFonts w:eastAsia="Arial"/>
                      <w:color w:val="auto"/>
                      <w:szCs w:val="21"/>
                      <w:highlight w:val="none"/>
                    </w:rPr>
                    <w:t>达标</w:t>
                  </w:r>
                </w:p>
              </w:tc>
            </w:tr>
            <w:tr w14:paraId="7CA99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024" w:type="dxa"/>
                  <w:tcBorders>
                    <w:tl2br w:val="nil"/>
                    <w:tr2bl w:val="nil"/>
                  </w:tcBorders>
                  <w:shd w:val="clear" w:color="auto" w:fill="FFFFFF"/>
                  <w:vAlign w:val="center"/>
                </w:tcPr>
                <w:p w14:paraId="44AA5239">
                  <w:pPr>
                    <w:jc w:val="center"/>
                    <w:rPr>
                      <w:color w:val="auto"/>
                      <w:szCs w:val="21"/>
                      <w:highlight w:val="none"/>
                    </w:rPr>
                  </w:pPr>
                  <w:r>
                    <w:rPr>
                      <w:rFonts w:eastAsia="Arial"/>
                      <w:color w:val="auto"/>
                      <w:szCs w:val="21"/>
                      <w:highlight w:val="none"/>
                    </w:rPr>
                    <w:t>西侧</w:t>
                  </w:r>
                </w:p>
              </w:tc>
              <w:tc>
                <w:tcPr>
                  <w:tcW w:w="927" w:type="dxa"/>
                  <w:tcBorders>
                    <w:tl2br w:val="nil"/>
                    <w:tr2bl w:val="nil"/>
                  </w:tcBorders>
                  <w:shd w:val="clear" w:color="auto" w:fill="FFFFFF"/>
                  <w:vAlign w:val="center"/>
                </w:tcPr>
                <w:p w14:paraId="77B555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927" w:type="dxa"/>
                  <w:tcBorders>
                    <w:tl2br w:val="nil"/>
                    <w:tr2bl w:val="nil"/>
                  </w:tcBorders>
                  <w:shd w:val="clear" w:color="auto" w:fill="FFFFFF"/>
                  <w:vAlign w:val="center"/>
                </w:tcPr>
                <w:p w14:paraId="7E4780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927" w:type="dxa"/>
                  <w:tcBorders>
                    <w:tl2br w:val="nil"/>
                    <w:tr2bl w:val="nil"/>
                  </w:tcBorders>
                  <w:shd w:val="clear" w:color="auto" w:fill="FFFFFF"/>
                  <w:vAlign w:val="center"/>
                </w:tcPr>
                <w:p w14:paraId="34BA29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27" w:type="dxa"/>
                  <w:tcBorders>
                    <w:tl2br w:val="nil"/>
                    <w:tr2bl w:val="nil"/>
                  </w:tcBorders>
                  <w:shd w:val="clear" w:color="auto" w:fill="FFFFFF"/>
                  <w:vAlign w:val="center"/>
                </w:tcPr>
                <w:p w14:paraId="7FFE513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927" w:type="dxa"/>
                  <w:tcBorders>
                    <w:tl2br w:val="nil"/>
                    <w:tr2bl w:val="nil"/>
                  </w:tcBorders>
                  <w:shd w:val="clear" w:color="auto" w:fill="FFFFFF"/>
                  <w:vAlign w:val="center"/>
                </w:tcPr>
                <w:p w14:paraId="6F2C3E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927" w:type="dxa"/>
                  <w:tcBorders>
                    <w:tl2br w:val="nil"/>
                    <w:tr2bl w:val="nil"/>
                  </w:tcBorders>
                  <w:shd w:val="clear" w:color="auto" w:fill="FFFFFF"/>
                  <w:vAlign w:val="center"/>
                </w:tcPr>
                <w:p w14:paraId="348F9D94">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56</w:t>
                  </w:r>
                </w:p>
              </w:tc>
              <w:tc>
                <w:tcPr>
                  <w:tcW w:w="1112" w:type="dxa"/>
                  <w:vMerge w:val="continue"/>
                  <w:tcBorders>
                    <w:tl2br w:val="nil"/>
                    <w:tr2bl w:val="nil"/>
                  </w:tcBorders>
                  <w:shd w:val="clear" w:color="auto" w:fill="FFFFFF"/>
                  <w:vAlign w:val="center"/>
                </w:tcPr>
                <w:p w14:paraId="64F02225">
                  <w:pPr>
                    <w:jc w:val="center"/>
                    <w:rPr>
                      <w:color w:val="auto"/>
                      <w:szCs w:val="21"/>
                      <w:highlight w:val="none"/>
                    </w:rPr>
                  </w:pPr>
                </w:p>
              </w:tc>
              <w:tc>
                <w:tcPr>
                  <w:tcW w:w="958" w:type="dxa"/>
                  <w:tcBorders>
                    <w:tl2br w:val="nil"/>
                    <w:tr2bl w:val="nil"/>
                  </w:tcBorders>
                  <w:shd w:val="clear" w:color="auto" w:fill="FFFFFF"/>
                  <w:vAlign w:val="center"/>
                </w:tcPr>
                <w:p w14:paraId="733E2FA6">
                  <w:pPr>
                    <w:jc w:val="center"/>
                    <w:rPr>
                      <w:color w:val="auto"/>
                      <w:szCs w:val="21"/>
                      <w:highlight w:val="none"/>
                    </w:rPr>
                  </w:pPr>
                  <w:r>
                    <w:rPr>
                      <w:rFonts w:eastAsia="Arial"/>
                      <w:color w:val="auto"/>
                      <w:szCs w:val="21"/>
                      <w:highlight w:val="none"/>
                    </w:rPr>
                    <w:t>达标</w:t>
                  </w:r>
                </w:p>
              </w:tc>
            </w:tr>
            <w:tr w14:paraId="6093B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024" w:type="dxa"/>
                  <w:tcBorders>
                    <w:tl2br w:val="nil"/>
                    <w:tr2bl w:val="nil"/>
                  </w:tcBorders>
                  <w:shd w:val="clear" w:color="auto" w:fill="FFFFFF"/>
                  <w:vAlign w:val="center"/>
                </w:tcPr>
                <w:p w14:paraId="0B459484">
                  <w:pPr>
                    <w:jc w:val="center"/>
                    <w:rPr>
                      <w:color w:val="auto"/>
                      <w:szCs w:val="21"/>
                      <w:highlight w:val="none"/>
                    </w:rPr>
                  </w:pPr>
                  <w:r>
                    <w:rPr>
                      <w:rFonts w:eastAsia="Arial"/>
                      <w:color w:val="auto"/>
                      <w:szCs w:val="21"/>
                      <w:highlight w:val="none"/>
                    </w:rPr>
                    <w:t>北侧</w:t>
                  </w:r>
                </w:p>
              </w:tc>
              <w:tc>
                <w:tcPr>
                  <w:tcW w:w="927" w:type="dxa"/>
                  <w:tcBorders>
                    <w:tl2br w:val="nil"/>
                    <w:tr2bl w:val="nil"/>
                  </w:tcBorders>
                  <w:shd w:val="clear" w:color="auto" w:fill="FFFFFF"/>
                  <w:vAlign w:val="center"/>
                </w:tcPr>
                <w:p w14:paraId="3D6446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927" w:type="dxa"/>
                  <w:tcBorders>
                    <w:tl2br w:val="nil"/>
                    <w:tr2bl w:val="nil"/>
                  </w:tcBorders>
                  <w:shd w:val="clear" w:color="auto" w:fill="FFFFFF"/>
                  <w:vAlign w:val="center"/>
                </w:tcPr>
                <w:p w14:paraId="500B60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927" w:type="dxa"/>
                  <w:tcBorders>
                    <w:tl2br w:val="nil"/>
                    <w:tr2bl w:val="nil"/>
                  </w:tcBorders>
                  <w:shd w:val="clear" w:color="auto" w:fill="FFFFFF"/>
                  <w:vAlign w:val="center"/>
                </w:tcPr>
                <w:p w14:paraId="0A3B05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27" w:type="dxa"/>
                  <w:tcBorders>
                    <w:tl2br w:val="nil"/>
                    <w:tr2bl w:val="nil"/>
                  </w:tcBorders>
                  <w:shd w:val="clear" w:color="auto" w:fill="FFFFFF"/>
                  <w:vAlign w:val="center"/>
                </w:tcPr>
                <w:p w14:paraId="61C998D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w:t>
                  </w:r>
                </w:p>
              </w:tc>
              <w:tc>
                <w:tcPr>
                  <w:tcW w:w="927" w:type="dxa"/>
                  <w:tcBorders>
                    <w:tl2br w:val="nil"/>
                    <w:tr2bl w:val="nil"/>
                  </w:tcBorders>
                  <w:shd w:val="clear" w:color="auto" w:fill="FFFFFF"/>
                  <w:vAlign w:val="center"/>
                </w:tcPr>
                <w:p w14:paraId="6AF211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927" w:type="dxa"/>
                  <w:tcBorders>
                    <w:tl2br w:val="nil"/>
                    <w:tr2bl w:val="nil"/>
                  </w:tcBorders>
                  <w:shd w:val="clear" w:color="auto" w:fill="FFFFFF"/>
                  <w:vAlign w:val="center"/>
                </w:tcPr>
                <w:p w14:paraId="7247B4E8">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57</w:t>
                  </w:r>
                </w:p>
              </w:tc>
              <w:tc>
                <w:tcPr>
                  <w:tcW w:w="1112" w:type="dxa"/>
                  <w:vMerge w:val="continue"/>
                  <w:tcBorders>
                    <w:tl2br w:val="nil"/>
                    <w:tr2bl w:val="nil"/>
                  </w:tcBorders>
                  <w:shd w:val="clear" w:color="auto" w:fill="FFFFFF"/>
                  <w:vAlign w:val="center"/>
                </w:tcPr>
                <w:p w14:paraId="57E99441">
                  <w:pPr>
                    <w:jc w:val="center"/>
                    <w:rPr>
                      <w:color w:val="auto"/>
                      <w:szCs w:val="21"/>
                      <w:highlight w:val="none"/>
                    </w:rPr>
                  </w:pPr>
                </w:p>
              </w:tc>
              <w:tc>
                <w:tcPr>
                  <w:tcW w:w="958" w:type="dxa"/>
                  <w:tcBorders>
                    <w:tl2br w:val="nil"/>
                    <w:tr2bl w:val="nil"/>
                  </w:tcBorders>
                  <w:shd w:val="clear" w:color="auto" w:fill="FFFFFF"/>
                  <w:vAlign w:val="center"/>
                </w:tcPr>
                <w:p w14:paraId="054E4322">
                  <w:pPr>
                    <w:jc w:val="center"/>
                    <w:rPr>
                      <w:color w:val="auto"/>
                      <w:szCs w:val="21"/>
                      <w:highlight w:val="none"/>
                    </w:rPr>
                  </w:pPr>
                  <w:r>
                    <w:rPr>
                      <w:rFonts w:eastAsia="Arial"/>
                      <w:color w:val="auto"/>
                      <w:szCs w:val="21"/>
                      <w:highlight w:val="none"/>
                    </w:rPr>
                    <w:t>达标</w:t>
                  </w:r>
                </w:p>
              </w:tc>
            </w:tr>
            <w:tr w14:paraId="556ED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91" w:hRule="exact"/>
                <w:jc w:val="center"/>
              </w:trPr>
              <w:tc>
                <w:tcPr>
                  <w:tcW w:w="8656" w:type="dxa"/>
                  <w:gridSpan w:val="9"/>
                  <w:tcBorders>
                    <w:tl2br w:val="nil"/>
                    <w:tr2bl w:val="nil"/>
                  </w:tcBorders>
                  <w:shd w:val="clear" w:color="auto" w:fill="FFFFFF"/>
                  <w:vAlign w:val="center"/>
                </w:tcPr>
                <w:p w14:paraId="6935F7C1">
                  <w:pPr>
                    <w:rPr>
                      <w:color w:val="auto"/>
                      <w:szCs w:val="21"/>
                      <w:highlight w:val="none"/>
                    </w:rPr>
                  </w:pPr>
                  <w:r>
                    <w:rPr>
                      <w:rFonts w:hint="eastAsia"/>
                      <w:color w:val="auto"/>
                      <w:szCs w:val="21"/>
                      <w:highlight w:val="none"/>
                    </w:rPr>
                    <w:t>注：</w:t>
                  </w:r>
                  <w:r>
                    <w:rPr>
                      <w:rFonts w:hint="eastAsia" w:ascii="宋体" w:hAnsi="宋体" w:cs="宋体"/>
                      <w:color w:val="auto"/>
                      <w:szCs w:val="21"/>
                      <w:highlight w:val="none"/>
                    </w:rPr>
                    <w:t>①</w:t>
                  </w:r>
                  <w:r>
                    <w:rPr>
                      <w:rFonts w:hint="eastAsia"/>
                      <w:color w:val="auto"/>
                      <w:szCs w:val="21"/>
                      <w:highlight w:val="none"/>
                    </w:rPr>
                    <w:t>预测时厂界中心为坐标原点；</w:t>
                  </w:r>
                </w:p>
                <w:p w14:paraId="34008066">
                  <w:pPr>
                    <w:rPr>
                      <w:rFonts w:hint="eastAsia" w:ascii="宋体" w:hAnsi="宋体" w:cs="宋体"/>
                      <w:color w:val="auto"/>
                      <w:szCs w:val="21"/>
                      <w:highlight w:val="none"/>
                    </w:rPr>
                  </w:pPr>
                  <w:r>
                    <w:rPr>
                      <w:rFonts w:hint="eastAsia" w:ascii="宋体" w:hAnsi="宋体" w:cs="宋体"/>
                      <w:color w:val="auto"/>
                      <w:szCs w:val="21"/>
                      <w:highlight w:val="none"/>
                    </w:rPr>
                    <w:t>②最大值点空间相对位置为</w:t>
                  </w:r>
                  <w:r>
                    <w:rPr>
                      <w:rFonts w:hint="eastAsia" w:ascii="宋体" w:hAnsi="宋体" w:cs="宋体"/>
                      <w:color w:val="auto"/>
                      <w:szCs w:val="21"/>
                      <w:highlight w:val="none"/>
                      <w:lang w:eastAsia="zh-CN"/>
                    </w:rPr>
                    <w:t>各类</w:t>
                  </w:r>
                  <w:r>
                    <w:rPr>
                      <w:rFonts w:hint="eastAsia" w:ascii="宋体" w:hAnsi="宋体" w:cs="宋体"/>
                      <w:color w:val="auto"/>
                      <w:szCs w:val="21"/>
                      <w:highlight w:val="none"/>
                    </w:rPr>
                    <w:t>设备声源通过距离衰减、降噪措施后在各厂界形成的最大贡献</w:t>
                  </w:r>
                  <w:r>
                    <w:rPr>
                      <w:rStyle w:val="42"/>
                      <w:rFonts w:hint="eastAsia"/>
                      <w:color w:val="auto"/>
                      <w:kern w:val="0"/>
                      <w:szCs w:val="20"/>
                      <w:highlight w:val="none"/>
                      <w:lang w:eastAsia="zh-CN"/>
                    </w:rPr>
                    <w:t>叠加</w:t>
                  </w:r>
                  <w:r>
                    <w:rPr>
                      <w:rFonts w:hint="eastAsia" w:ascii="宋体" w:hAnsi="宋体" w:cs="宋体"/>
                      <w:color w:val="auto"/>
                      <w:szCs w:val="21"/>
                      <w:highlight w:val="none"/>
                    </w:rPr>
                    <w:t>值点，可代表对应厂界噪声贡献值。</w:t>
                  </w:r>
                </w:p>
              </w:tc>
            </w:tr>
          </w:tbl>
          <w:p w14:paraId="7F2B5F49">
            <w:pPr>
              <w:adjustRightInd w:val="0"/>
              <w:snapToGrid w:val="0"/>
              <w:spacing w:line="360" w:lineRule="auto"/>
              <w:ind w:firstLine="480" w:firstLineChars="200"/>
              <w:rPr>
                <w:color w:val="auto"/>
                <w:sz w:val="24"/>
                <w:szCs w:val="21"/>
                <w:highlight w:val="none"/>
              </w:rPr>
            </w:pPr>
            <w:r>
              <w:rPr>
                <w:color w:val="auto"/>
                <w:sz w:val="24"/>
                <w:szCs w:val="20"/>
                <w:highlight w:val="none"/>
              </w:rPr>
              <w:t>由上述计算结果可知，</w:t>
            </w:r>
            <w:r>
              <w:rPr>
                <w:rFonts w:hint="eastAsia"/>
                <w:color w:val="auto"/>
                <w:sz w:val="24"/>
                <w:highlight w:val="none"/>
                <w:lang w:eastAsia="zh-CN"/>
              </w:rPr>
              <w:t>新增工程投入运营后</w:t>
            </w:r>
            <w:r>
              <w:rPr>
                <w:color w:val="auto"/>
                <w:sz w:val="24"/>
                <w:szCs w:val="20"/>
                <w:highlight w:val="none"/>
              </w:rPr>
              <w:t>，</w:t>
            </w:r>
            <w:r>
              <w:rPr>
                <w:rFonts w:hint="eastAsia"/>
                <w:color w:val="auto"/>
                <w:sz w:val="24"/>
                <w:highlight w:val="none"/>
                <w:lang w:eastAsia="zh-CN"/>
              </w:rPr>
              <w:t>项目</w:t>
            </w:r>
            <w:r>
              <w:rPr>
                <w:rFonts w:hint="eastAsia"/>
                <w:color w:val="auto"/>
                <w:sz w:val="24"/>
                <w:szCs w:val="20"/>
                <w:highlight w:val="none"/>
                <w:lang w:eastAsia="zh-CN"/>
              </w:rPr>
              <w:t>四侧厂界</w:t>
            </w:r>
            <w:r>
              <w:rPr>
                <w:rFonts w:hint="eastAsia"/>
                <w:color w:val="auto"/>
                <w:sz w:val="24"/>
                <w:szCs w:val="20"/>
                <w:highlight w:val="none"/>
              </w:rPr>
              <w:t>昼间</w:t>
            </w:r>
            <w:r>
              <w:rPr>
                <w:color w:val="auto"/>
                <w:sz w:val="24"/>
                <w:szCs w:val="20"/>
                <w:highlight w:val="none"/>
              </w:rPr>
              <w:t>噪声</w:t>
            </w:r>
            <w:r>
              <w:rPr>
                <w:rFonts w:hint="eastAsia"/>
                <w:color w:val="auto"/>
                <w:sz w:val="24"/>
                <w:szCs w:val="20"/>
                <w:highlight w:val="none"/>
                <w:lang w:eastAsia="zh-CN"/>
              </w:rPr>
              <w:t>预测值</w:t>
            </w:r>
            <w:r>
              <w:rPr>
                <w:color w:val="auto"/>
                <w:sz w:val="24"/>
                <w:szCs w:val="20"/>
                <w:highlight w:val="none"/>
              </w:rPr>
              <w:t>均满足《工业企业厂界环境噪声排放标准》（GB12348-2008）中</w:t>
            </w:r>
            <w:r>
              <w:rPr>
                <w:rFonts w:hint="eastAsia"/>
                <w:color w:val="auto"/>
                <w:sz w:val="24"/>
                <w:szCs w:val="20"/>
                <w:highlight w:val="none"/>
                <w:lang w:val="en-US" w:eastAsia="zh-CN"/>
              </w:rPr>
              <w:t>3</w:t>
            </w:r>
            <w:r>
              <w:rPr>
                <w:color w:val="auto"/>
                <w:sz w:val="24"/>
                <w:szCs w:val="20"/>
                <w:highlight w:val="none"/>
              </w:rPr>
              <w:t>类标准</w:t>
            </w:r>
            <w:r>
              <w:rPr>
                <w:rFonts w:hint="eastAsia"/>
                <w:color w:val="auto"/>
                <w:sz w:val="24"/>
                <w:szCs w:val="20"/>
                <w:highlight w:val="none"/>
              </w:rPr>
              <w:t>要求。</w:t>
            </w:r>
          </w:p>
          <w:p w14:paraId="089597BD">
            <w:pPr>
              <w:adjustRightInd w:val="0"/>
              <w:snapToGrid w:val="0"/>
              <w:spacing w:line="360" w:lineRule="auto"/>
              <w:ind w:left="420" w:leftChars="200"/>
              <w:rPr>
                <w:color w:val="auto"/>
                <w:sz w:val="24"/>
                <w:highlight w:val="none"/>
              </w:rPr>
            </w:pPr>
            <w:r>
              <w:rPr>
                <w:rFonts w:hint="eastAsia"/>
                <w:color w:val="auto"/>
                <w:sz w:val="24"/>
                <w:highlight w:val="none"/>
              </w:rPr>
              <w:t>2、噪声监测</w:t>
            </w:r>
          </w:p>
          <w:p w14:paraId="53331D10">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按照《排污单位自行监测技术指南 总则》</w:t>
            </w:r>
            <w:r>
              <w:rPr>
                <w:color w:val="auto"/>
                <w:kern w:val="0"/>
                <w:sz w:val="24"/>
                <w:highlight w:val="none"/>
              </w:rPr>
              <w:t>（HJ819-2017），</w:t>
            </w:r>
            <w:r>
              <w:rPr>
                <w:rFonts w:hint="eastAsia" w:ascii="宋体" w:hAnsi="宋体" w:cs="宋体"/>
                <w:color w:val="auto"/>
                <w:kern w:val="0"/>
                <w:sz w:val="24"/>
                <w:highlight w:val="none"/>
              </w:rPr>
              <w:t>建设单位应开展环境噪声监测，具体如下：</w:t>
            </w:r>
          </w:p>
          <w:p w14:paraId="1BB85C34">
            <w:pPr>
              <w:adjustRightInd w:val="0"/>
              <w:snapToGrid w:val="0"/>
              <w:jc w:val="center"/>
              <w:rPr>
                <w:b/>
                <w:bCs/>
                <w:color w:val="auto"/>
                <w:kern w:val="24"/>
                <w:szCs w:val="22"/>
                <w:highlight w:val="none"/>
              </w:rPr>
            </w:pPr>
            <w:r>
              <w:rPr>
                <w:b/>
                <w:bCs/>
                <w:color w:val="auto"/>
                <w:kern w:val="24"/>
                <w:szCs w:val="22"/>
                <w:highlight w:val="none"/>
              </w:rPr>
              <w:t>表4-</w:t>
            </w:r>
            <w:r>
              <w:rPr>
                <w:rFonts w:hint="eastAsia"/>
                <w:b/>
                <w:bCs/>
                <w:color w:val="auto"/>
                <w:kern w:val="24"/>
                <w:szCs w:val="22"/>
                <w:highlight w:val="none"/>
                <w:lang w:val="en-US" w:eastAsia="zh-CN"/>
              </w:rPr>
              <w:t>10</w:t>
            </w:r>
            <w:r>
              <w:rPr>
                <w:rFonts w:hint="eastAsia"/>
                <w:b/>
                <w:bCs/>
                <w:color w:val="auto"/>
                <w:kern w:val="24"/>
                <w:szCs w:val="22"/>
                <w:highlight w:val="none"/>
              </w:rPr>
              <w:t xml:space="preserve"> </w:t>
            </w:r>
            <w:r>
              <w:rPr>
                <w:b/>
                <w:bCs/>
                <w:color w:val="auto"/>
                <w:kern w:val="24"/>
                <w:szCs w:val="22"/>
                <w:highlight w:val="none"/>
              </w:rPr>
              <w:t xml:space="preserve"> </w:t>
            </w:r>
            <w:r>
              <w:rPr>
                <w:rFonts w:hint="eastAsia"/>
                <w:b/>
                <w:bCs/>
                <w:color w:val="auto"/>
                <w:kern w:val="24"/>
                <w:szCs w:val="22"/>
                <w:highlight w:val="none"/>
              </w:rPr>
              <w:t>噪声</w:t>
            </w:r>
            <w:r>
              <w:rPr>
                <w:b/>
                <w:bCs/>
                <w:color w:val="auto"/>
                <w:kern w:val="24"/>
                <w:szCs w:val="22"/>
                <w:highlight w:val="none"/>
              </w:rPr>
              <w:t>监测一览表</w:t>
            </w:r>
          </w:p>
          <w:tbl>
            <w:tblPr>
              <w:tblStyle w:val="36"/>
              <w:tblW w:w="8404" w:type="dxa"/>
              <w:tblInd w:w="1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82"/>
              <w:gridCol w:w="1600"/>
              <w:gridCol w:w="1127"/>
              <w:gridCol w:w="1201"/>
              <w:gridCol w:w="3694"/>
            </w:tblGrid>
            <w:tr w14:paraId="4694A1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6" w:hRule="atLeast"/>
              </w:trPr>
              <w:tc>
                <w:tcPr>
                  <w:tcW w:w="782" w:type="dxa"/>
                  <w:tcBorders>
                    <w:tl2br w:val="nil"/>
                    <w:tr2bl w:val="nil"/>
                  </w:tcBorders>
                  <w:vAlign w:val="center"/>
                </w:tcPr>
                <w:p w14:paraId="3F65EA7D">
                  <w:pPr>
                    <w:jc w:val="center"/>
                    <w:rPr>
                      <w:color w:val="auto"/>
                      <w:szCs w:val="21"/>
                      <w:highlight w:val="none"/>
                    </w:rPr>
                  </w:pPr>
                  <w:r>
                    <w:rPr>
                      <w:color w:val="auto"/>
                      <w:szCs w:val="21"/>
                      <w:highlight w:val="none"/>
                    </w:rPr>
                    <w:t>监测项目</w:t>
                  </w:r>
                </w:p>
              </w:tc>
              <w:tc>
                <w:tcPr>
                  <w:tcW w:w="1600" w:type="dxa"/>
                  <w:tcBorders>
                    <w:tl2br w:val="nil"/>
                    <w:tr2bl w:val="nil"/>
                  </w:tcBorders>
                  <w:vAlign w:val="center"/>
                </w:tcPr>
                <w:p w14:paraId="663A69A4">
                  <w:pPr>
                    <w:jc w:val="center"/>
                    <w:rPr>
                      <w:color w:val="auto"/>
                      <w:szCs w:val="21"/>
                      <w:highlight w:val="none"/>
                    </w:rPr>
                  </w:pPr>
                  <w:r>
                    <w:rPr>
                      <w:color w:val="auto"/>
                      <w:szCs w:val="21"/>
                      <w:highlight w:val="none"/>
                    </w:rPr>
                    <w:t>监测位置</w:t>
                  </w:r>
                </w:p>
              </w:tc>
              <w:tc>
                <w:tcPr>
                  <w:tcW w:w="1127" w:type="dxa"/>
                  <w:tcBorders>
                    <w:tl2br w:val="nil"/>
                    <w:tr2bl w:val="nil"/>
                  </w:tcBorders>
                  <w:vAlign w:val="center"/>
                </w:tcPr>
                <w:p w14:paraId="4EE99EA7">
                  <w:pPr>
                    <w:jc w:val="center"/>
                    <w:rPr>
                      <w:color w:val="auto"/>
                      <w:szCs w:val="21"/>
                      <w:highlight w:val="none"/>
                    </w:rPr>
                  </w:pPr>
                  <w:r>
                    <w:rPr>
                      <w:color w:val="auto"/>
                      <w:szCs w:val="21"/>
                      <w:highlight w:val="none"/>
                    </w:rPr>
                    <w:t>监测因子</w:t>
                  </w:r>
                </w:p>
              </w:tc>
              <w:tc>
                <w:tcPr>
                  <w:tcW w:w="1201" w:type="dxa"/>
                  <w:tcBorders>
                    <w:tl2br w:val="nil"/>
                    <w:tr2bl w:val="nil"/>
                  </w:tcBorders>
                  <w:vAlign w:val="center"/>
                </w:tcPr>
                <w:p w14:paraId="7D6A0088">
                  <w:pPr>
                    <w:jc w:val="center"/>
                    <w:rPr>
                      <w:color w:val="auto"/>
                      <w:szCs w:val="21"/>
                      <w:highlight w:val="none"/>
                    </w:rPr>
                  </w:pPr>
                  <w:r>
                    <w:rPr>
                      <w:color w:val="auto"/>
                      <w:szCs w:val="21"/>
                      <w:highlight w:val="none"/>
                    </w:rPr>
                    <w:t>监测时间、频率</w:t>
                  </w:r>
                </w:p>
              </w:tc>
              <w:tc>
                <w:tcPr>
                  <w:tcW w:w="3694" w:type="dxa"/>
                  <w:tcBorders>
                    <w:tl2br w:val="nil"/>
                    <w:tr2bl w:val="nil"/>
                  </w:tcBorders>
                  <w:vAlign w:val="center"/>
                </w:tcPr>
                <w:p w14:paraId="28FB2706">
                  <w:pPr>
                    <w:jc w:val="center"/>
                    <w:rPr>
                      <w:color w:val="auto"/>
                      <w:szCs w:val="21"/>
                      <w:highlight w:val="none"/>
                    </w:rPr>
                  </w:pPr>
                  <w:r>
                    <w:rPr>
                      <w:color w:val="auto"/>
                      <w:szCs w:val="21"/>
                      <w:highlight w:val="none"/>
                    </w:rPr>
                    <w:t>执行标准</w:t>
                  </w:r>
                </w:p>
              </w:tc>
            </w:tr>
            <w:tr w14:paraId="68EC2E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3" w:hRule="atLeast"/>
              </w:trPr>
              <w:tc>
                <w:tcPr>
                  <w:tcW w:w="782" w:type="dxa"/>
                  <w:tcBorders>
                    <w:tl2br w:val="nil"/>
                    <w:tr2bl w:val="nil"/>
                  </w:tcBorders>
                  <w:vAlign w:val="center"/>
                </w:tcPr>
                <w:p w14:paraId="6102463F">
                  <w:pPr>
                    <w:jc w:val="center"/>
                    <w:rPr>
                      <w:color w:val="auto"/>
                      <w:szCs w:val="21"/>
                      <w:highlight w:val="none"/>
                    </w:rPr>
                  </w:pPr>
                  <w:r>
                    <w:rPr>
                      <w:color w:val="auto"/>
                      <w:szCs w:val="21"/>
                      <w:highlight w:val="none"/>
                    </w:rPr>
                    <w:t>噪声</w:t>
                  </w:r>
                </w:p>
              </w:tc>
              <w:tc>
                <w:tcPr>
                  <w:tcW w:w="1600" w:type="dxa"/>
                  <w:tcBorders>
                    <w:tl2br w:val="nil"/>
                    <w:tr2bl w:val="nil"/>
                  </w:tcBorders>
                  <w:vAlign w:val="center"/>
                </w:tcPr>
                <w:p w14:paraId="5817C39B">
                  <w:pPr>
                    <w:jc w:val="center"/>
                    <w:rPr>
                      <w:color w:val="auto"/>
                      <w:szCs w:val="21"/>
                      <w:highlight w:val="none"/>
                    </w:rPr>
                  </w:pPr>
                  <w:r>
                    <w:rPr>
                      <w:color w:val="auto"/>
                      <w:szCs w:val="21"/>
                      <w:highlight w:val="none"/>
                    </w:rPr>
                    <w:t>厂界四</w:t>
                  </w:r>
                  <w:r>
                    <w:rPr>
                      <w:rFonts w:hint="eastAsia"/>
                      <w:color w:val="auto"/>
                      <w:szCs w:val="21"/>
                      <w:highlight w:val="none"/>
                    </w:rPr>
                    <w:t>侧</w:t>
                  </w:r>
                </w:p>
              </w:tc>
              <w:tc>
                <w:tcPr>
                  <w:tcW w:w="1127" w:type="dxa"/>
                  <w:tcBorders>
                    <w:tl2br w:val="nil"/>
                    <w:tr2bl w:val="nil"/>
                  </w:tcBorders>
                  <w:vAlign w:val="center"/>
                </w:tcPr>
                <w:p w14:paraId="16B9C1E4">
                  <w:pPr>
                    <w:jc w:val="center"/>
                    <w:rPr>
                      <w:color w:val="auto"/>
                      <w:szCs w:val="21"/>
                      <w:highlight w:val="none"/>
                    </w:rPr>
                  </w:pPr>
                  <w:r>
                    <w:rPr>
                      <w:color w:val="auto"/>
                      <w:highlight w:val="none"/>
                    </w:rPr>
                    <w:t>噪声</w:t>
                  </w:r>
                </w:p>
              </w:tc>
              <w:tc>
                <w:tcPr>
                  <w:tcW w:w="1201" w:type="dxa"/>
                  <w:tcBorders>
                    <w:tl2br w:val="nil"/>
                    <w:tr2bl w:val="nil"/>
                  </w:tcBorders>
                  <w:vAlign w:val="center"/>
                </w:tcPr>
                <w:p w14:paraId="38D636B7">
                  <w:pPr>
                    <w:jc w:val="center"/>
                    <w:rPr>
                      <w:color w:val="auto"/>
                      <w:szCs w:val="21"/>
                      <w:highlight w:val="none"/>
                    </w:rPr>
                  </w:pPr>
                  <w:r>
                    <w:rPr>
                      <w:color w:val="auto"/>
                      <w:szCs w:val="21"/>
                      <w:highlight w:val="none"/>
                    </w:rPr>
                    <w:t>一次/季度</w:t>
                  </w:r>
                </w:p>
              </w:tc>
              <w:tc>
                <w:tcPr>
                  <w:tcW w:w="3694" w:type="dxa"/>
                  <w:tcBorders>
                    <w:tl2br w:val="nil"/>
                    <w:tr2bl w:val="nil"/>
                  </w:tcBorders>
                  <w:vAlign w:val="center"/>
                </w:tcPr>
                <w:p w14:paraId="1C61C0A4">
                  <w:pPr>
                    <w:jc w:val="center"/>
                    <w:rPr>
                      <w:color w:val="auto"/>
                      <w:szCs w:val="21"/>
                      <w:highlight w:val="none"/>
                    </w:rPr>
                  </w:pPr>
                  <w:r>
                    <w:rPr>
                      <w:color w:val="auto"/>
                      <w:szCs w:val="21"/>
                      <w:highlight w:val="none"/>
                      <w:lang w:val="en-GB"/>
                    </w:rPr>
                    <w:t>《</w:t>
                  </w:r>
                  <w:r>
                    <w:rPr>
                      <w:color w:val="auto"/>
                      <w:szCs w:val="21"/>
                      <w:highlight w:val="none"/>
                    </w:rPr>
                    <w:t>工业企业厂界环境噪声排放标准</w:t>
                  </w:r>
                  <w:r>
                    <w:rPr>
                      <w:color w:val="auto"/>
                      <w:szCs w:val="21"/>
                      <w:highlight w:val="none"/>
                      <w:lang w:val="en-GB"/>
                    </w:rPr>
                    <w:t>》</w:t>
                  </w:r>
                  <w:r>
                    <w:rPr>
                      <w:rFonts w:hint="eastAsia"/>
                      <w:color w:val="auto"/>
                      <w:szCs w:val="21"/>
                      <w:highlight w:val="none"/>
                      <w:lang w:val="en-GB"/>
                    </w:rPr>
                    <w:t>（</w:t>
                  </w:r>
                  <w:r>
                    <w:rPr>
                      <w:color w:val="auto"/>
                      <w:szCs w:val="21"/>
                      <w:highlight w:val="none"/>
                      <w:lang w:val="en-GB"/>
                    </w:rPr>
                    <w:t>GB</w:t>
                  </w:r>
                  <w:r>
                    <w:rPr>
                      <w:color w:val="auto"/>
                      <w:szCs w:val="21"/>
                      <w:highlight w:val="none"/>
                    </w:rPr>
                    <w:t>12348-2008</w:t>
                  </w:r>
                  <w:r>
                    <w:rPr>
                      <w:rFonts w:hint="eastAsia"/>
                      <w:color w:val="auto"/>
                      <w:szCs w:val="21"/>
                      <w:highlight w:val="none"/>
                      <w:lang w:val="en-GB"/>
                    </w:rPr>
                    <w:t>）</w:t>
                  </w:r>
                  <w:r>
                    <w:rPr>
                      <w:rFonts w:hint="eastAsia"/>
                      <w:color w:val="auto"/>
                      <w:szCs w:val="21"/>
                      <w:highlight w:val="none"/>
                      <w:lang w:val="en-US" w:eastAsia="zh-CN"/>
                    </w:rPr>
                    <w:t>3</w:t>
                  </w:r>
                  <w:r>
                    <w:rPr>
                      <w:color w:val="auto"/>
                      <w:szCs w:val="21"/>
                      <w:highlight w:val="none"/>
                    </w:rPr>
                    <w:t>类区标准</w:t>
                  </w:r>
                </w:p>
              </w:tc>
            </w:tr>
          </w:tbl>
          <w:p w14:paraId="16FAFF0F">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四</w:t>
            </w:r>
            <w:r>
              <w:rPr>
                <w:rFonts w:hint="eastAsia"/>
                <w:b/>
                <w:color w:val="auto"/>
                <w:kern w:val="0"/>
                <w:sz w:val="24"/>
                <w:highlight w:val="none"/>
              </w:rPr>
              <w:t>）</w:t>
            </w:r>
            <w:r>
              <w:rPr>
                <w:b/>
                <w:color w:val="auto"/>
                <w:kern w:val="0"/>
                <w:sz w:val="24"/>
                <w:highlight w:val="none"/>
              </w:rPr>
              <w:t>固体废物对环境影响分析</w:t>
            </w:r>
          </w:p>
          <w:p w14:paraId="60D3BEDA">
            <w:pPr>
              <w:pStyle w:val="45"/>
              <w:snapToGrid w:val="0"/>
              <w:spacing w:line="360" w:lineRule="auto"/>
              <w:ind w:firstLine="480" w:firstLineChars="200"/>
              <w:rPr>
                <w:rFonts w:hint="eastAsia" w:ascii="Times New Roman" w:cs="Times New Roman"/>
                <w:color w:val="auto"/>
                <w:highlight w:val="none"/>
                <w:lang w:eastAsia="zh-CN"/>
              </w:rPr>
            </w:pPr>
            <w:r>
              <w:rPr>
                <w:rFonts w:hint="eastAsia" w:ascii="Times New Roman" w:cs="Times New Roman"/>
                <w:color w:val="auto"/>
                <w:highlight w:val="none"/>
                <w:lang w:eastAsia="zh-CN"/>
              </w:rPr>
              <w:t>除生活垃圾外，本项目固废</w:t>
            </w:r>
            <w:r>
              <w:rPr>
                <w:rFonts w:hint="eastAsia" w:ascii="Times New Roman" w:cs="Times New Roman"/>
                <w:color w:val="auto"/>
                <w:highlight w:val="none"/>
              </w:rPr>
              <w:t>主要为收集尘</w:t>
            </w:r>
            <w:r>
              <w:rPr>
                <w:rFonts w:hint="eastAsia" w:ascii="Times New Roman" w:cs="Times New Roman"/>
                <w:color w:val="auto"/>
                <w:highlight w:val="none"/>
                <w:lang w:eastAsia="zh-CN"/>
              </w:rPr>
              <w:t>、餐厨废弃物和废油脂、废编织袋、废润滑油、废油桶、含油手套和棉纱等。</w:t>
            </w:r>
          </w:p>
          <w:p w14:paraId="2B64585C">
            <w:pPr>
              <w:pStyle w:val="45"/>
              <w:snapToGrid w:val="0"/>
              <w:spacing w:line="360" w:lineRule="auto"/>
              <w:ind w:firstLine="480" w:firstLineChars="200"/>
              <w:rPr>
                <w:rFonts w:ascii="Times New Roman" w:cs="Times New Roman"/>
                <w:color w:val="auto"/>
                <w:kern w:val="2"/>
                <w:highlight w:val="none"/>
              </w:rPr>
            </w:pPr>
            <w:r>
              <w:rPr>
                <w:rFonts w:hint="eastAsia" w:ascii="Times New Roman" w:cs="Times New Roman"/>
                <w:color w:val="auto"/>
                <w:highlight w:val="none"/>
              </w:rPr>
              <w:t>1、</w:t>
            </w:r>
            <w:r>
              <w:rPr>
                <w:rFonts w:ascii="Times New Roman" w:cs="Times New Roman"/>
                <w:color w:val="auto"/>
                <w:kern w:val="2"/>
                <w:highlight w:val="none"/>
              </w:rPr>
              <w:t>生活垃圾</w:t>
            </w:r>
          </w:p>
          <w:p w14:paraId="309321E7">
            <w:pPr>
              <w:adjustRightInd w:val="0"/>
              <w:snapToGrid w:val="0"/>
              <w:spacing w:line="360" w:lineRule="auto"/>
              <w:ind w:firstLine="482" w:firstLineChars="200"/>
              <w:rPr>
                <w:rFonts w:hint="eastAsia" w:eastAsia="宋体"/>
                <w:color w:val="auto"/>
                <w:sz w:val="24"/>
                <w:highlight w:val="none"/>
                <w:lang w:eastAsia="zh-CN"/>
              </w:rPr>
            </w:pPr>
            <w:r>
              <w:rPr>
                <w:rFonts w:hint="eastAsia" w:ascii="宋体" w:hAnsi="宋体" w:cs="宋体"/>
                <w:b/>
                <w:bCs/>
                <w:color w:val="auto"/>
                <w:kern w:val="0"/>
                <w:sz w:val="24"/>
                <w:highlight w:val="none"/>
              </w:rPr>
              <w:t>产生情况：</w:t>
            </w:r>
            <w:r>
              <w:rPr>
                <w:rFonts w:hint="eastAsia" w:ascii="宋体" w:hAnsi="宋体" w:cs="宋体"/>
                <w:b w:val="0"/>
                <w:bCs w:val="0"/>
                <w:color w:val="auto"/>
                <w:kern w:val="0"/>
                <w:sz w:val="24"/>
                <w:highlight w:val="none"/>
                <w:lang w:eastAsia="zh-CN"/>
              </w:rPr>
              <w:t>根据前文分析，</w:t>
            </w:r>
            <w:r>
              <w:rPr>
                <w:rFonts w:hint="default" w:ascii="Times New Roman" w:hAnsi="Times New Roman" w:cs="Times New Roman"/>
                <w:b w:val="0"/>
                <w:bCs w:val="0"/>
                <w:color w:val="auto"/>
                <w:kern w:val="0"/>
                <w:sz w:val="24"/>
                <w:highlight w:val="none"/>
                <w:lang w:eastAsia="zh-CN"/>
              </w:rPr>
              <w:t>现有工程</w:t>
            </w:r>
            <w:r>
              <w:rPr>
                <w:rFonts w:hint="eastAsia" w:ascii="Times New Roman" w:hAnsi="Times New Roman" w:cs="Times New Roman"/>
                <w:b w:val="0"/>
                <w:bCs w:val="0"/>
                <w:color w:val="auto"/>
                <w:kern w:val="0"/>
                <w:sz w:val="24"/>
                <w:highlight w:val="none"/>
                <w:lang w:eastAsia="zh-CN"/>
              </w:rPr>
              <w:t>生活垃圾</w:t>
            </w:r>
            <w:r>
              <w:rPr>
                <w:rFonts w:hint="default" w:ascii="Times New Roman" w:hAnsi="Times New Roman" w:cs="Times New Roman"/>
                <w:b w:val="0"/>
                <w:bCs w:val="0"/>
                <w:color w:val="auto"/>
                <w:kern w:val="0"/>
                <w:sz w:val="24"/>
                <w:highlight w:val="none"/>
                <w:lang w:eastAsia="zh-CN"/>
              </w:rPr>
              <w:t>产生量为</w:t>
            </w:r>
            <w:r>
              <w:rPr>
                <w:rFonts w:hint="default" w:ascii="Times New Roman" w:hAnsi="Times New Roman" w:cs="Times New Roman"/>
                <w:b w:val="0"/>
                <w:bCs w:val="0"/>
                <w:color w:val="auto"/>
                <w:kern w:val="0"/>
                <w:sz w:val="24"/>
                <w:highlight w:val="none"/>
                <w:lang w:val="en-US" w:eastAsia="zh-CN"/>
              </w:rPr>
              <w:t>0.912</w:t>
            </w:r>
            <w:r>
              <w:rPr>
                <w:rFonts w:hint="default" w:ascii="Times New Roman" w:hAnsi="Times New Roman" w:cs="Times New Roman"/>
                <w:b w:val="0"/>
                <w:bCs w:val="0"/>
                <w:color w:val="auto"/>
                <w:kern w:val="0"/>
                <w:sz w:val="24"/>
                <w:highlight w:val="none"/>
                <w:lang w:eastAsia="zh-CN"/>
              </w:rPr>
              <w:t>t/a</w:t>
            </w:r>
            <w:r>
              <w:rPr>
                <w:rFonts w:hint="eastAsia" w:ascii="Times New Roman" w:hAnsi="Times New Roman" w:cs="Times New Roman"/>
                <w:b w:val="0"/>
                <w:bCs w:val="0"/>
                <w:color w:val="auto"/>
                <w:kern w:val="0"/>
                <w:sz w:val="24"/>
                <w:highlight w:val="none"/>
                <w:lang w:eastAsia="zh-CN"/>
              </w:rPr>
              <w:t>。</w:t>
            </w:r>
            <w:r>
              <w:rPr>
                <w:color w:val="auto"/>
                <w:sz w:val="24"/>
                <w:highlight w:val="none"/>
              </w:rPr>
              <w:t>本</w:t>
            </w:r>
            <w:r>
              <w:rPr>
                <w:rFonts w:hint="eastAsia"/>
                <w:color w:val="auto"/>
                <w:sz w:val="24"/>
                <w:highlight w:val="none"/>
              </w:rPr>
              <w:t>次</w:t>
            </w:r>
            <w:r>
              <w:rPr>
                <w:rFonts w:hint="eastAsia"/>
                <w:color w:val="auto"/>
                <w:sz w:val="24"/>
                <w:highlight w:val="none"/>
                <w:lang w:eastAsia="zh-CN"/>
              </w:rPr>
              <w:t>新增工程计划再招募</w:t>
            </w:r>
            <w:r>
              <w:rPr>
                <w:rFonts w:hint="eastAsia"/>
                <w:color w:val="auto"/>
                <w:sz w:val="24"/>
                <w:highlight w:val="none"/>
              </w:rPr>
              <w:t>员工</w:t>
            </w:r>
            <w:r>
              <w:rPr>
                <w:rFonts w:hint="eastAsia"/>
                <w:color w:val="auto"/>
                <w:sz w:val="24"/>
                <w:highlight w:val="none"/>
                <w:lang w:val="en-US" w:eastAsia="zh-CN"/>
              </w:rPr>
              <w:t>4</w:t>
            </w:r>
            <w:r>
              <w:rPr>
                <w:color w:val="auto"/>
                <w:sz w:val="24"/>
                <w:highlight w:val="none"/>
              </w:rPr>
              <w:t>人，均为周边村镇民工</w:t>
            </w:r>
            <w:r>
              <w:rPr>
                <w:rFonts w:hint="eastAsia"/>
                <w:color w:val="auto"/>
                <w:sz w:val="24"/>
                <w:highlight w:val="none"/>
              </w:rPr>
              <w:t>，</w:t>
            </w:r>
            <w:r>
              <w:rPr>
                <w:color w:val="auto"/>
                <w:sz w:val="24"/>
                <w:highlight w:val="none"/>
              </w:rPr>
              <w:t>职工员工垃圾</w:t>
            </w:r>
            <w:r>
              <w:rPr>
                <w:rFonts w:hint="eastAsia"/>
                <w:color w:val="auto"/>
                <w:sz w:val="24"/>
                <w:highlight w:val="none"/>
              </w:rPr>
              <w:t>产生</w:t>
            </w:r>
            <w:r>
              <w:rPr>
                <w:color w:val="auto"/>
                <w:sz w:val="24"/>
                <w:highlight w:val="none"/>
              </w:rPr>
              <w:t>系数按</w:t>
            </w:r>
            <w:r>
              <w:rPr>
                <w:rFonts w:hint="eastAsia"/>
                <w:color w:val="auto"/>
                <w:sz w:val="24"/>
                <w:highlight w:val="none"/>
              </w:rPr>
              <w:t>每人</w:t>
            </w:r>
            <w:r>
              <w:rPr>
                <w:color w:val="auto"/>
                <w:sz w:val="24"/>
                <w:highlight w:val="none"/>
              </w:rPr>
              <w:t>0.38kg/d计算，工作天数300d</w:t>
            </w:r>
            <w:r>
              <w:rPr>
                <w:rFonts w:hint="eastAsia"/>
                <w:color w:val="auto"/>
                <w:sz w:val="24"/>
                <w:highlight w:val="none"/>
              </w:rPr>
              <w:t>/a</w:t>
            </w:r>
            <w:r>
              <w:rPr>
                <w:color w:val="auto"/>
                <w:sz w:val="24"/>
                <w:highlight w:val="none"/>
              </w:rPr>
              <w:t>，则生活垃圾</w:t>
            </w:r>
            <w:r>
              <w:rPr>
                <w:rFonts w:hint="eastAsia"/>
                <w:color w:val="auto"/>
                <w:sz w:val="24"/>
                <w:highlight w:val="none"/>
              </w:rPr>
              <w:t>新增</w:t>
            </w:r>
            <w:r>
              <w:rPr>
                <w:color w:val="auto"/>
                <w:sz w:val="24"/>
                <w:highlight w:val="none"/>
              </w:rPr>
              <w:t>量为</w:t>
            </w:r>
            <w:r>
              <w:rPr>
                <w:rFonts w:hint="eastAsia"/>
                <w:color w:val="auto"/>
                <w:sz w:val="24"/>
                <w:highlight w:val="none"/>
                <w:lang w:val="en-US" w:eastAsia="zh-CN"/>
              </w:rPr>
              <w:t>0.456</w:t>
            </w:r>
            <w:r>
              <w:rPr>
                <w:color w:val="auto"/>
                <w:sz w:val="24"/>
                <w:highlight w:val="none"/>
              </w:rPr>
              <w:t>t/a</w:t>
            </w:r>
            <w:r>
              <w:rPr>
                <w:rFonts w:hint="eastAsia"/>
                <w:color w:val="auto"/>
                <w:sz w:val="24"/>
                <w:highlight w:val="none"/>
                <w:lang w:eastAsia="zh-CN"/>
              </w:rPr>
              <w:t>，</w:t>
            </w:r>
            <w:r>
              <w:rPr>
                <w:rFonts w:hint="eastAsia" w:cs="Times New Roman"/>
                <w:b w:val="0"/>
                <w:bCs w:val="0"/>
                <w:color w:val="auto"/>
                <w:kern w:val="0"/>
                <w:sz w:val="24"/>
                <w:highlight w:val="none"/>
                <w:lang w:val="en-US" w:eastAsia="zh-CN"/>
              </w:rPr>
              <w:t>故运营期全厂生活垃圾</w:t>
            </w:r>
            <w:r>
              <w:rPr>
                <w:rFonts w:hint="eastAsia"/>
                <w:color w:val="auto"/>
                <w:sz w:val="24"/>
                <w:highlight w:val="none"/>
                <w:lang w:eastAsia="zh-CN"/>
              </w:rPr>
              <w:t>合计产生量</w:t>
            </w:r>
            <w:r>
              <w:rPr>
                <w:rFonts w:hint="eastAsia"/>
                <w:color w:val="auto"/>
                <w:sz w:val="24"/>
                <w:highlight w:val="none"/>
                <w:lang w:val="en-US" w:eastAsia="zh-CN"/>
              </w:rPr>
              <w:t>1.368</w:t>
            </w:r>
            <w:r>
              <w:rPr>
                <w:rFonts w:hint="eastAsia"/>
                <w:color w:val="auto"/>
                <w:sz w:val="24"/>
                <w:highlight w:val="none"/>
                <w:lang w:eastAsia="zh-CN"/>
              </w:rPr>
              <w:t>t/a。</w:t>
            </w:r>
          </w:p>
          <w:p w14:paraId="3BC9B26F">
            <w:pPr>
              <w:adjustRightInd w:val="0"/>
              <w:snapToGrid w:val="0"/>
              <w:spacing w:line="360" w:lineRule="auto"/>
              <w:ind w:firstLine="482" w:firstLineChars="200"/>
              <w:rPr>
                <w:color w:val="auto"/>
                <w:sz w:val="24"/>
                <w:highlight w:val="none"/>
              </w:rPr>
            </w:pPr>
            <w:r>
              <w:rPr>
                <w:rFonts w:hint="eastAsia"/>
                <w:b/>
                <w:bCs/>
                <w:color w:val="auto"/>
                <w:sz w:val="24"/>
                <w:highlight w:val="none"/>
              </w:rPr>
              <w:t>治理措施：</w:t>
            </w:r>
            <w:r>
              <w:rPr>
                <w:color w:val="auto"/>
                <w:sz w:val="24"/>
                <w:highlight w:val="none"/>
              </w:rPr>
              <w:t>生活垃圾经垃圾桶集中收集后送至</w:t>
            </w:r>
            <w:r>
              <w:rPr>
                <w:rFonts w:hint="eastAsia"/>
                <w:color w:val="auto"/>
                <w:sz w:val="24"/>
                <w:highlight w:val="none"/>
              </w:rPr>
              <w:t>就近</w:t>
            </w:r>
            <w:r>
              <w:rPr>
                <w:color w:val="auto"/>
                <w:sz w:val="24"/>
                <w:highlight w:val="none"/>
              </w:rPr>
              <w:t>垃圾收集点，交由环卫部门处理。</w:t>
            </w:r>
          </w:p>
          <w:p w14:paraId="20B1E450">
            <w:pPr>
              <w:pStyle w:val="45"/>
              <w:snapToGrid w:val="0"/>
              <w:spacing w:line="360" w:lineRule="auto"/>
              <w:ind w:firstLine="480" w:firstLineChars="200"/>
              <w:rPr>
                <w:rFonts w:hint="eastAsia" w:ascii="Times New Roman" w:eastAsia="宋体" w:cs="Times New Roman"/>
                <w:color w:val="auto"/>
                <w:highlight w:val="none"/>
                <w:lang w:eastAsia="zh-CN"/>
              </w:rPr>
            </w:pPr>
            <w:r>
              <w:rPr>
                <w:rFonts w:hint="eastAsia" w:ascii="Times New Roman" w:cs="Times New Roman"/>
                <w:color w:val="auto"/>
                <w:highlight w:val="none"/>
              </w:rPr>
              <w:t>2、</w:t>
            </w:r>
            <w:r>
              <w:rPr>
                <w:rFonts w:hint="eastAsia" w:ascii="Times New Roman" w:cs="Times New Roman"/>
                <w:color w:val="auto"/>
                <w:highlight w:val="none"/>
                <w:lang w:eastAsia="zh-CN"/>
              </w:rPr>
              <w:t>收集尘</w:t>
            </w:r>
          </w:p>
          <w:p w14:paraId="02E1E7F5">
            <w:pPr>
              <w:pStyle w:val="45"/>
              <w:snapToGrid w:val="0"/>
              <w:spacing w:line="360" w:lineRule="auto"/>
              <w:ind w:firstLine="482" w:firstLineChars="200"/>
              <w:rPr>
                <w:rFonts w:hint="eastAsia" w:ascii="Times New Roman" w:eastAsia="宋体" w:cs="Times New Roman"/>
                <w:color w:val="auto"/>
                <w:kern w:val="2"/>
                <w:highlight w:val="none"/>
                <w:lang w:eastAsia="zh-CN"/>
              </w:rPr>
            </w:pPr>
            <w:r>
              <w:rPr>
                <w:rFonts w:hint="eastAsia" w:hAnsi="宋体"/>
                <w:b/>
                <w:bCs/>
                <w:color w:val="auto"/>
                <w:highlight w:val="none"/>
              </w:rPr>
              <w:t>产生情况：</w:t>
            </w:r>
            <w:r>
              <w:rPr>
                <w:rFonts w:hint="eastAsia" w:ascii="宋体" w:hAnsi="宋体" w:cs="宋体"/>
                <w:b w:val="0"/>
                <w:bCs w:val="0"/>
                <w:color w:val="auto"/>
                <w:kern w:val="0"/>
                <w:sz w:val="24"/>
                <w:highlight w:val="none"/>
                <w:lang w:eastAsia="zh-CN"/>
              </w:rPr>
              <w:t>根据前文分析，</w:t>
            </w:r>
            <w:r>
              <w:rPr>
                <w:rFonts w:hint="default" w:ascii="Times New Roman" w:hAnsi="Times New Roman" w:cs="Times New Roman"/>
                <w:b w:val="0"/>
                <w:bCs w:val="0"/>
                <w:color w:val="auto"/>
                <w:kern w:val="0"/>
                <w:sz w:val="24"/>
                <w:highlight w:val="none"/>
                <w:lang w:eastAsia="zh-CN"/>
              </w:rPr>
              <w:t>现有工程</w:t>
            </w:r>
            <w:r>
              <w:rPr>
                <w:rFonts w:hint="eastAsia" w:ascii="Times New Roman" w:hAnsi="Times New Roman" w:cs="Times New Roman"/>
                <w:b w:val="0"/>
                <w:bCs w:val="0"/>
                <w:color w:val="auto"/>
                <w:kern w:val="0"/>
                <w:sz w:val="24"/>
                <w:highlight w:val="none"/>
                <w:lang w:eastAsia="zh-CN"/>
              </w:rPr>
              <w:t>收集尘量为</w:t>
            </w:r>
            <w:r>
              <w:rPr>
                <w:rFonts w:hint="eastAsia" w:ascii="Times New Roman" w:hAnsi="Times New Roman" w:cs="Times New Roman"/>
                <w:b w:val="0"/>
                <w:bCs w:val="0"/>
                <w:color w:val="auto"/>
                <w:kern w:val="0"/>
                <w:sz w:val="24"/>
                <w:highlight w:val="none"/>
                <w:lang w:val="en-US" w:eastAsia="zh-CN"/>
              </w:rPr>
              <w:t>316</w:t>
            </w:r>
            <w:r>
              <w:rPr>
                <w:rFonts w:hint="default" w:ascii="Times New Roman" w:hAnsi="Times New Roman" w:cs="Times New Roman"/>
                <w:b w:val="0"/>
                <w:bCs w:val="0"/>
                <w:color w:val="auto"/>
                <w:kern w:val="0"/>
                <w:sz w:val="24"/>
                <w:highlight w:val="none"/>
                <w:lang w:eastAsia="zh-CN"/>
              </w:rPr>
              <w:t>t/a</w:t>
            </w:r>
            <w:r>
              <w:rPr>
                <w:rFonts w:hint="eastAsia" w:ascii="Times New Roman" w:hAnsi="Times New Roman" w:cs="Times New Roman"/>
                <w:b w:val="0"/>
                <w:bCs w:val="0"/>
                <w:color w:val="auto"/>
                <w:kern w:val="0"/>
                <w:sz w:val="24"/>
                <w:highlight w:val="none"/>
                <w:lang w:eastAsia="zh-CN"/>
              </w:rPr>
              <w:t>。</w:t>
            </w:r>
            <w:r>
              <w:rPr>
                <w:rFonts w:hint="eastAsia"/>
                <w:color w:val="auto"/>
                <w:kern w:val="0"/>
                <w:sz w:val="24"/>
                <w:highlight w:val="none"/>
                <w:lang w:eastAsia="zh-CN"/>
              </w:rPr>
              <w:t>结合第四章</w:t>
            </w:r>
            <w:r>
              <w:rPr>
                <w:color w:val="auto"/>
                <w:kern w:val="0"/>
                <w:sz w:val="24"/>
                <w:highlight w:val="none"/>
              </w:rPr>
              <w:t>废气核算</w:t>
            </w:r>
            <w:r>
              <w:rPr>
                <w:rFonts w:hint="eastAsia"/>
                <w:color w:val="auto"/>
                <w:kern w:val="0"/>
                <w:sz w:val="24"/>
                <w:highlight w:val="none"/>
                <w:lang w:eastAsia="zh-CN"/>
              </w:rPr>
              <w:t>可知</w:t>
            </w:r>
            <w:r>
              <w:rPr>
                <w:color w:val="auto"/>
                <w:kern w:val="0"/>
                <w:sz w:val="24"/>
                <w:highlight w:val="none"/>
              </w:rPr>
              <w:t>，本</w:t>
            </w:r>
            <w:r>
              <w:rPr>
                <w:rFonts w:hint="eastAsia"/>
                <w:color w:val="auto"/>
                <w:kern w:val="0"/>
                <w:sz w:val="24"/>
                <w:highlight w:val="none"/>
                <w:lang w:eastAsia="zh-CN"/>
              </w:rPr>
              <w:t>次新增工程</w:t>
            </w:r>
            <w:r>
              <w:rPr>
                <w:color w:val="auto"/>
                <w:kern w:val="0"/>
                <w:sz w:val="24"/>
                <w:highlight w:val="none"/>
              </w:rPr>
              <w:t>运营期收集尘约</w:t>
            </w:r>
            <w:r>
              <w:rPr>
                <w:rFonts w:hint="eastAsia" w:ascii="Times New Roman" w:hAnsi="Times New Roman" w:cs="Times New Roman"/>
                <w:color w:val="auto"/>
                <w:kern w:val="0"/>
                <w:sz w:val="24"/>
                <w:highlight w:val="none"/>
                <w:lang w:val="en-US" w:eastAsia="zh-CN"/>
              </w:rPr>
              <w:t>31.6</w:t>
            </w:r>
            <w:r>
              <w:rPr>
                <w:rFonts w:hint="default" w:ascii="Times New Roman" w:hAnsi="Times New Roman" w:cs="Times New Roman"/>
                <w:color w:val="auto"/>
                <w:kern w:val="0"/>
                <w:sz w:val="24"/>
                <w:highlight w:val="none"/>
              </w:rPr>
              <w:t>t/a</w:t>
            </w:r>
            <w:r>
              <w:rPr>
                <w:rFonts w:hint="eastAsia" w:ascii="Times New Roman" w:cs="Times New Roman"/>
                <w:color w:val="auto"/>
                <w:kern w:val="0"/>
                <w:sz w:val="24"/>
                <w:highlight w:val="none"/>
                <w:lang w:eastAsia="zh-CN"/>
              </w:rPr>
              <w:t>，则</w:t>
            </w:r>
            <w:r>
              <w:rPr>
                <w:rFonts w:hint="eastAsia" w:ascii="Times New Roman" w:cs="Times New Roman"/>
                <w:color w:val="auto"/>
                <w:kern w:val="0"/>
                <w:sz w:val="24"/>
                <w:highlight w:val="none"/>
                <w:lang w:val="en-US" w:eastAsia="zh-CN"/>
              </w:rPr>
              <w:t>故运营期全厂</w:t>
            </w:r>
            <w:r>
              <w:rPr>
                <w:rFonts w:hint="eastAsia" w:ascii="Times New Roman" w:cs="Times New Roman"/>
                <w:color w:val="auto"/>
                <w:kern w:val="0"/>
                <w:sz w:val="24"/>
                <w:highlight w:val="none"/>
                <w:lang w:eastAsia="zh-CN"/>
              </w:rPr>
              <w:t>合计产生量为</w:t>
            </w:r>
            <w:r>
              <w:rPr>
                <w:rFonts w:hint="eastAsia" w:ascii="Times New Roman" w:cs="Times New Roman"/>
                <w:color w:val="auto"/>
                <w:kern w:val="0"/>
                <w:sz w:val="24"/>
                <w:highlight w:val="none"/>
                <w:lang w:val="en-US" w:eastAsia="zh-CN"/>
              </w:rPr>
              <w:t>347.6</w:t>
            </w:r>
            <w:r>
              <w:rPr>
                <w:rFonts w:hint="default" w:ascii="Times New Roman" w:hAnsi="Times New Roman" w:cs="Times New Roman"/>
                <w:color w:val="auto"/>
                <w:kern w:val="0"/>
                <w:sz w:val="24"/>
                <w:highlight w:val="none"/>
              </w:rPr>
              <w:t>t/a</w:t>
            </w:r>
            <w:r>
              <w:rPr>
                <w:rFonts w:hint="eastAsia" w:ascii="Times New Roman" w:hAnsi="Times New Roman" w:cs="Times New Roman"/>
                <w:color w:val="auto"/>
                <w:kern w:val="0"/>
                <w:sz w:val="24"/>
                <w:highlight w:val="none"/>
                <w:lang w:eastAsia="zh-CN"/>
              </w:rPr>
              <w:t>。</w:t>
            </w:r>
          </w:p>
          <w:p w14:paraId="02CA0589">
            <w:pPr>
              <w:adjustRightInd w:val="0"/>
              <w:snapToGrid w:val="0"/>
              <w:spacing w:line="360" w:lineRule="auto"/>
              <w:ind w:firstLine="482" w:firstLineChars="200"/>
              <w:rPr>
                <w:rFonts w:ascii="Times New Roman" w:cs="Times New Roman"/>
                <w:color w:val="auto"/>
                <w:highlight w:val="none"/>
              </w:rPr>
            </w:pPr>
            <w:r>
              <w:rPr>
                <w:rFonts w:hint="eastAsia" w:ascii="Times New Roman" w:cs="Times New Roman"/>
                <w:b/>
                <w:bCs/>
                <w:color w:val="auto"/>
                <w:sz w:val="24"/>
                <w:szCs w:val="24"/>
                <w:highlight w:val="none"/>
              </w:rPr>
              <w:t>治理措施：</w:t>
            </w:r>
            <w:r>
              <w:rPr>
                <w:rFonts w:hint="eastAsia"/>
                <w:color w:val="auto"/>
                <w:sz w:val="24"/>
                <w:szCs w:val="24"/>
                <w:highlight w:val="none"/>
              </w:rPr>
              <w:t>统一收集后与生活垃圾一同交由环卫部门清运处置</w:t>
            </w:r>
            <w:r>
              <w:rPr>
                <w:color w:val="auto"/>
                <w:sz w:val="24"/>
                <w:szCs w:val="24"/>
                <w:highlight w:val="none"/>
              </w:rPr>
              <w:t>。</w:t>
            </w:r>
          </w:p>
          <w:p w14:paraId="04858C94">
            <w:pPr>
              <w:keepNext/>
              <w:keepLines/>
              <w:adjustRightInd w:val="0"/>
              <w:snapToGrid w:val="0"/>
              <w:spacing w:line="360" w:lineRule="auto"/>
              <w:ind w:firstLine="480" w:firstLineChars="200"/>
              <w:outlineLvl w:val="2"/>
              <w:rPr>
                <w:rFonts w:hint="eastAsia" w:eastAsia="宋体"/>
                <w:color w:val="auto"/>
                <w:sz w:val="24"/>
                <w:highlight w:val="none"/>
                <w:lang w:val="en-US" w:eastAsia="zh-CN"/>
              </w:rPr>
            </w:pPr>
            <w:r>
              <w:rPr>
                <w:rFonts w:hint="eastAsia"/>
                <w:color w:val="auto"/>
                <w:sz w:val="24"/>
                <w:highlight w:val="none"/>
                <w:lang w:val="en-US" w:eastAsia="zh-CN"/>
              </w:rPr>
              <w:t>3、餐厨废弃物和废油脂</w:t>
            </w:r>
          </w:p>
          <w:p w14:paraId="78D47CA8">
            <w:pPr>
              <w:keepNext/>
              <w:keepLines/>
              <w:adjustRightInd w:val="0"/>
              <w:snapToGrid w:val="0"/>
              <w:spacing w:line="360" w:lineRule="auto"/>
              <w:ind w:firstLine="482" w:firstLineChars="200"/>
              <w:outlineLvl w:val="2"/>
              <w:rPr>
                <w:rFonts w:hint="default" w:eastAsia="宋体"/>
                <w:color w:val="auto"/>
                <w:sz w:val="24"/>
                <w:highlight w:val="none"/>
                <w:lang w:val="en-US" w:eastAsia="zh-CN"/>
              </w:rPr>
            </w:pPr>
            <w:r>
              <w:rPr>
                <w:rFonts w:hint="eastAsia" w:ascii="宋体" w:hAnsi="宋体" w:cs="宋体"/>
                <w:b/>
                <w:bCs/>
                <w:color w:val="auto"/>
                <w:kern w:val="0"/>
                <w:sz w:val="24"/>
                <w:highlight w:val="none"/>
              </w:rPr>
              <w:t>产生情况：</w:t>
            </w:r>
            <w:r>
              <w:rPr>
                <w:rFonts w:hint="eastAsia" w:ascii="宋体" w:hAnsi="宋体" w:cs="宋体"/>
                <w:b w:val="0"/>
                <w:bCs w:val="0"/>
                <w:color w:val="auto"/>
                <w:kern w:val="0"/>
                <w:sz w:val="24"/>
                <w:highlight w:val="none"/>
                <w:lang w:eastAsia="zh-CN"/>
              </w:rPr>
              <w:t>根据前文分析，</w:t>
            </w:r>
            <w:r>
              <w:rPr>
                <w:rFonts w:hint="default" w:ascii="Times New Roman" w:hAnsi="Times New Roman" w:cs="Times New Roman"/>
                <w:b w:val="0"/>
                <w:bCs w:val="0"/>
                <w:color w:val="auto"/>
                <w:kern w:val="0"/>
                <w:sz w:val="24"/>
                <w:highlight w:val="none"/>
                <w:lang w:eastAsia="zh-CN"/>
              </w:rPr>
              <w:t>现有工程</w:t>
            </w:r>
            <w:r>
              <w:rPr>
                <w:rFonts w:hint="eastAsia" w:ascii="宋体" w:hAnsi="宋体" w:cs="宋体"/>
                <w:b w:val="0"/>
                <w:bCs w:val="0"/>
                <w:color w:val="auto"/>
                <w:kern w:val="0"/>
                <w:sz w:val="24"/>
                <w:highlight w:val="none"/>
                <w:lang w:eastAsia="zh-CN"/>
              </w:rPr>
              <w:t>餐厨废弃物产生量为</w:t>
            </w:r>
            <w:r>
              <w:rPr>
                <w:rFonts w:hint="eastAsia" w:ascii="Times New Roman" w:hAnsi="Times New Roman" w:cs="Times New Roman"/>
                <w:b w:val="0"/>
                <w:bCs w:val="0"/>
                <w:color w:val="auto"/>
                <w:kern w:val="0"/>
                <w:sz w:val="24"/>
                <w:highlight w:val="none"/>
                <w:lang w:val="en-US" w:eastAsia="zh-CN"/>
              </w:rPr>
              <w:t>1.75</w:t>
            </w:r>
            <w:r>
              <w:rPr>
                <w:rFonts w:hint="default" w:ascii="Times New Roman" w:hAnsi="Times New Roman" w:cs="Times New Roman"/>
                <w:b w:val="0"/>
                <w:bCs w:val="0"/>
                <w:color w:val="auto"/>
                <w:kern w:val="0"/>
                <w:sz w:val="24"/>
                <w:highlight w:val="none"/>
                <w:lang w:eastAsia="zh-CN"/>
              </w:rPr>
              <w:t>t/a</w:t>
            </w:r>
            <w:r>
              <w:rPr>
                <w:rFonts w:hint="eastAsia" w:ascii="Times New Roman" w:hAnsi="Times New Roman" w:cs="Times New Roman"/>
                <w:b w:val="0"/>
                <w:bCs w:val="0"/>
                <w:color w:val="auto"/>
                <w:kern w:val="0"/>
                <w:sz w:val="24"/>
                <w:highlight w:val="none"/>
                <w:lang w:eastAsia="zh-CN"/>
              </w:rPr>
              <w:t>、</w:t>
            </w:r>
            <w:r>
              <w:rPr>
                <w:rFonts w:hint="eastAsia" w:ascii="Times New Roman" w:hAnsi="Times New Roman" w:cs="Times New Roman"/>
                <w:b w:val="0"/>
                <w:bCs w:val="0"/>
                <w:color w:val="auto"/>
                <w:kern w:val="0"/>
                <w:sz w:val="24"/>
                <w:highlight w:val="none"/>
                <w:lang w:val="en-US" w:eastAsia="zh-CN"/>
              </w:rPr>
              <w:t>废油脂产生量为0.22t/a</w:t>
            </w:r>
            <w:r>
              <w:rPr>
                <w:rFonts w:hint="eastAsia" w:ascii="Times New Roman" w:hAnsi="Times New Roman" w:cs="Times New Roman"/>
                <w:b w:val="0"/>
                <w:bCs w:val="0"/>
                <w:color w:val="auto"/>
                <w:kern w:val="0"/>
                <w:sz w:val="24"/>
                <w:highlight w:val="none"/>
                <w:lang w:eastAsia="zh-CN"/>
              </w:rPr>
              <w:t>。</w:t>
            </w:r>
            <w:r>
              <w:rPr>
                <w:rFonts w:hint="eastAsia" w:ascii="宋体" w:hAnsi="宋体" w:cs="宋体"/>
                <w:b w:val="0"/>
                <w:bCs w:val="0"/>
                <w:color w:val="auto"/>
                <w:kern w:val="0"/>
                <w:sz w:val="24"/>
                <w:highlight w:val="none"/>
                <w:lang w:eastAsia="zh-CN"/>
              </w:rPr>
              <w:t>根据建设单位多年来经营经验，预计本次新增工程投运后，餐厨废弃物约增加</w:t>
            </w:r>
            <w:r>
              <w:rPr>
                <w:rFonts w:hint="default" w:ascii="Times New Roman" w:hAnsi="Times New Roman" w:eastAsia="宋体" w:cs="Times New Roman"/>
                <w:b w:val="0"/>
                <w:bCs w:val="0"/>
                <w:color w:val="auto"/>
                <w:kern w:val="0"/>
                <w:sz w:val="24"/>
                <w:highlight w:val="none"/>
                <w:lang w:val="en-US" w:eastAsia="zh-CN"/>
              </w:rPr>
              <w:t>0.8t/a、废油脂约增加0.1t/a</w:t>
            </w:r>
            <w:r>
              <w:rPr>
                <w:rFonts w:hint="eastAsia" w:ascii="Times New Roman" w:hAnsi="Times New Roman" w:eastAsia="宋体" w:cs="Times New Roman"/>
                <w:b w:val="0"/>
                <w:bCs w:val="0"/>
                <w:color w:val="auto"/>
                <w:kern w:val="0"/>
                <w:sz w:val="24"/>
                <w:highlight w:val="none"/>
                <w:lang w:val="en-US" w:eastAsia="zh-CN"/>
              </w:rPr>
              <w:t>。</w:t>
            </w:r>
            <w:r>
              <w:rPr>
                <w:rFonts w:hint="eastAsia" w:cs="Times New Roman"/>
                <w:b w:val="0"/>
                <w:bCs w:val="0"/>
                <w:color w:val="auto"/>
                <w:kern w:val="0"/>
                <w:sz w:val="24"/>
                <w:highlight w:val="none"/>
                <w:lang w:val="en-US" w:eastAsia="zh-CN"/>
              </w:rPr>
              <w:t>故运营期全厂</w:t>
            </w:r>
            <w:r>
              <w:rPr>
                <w:rFonts w:hint="eastAsia" w:ascii="宋体" w:hAnsi="宋体" w:cs="宋体"/>
                <w:b w:val="0"/>
                <w:bCs w:val="0"/>
                <w:color w:val="auto"/>
                <w:kern w:val="0"/>
                <w:sz w:val="24"/>
                <w:highlight w:val="none"/>
                <w:lang w:eastAsia="zh-CN"/>
              </w:rPr>
              <w:t>餐厨废弃物合计产生量为</w:t>
            </w:r>
            <w:r>
              <w:rPr>
                <w:rFonts w:hint="eastAsia" w:ascii="Times New Roman" w:hAnsi="Times New Roman" w:cs="Times New Roman"/>
                <w:b w:val="0"/>
                <w:bCs w:val="0"/>
                <w:color w:val="auto"/>
                <w:kern w:val="0"/>
                <w:sz w:val="24"/>
                <w:highlight w:val="none"/>
                <w:lang w:val="en-US" w:eastAsia="zh-CN"/>
              </w:rPr>
              <w:t>2.55</w:t>
            </w:r>
            <w:r>
              <w:rPr>
                <w:rFonts w:hint="default" w:ascii="Times New Roman" w:hAnsi="Times New Roman" w:cs="Times New Roman"/>
                <w:b w:val="0"/>
                <w:bCs w:val="0"/>
                <w:color w:val="auto"/>
                <w:kern w:val="0"/>
                <w:sz w:val="24"/>
                <w:highlight w:val="none"/>
                <w:lang w:eastAsia="zh-CN"/>
              </w:rPr>
              <w:t>t/a</w:t>
            </w:r>
            <w:r>
              <w:rPr>
                <w:rFonts w:hint="eastAsia" w:ascii="Times New Roman" w:hAnsi="Times New Roman" w:cs="Times New Roman"/>
                <w:b w:val="0"/>
                <w:bCs w:val="0"/>
                <w:color w:val="auto"/>
                <w:kern w:val="0"/>
                <w:sz w:val="24"/>
                <w:highlight w:val="none"/>
                <w:lang w:eastAsia="zh-CN"/>
              </w:rPr>
              <w:t>，</w:t>
            </w:r>
            <w:r>
              <w:rPr>
                <w:rFonts w:hint="eastAsia" w:ascii="Times New Roman" w:hAnsi="Times New Roman" w:cs="Times New Roman"/>
                <w:b w:val="0"/>
                <w:bCs w:val="0"/>
                <w:color w:val="auto"/>
                <w:kern w:val="0"/>
                <w:sz w:val="24"/>
                <w:highlight w:val="none"/>
                <w:lang w:val="en-US" w:eastAsia="zh-CN"/>
              </w:rPr>
              <w:t>废油脂合计产生量为0.32t/a。</w:t>
            </w:r>
          </w:p>
          <w:p w14:paraId="46C73331">
            <w:pPr>
              <w:keepNext/>
              <w:keepLines/>
              <w:adjustRightInd w:val="0"/>
              <w:snapToGrid w:val="0"/>
              <w:spacing w:line="360" w:lineRule="auto"/>
              <w:ind w:firstLine="482" w:firstLineChars="200"/>
              <w:outlineLvl w:val="2"/>
              <w:rPr>
                <w:rFonts w:hint="eastAsia" w:eastAsia="宋体"/>
                <w:color w:val="auto"/>
                <w:sz w:val="24"/>
                <w:highlight w:val="none"/>
                <w:lang w:eastAsia="zh-CN"/>
              </w:rPr>
            </w:pPr>
            <w:r>
              <w:rPr>
                <w:rFonts w:hint="eastAsia" w:ascii="宋体" w:hAnsi="宋体" w:cs="宋体"/>
                <w:b/>
                <w:bCs/>
                <w:color w:val="auto"/>
                <w:kern w:val="0"/>
                <w:sz w:val="24"/>
                <w:highlight w:val="none"/>
              </w:rPr>
              <w:t>治理措施：</w:t>
            </w:r>
            <w:r>
              <w:rPr>
                <w:rFonts w:hint="eastAsia" w:ascii="宋体" w:hAnsi="宋体" w:cs="宋体"/>
                <w:b w:val="0"/>
                <w:bCs w:val="0"/>
                <w:color w:val="auto"/>
                <w:kern w:val="0"/>
                <w:sz w:val="24"/>
                <w:highlight w:val="none"/>
              </w:rPr>
              <w:t>餐厨</w:t>
            </w:r>
            <w:r>
              <w:rPr>
                <w:rFonts w:hint="eastAsia" w:ascii="宋体" w:hAnsi="宋体" w:cs="宋体"/>
                <w:b w:val="0"/>
                <w:bCs w:val="0"/>
                <w:color w:val="auto"/>
                <w:kern w:val="0"/>
                <w:sz w:val="24"/>
                <w:highlight w:val="none"/>
                <w:lang w:eastAsia="zh-CN"/>
              </w:rPr>
              <w:t>废弃物桶装收集后，交由附近村民用于家禽养殖；</w:t>
            </w:r>
            <w:r>
              <w:rPr>
                <w:rFonts w:hint="eastAsia" w:ascii="宋体" w:hAnsi="宋体" w:cs="宋体"/>
                <w:b w:val="0"/>
                <w:bCs w:val="0"/>
                <w:color w:val="auto"/>
                <w:kern w:val="0"/>
                <w:sz w:val="24"/>
                <w:highlight w:val="none"/>
              </w:rPr>
              <w:t>废油脂收集后交由</w:t>
            </w:r>
            <w:r>
              <w:rPr>
                <w:rFonts w:hint="eastAsia" w:ascii="宋体" w:hAnsi="宋体" w:cs="宋体"/>
                <w:b w:val="0"/>
                <w:bCs w:val="0"/>
                <w:color w:val="auto"/>
                <w:kern w:val="0"/>
                <w:sz w:val="24"/>
                <w:highlight w:val="none"/>
                <w:lang w:eastAsia="zh-CN"/>
              </w:rPr>
              <w:t>具有</w:t>
            </w:r>
            <w:r>
              <w:rPr>
                <w:rFonts w:hint="eastAsia" w:ascii="宋体" w:hAnsi="宋体" w:cs="宋体"/>
                <w:b w:val="0"/>
                <w:bCs w:val="0"/>
                <w:color w:val="auto"/>
                <w:kern w:val="0"/>
                <w:sz w:val="24"/>
                <w:highlight w:val="none"/>
              </w:rPr>
              <w:t>回收资质单位处置</w:t>
            </w:r>
            <w:r>
              <w:rPr>
                <w:rFonts w:hint="eastAsia" w:ascii="宋体" w:hAnsi="宋体" w:cs="宋体"/>
                <w:b w:val="0"/>
                <w:bCs w:val="0"/>
                <w:color w:val="auto"/>
                <w:kern w:val="0"/>
                <w:sz w:val="24"/>
                <w:highlight w:val="none"/>
                <w:lang w:eastAsia="zh-CN"/>
              </w:rPr>
              <w:t>。</w:t>
            </w:r>
          </w:p>
          <w:p w14:paraId="14A19FA3">
            <w:pPr>
              <w:keepNext/>
              <w:keepLines/>
              <w:adjustRightInd w:val="0"/>
              <w:snapToGrid w:val="0"/>
              <w:spacing w:line="360" w:lineRule="auto"/>
              <w:ind w:firstLine="480" w:firstLineChars="200"/>
              <w:outlineLvl w:val="2"/>
              <w:rPr>
                <w:rFonts w:hint="eastAsia" w:eastAsia="宋体"/>
                <w:color w:val="auto"/>
                <w:sz w:val="24"/>
                <w:highlight w:val="none"/>
                <w:lang w:val="en-US" w:eastAsia="zh-CN"/>
              </w:rPr>
            </w:pPr>
            <w:r>
              <w:rPr>
                <w:rFonts w:hint="eastAsia"/>
                <w:color w:val="auto"/>
                <w:sz w:val="24"/>
                <w:highlight w:val="none"/>
                <w:lang w:val="en-US" w:eastAsia="zh-CN"/>
              </w:rPr>
              <w:t>4、废编织袋</w:t>
            </w:r>
          </w:p>
          <w:p w14:paraId="5F806287">
            <w:pPr>
              <w:keepNext/>
              <w:keepLines/>
              <w:adjustRightInd w:val="0"/>
              <w:snapToGrid w:val="0"/>
              <w:spacing w:line="360" w:lineRule="auto"/>
              <w:ind w:firstLine="482" w:firstLineChars="200"/>
              <w:outlineLvl w:val="2"/>
              <w:rPr>
                <w:rFonts w:hint="default"/>
                <w:color w:val="auto"/>
                <w:sz w:val="24"/>
                <w:highlight w:val="none"/>
                <w:lang w:val="en-US"/>
              </w:rPr>
            </w:pPr>
            <w:r>
              <w:rPr>
                <w:rFonts w:hint="eastAsia" w:ascii="宋体" w:hAnsi="宋体" w:cs="宋体"/>
                <w:b/>
                <w:bCs/>
                <w:color w:val="auto"/>
                <w:kern w:val="0"/>
                <w:sz w:val="24"/>
                <w:highlight w:val="none"/>
              </w:rPr>
              <w:t>产生情况：</w:t>
            </w:r>
            <w:r>
              <w:rPr>
                <w:rFonts w:hint="eastAsia" w:ascii="宋体" w:hAnsi="宋体" w:cs="宋体"/>
                <w:b w:val="0"/>
                <w:bCs w:val="0"/>
                <w:color w:val="auto"/>
                <w:kern w:val="0"/>
                <w:sz w:val="24"/>
                <w:highlight w:val="none"/>
                <w:lang w:eastAsia="zh-CN"/>
              </w:rPr>
              <w:t>根据前文分析，</w:t>
            </w:r>
            <w:r>
              <w:rPr>
                <w:rFonts w:hint="default" w:ascii="Times New Roman" w:hAnsi="Times New Roman" w:cs="Times New Roman"/>
                <w:b w:val="0"/>
                <w:bCs w:val="0"/>
                <w:color w:val="auto"/>
                <w:kern w:val="0"/>
                <w:sz w:val="24"/>
                <w:highlight w:val="none"/>
                <w:lang w:eastAsia="zh-CN"/>
              </w:rPr>
              <w:t>现有工程</w:t>
            </w:r>
            <w:r>
              <w:rPr>
                <w:rFonts w:hint="eastAsia" w:ascii="宋体" w:hAnsi="宋体" w:cs="宋体"/>
                <w:b w:val="0"/>
                <w:bCs w:val="0"/>
                <w:color w:val="auto"/>
                <w:kern w:val="0"/>
                <w:sz w:val="24"/>
                <w:highlight w:val="none"/>
                <w:lang w:eastAsia="zh-CN"/>
              </w:rPr>
              <w:t>废编织袋产生量为</w:t>
            </w:r>
            <w:r>
              <w:rPr>
                <w:rFonts w:hint="eastAsia" w:ascii="Times New Roman" w:hAnsi="Times New Roman" w:cs="Times New Roman"/>
                <w:b w:val="0"/>
                <w:bCs w:val="0"/>
                <w:color w:val="auto"/>
                <w:kern w:val="0"/>
                <w:sz w:val="24"/>
                <w:highlight w:val="none"/>
                <w:lang w:val="en-US" w:eastAsia="zh-CN"/>
              </w:rPr>
              <w:t>10kg</w:t>
            </w:r>
            <w:r>
              <w:rPr>
                <w:rFonts w:hint="default" w:ascii="Times New Roman" w:hAnsi="Times New Roman" w:cs="Times New Roman"/>
                <w:b w:val="0"/>
                <w:bCs w:val="0"/>
                <w:color w:val="auto"/>
                <w:kern w:val="0"/>
                <w:sz w:val="24"/>
                <w:highlight w:val="none"/>
                <w:lang w:eastAsia="zh-CN"/>
              </w:rPr>
              <w:t>/a</w:t>
            </w:r>
            <w:r>
              <w:rPr>
                <w:rFonts w:hint="eastAsia" w:ascii="Times New Roman" w:hAnsi="Times New Roman"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eastAsia="zh-CN"/>
              </w:rPr>
              <w:t>根据建设单位多年来经营经验以及本次工程生产规模，预计新增废编织袋约</w:t>
            </w:r>
            <w:r>
              <w:rPr>
                <w:rFonts w:hint="default" w:ascii="Times New Roman" w:hAnsi="Times New Roman" w:eastAsia="宋体" w:cs="Times New Roman"/>
                <w:b w:val="0"/>
                <w:bCs w:val="0"/>
                <w:color w:val="auto"/>
                <w:kern w:val="0"/>
                <w:sz w:val="24"/>
                <w:highlight w:val="none"/>
                <w:lang w:val="en-US" w:eastAsia="zh-CN"/>
              </w:rPr>
              <w:t>15kg/a。</w:t>
            </w:r>
            <w:r>
              <w:rPr>
                <w:rFonts w:hint="eastAsia" w:cs="Times New Roman"/>
                <w:b w:val="0"/>
                <w:bCs w:val="0"/>
                <w:color w:val="auto"/>
                <w:kern w:val="0"/>
                <w:sz w:val="24"/>
                <w:highlight w:val="none"/>
                <w:lang w:val="en-US" w:eastAsia="zh-CN"/>
              </w:rPr>
              <w:t>故运营期全厂</w:t>
            </w:r>
            <w:r>
              <w:rPr>
                <w:rFonts w:hint="eastAsia"/>
                <w:color w:val="auto"/>
                <w:sz w:val="24"/>
                <w:highlight w:val="none"/>
                <w:lang w:val="en-US" w:eastAsia="zh-CN"/>
              </w:rPr>
              <w:t>废编织袋</w:t>
            </w:r>
            <w:r>
              <w:rPr>
                <w:rFonts w:hint="eastAsia" w:ascii="宋体" w:hAnsi="宋体" w:cs="宋体"/>
                <w:b w:val="0"/>
                <w:bCs w:val="0"/>
                <w:color w:val="auto"/>
                <w:kern w:val="0"/>
                <w:sz w:val="24"/>
                <w:highlight w:val="none"/>
                <w:lang w:eastAsia="zh-CN"/>
              </w:rPr>
              <w:t>产生量合计为</w:t>
            </w:r>
            <w:r>
              <w:rPr>
                <w:rFonts w:hint="eastAsia" w:ascii="Times New Roman" w:hAnsi="Times New Roman" w:cs="Times New Roman"/>
                <w:b w:val="0"/>
                <w:bCs w:val="0"/>
                <w:color w:val="auto"/>
                <w:kern w:val="0"/>
                <w:sz w:val="24"/>
                <w:highlight w:val="none"/>
                <w:lang w:val="en-US" w:eastAsia="zh-CN"/>
              </w:rPr>
              <w:t>25kg</w:t>
            </w:r>
            <w:r>
              <w:rPr>
                <w:rFonts w:hint="default" w:ascii="Times New Roman" w:hAnsi="Times New Roman" w:cs="Times New Roman"/>
                <w:b w:val="0"/>
                <w:bCs w:val="0"/>
                <w:color w:val="auto"/>
                <w:kern w:val="0"/>
                <w:sz w:val="24"/>
                <w:highlight w:val="none"/>
                <w:lang w:eastAsia="zh-CN"/>
              </w:rPr>
              <w:t>/a</w:t>
            </w:r>
            <w:r>
              <w:rPr>
                <w:rFonts w:hint="eastAsia" w:cs="Times New Roman"/>
                <w:b w:val="0"/>
                <w:bCs w:val="0"/>
                <w:color w:val="auto"/>
                <w:kern w:val="0"/>
                <w:sz w:val="24"/>
                <w:highlight w:val="none"/>
                <w:lang w:eastAsia="zh-CN"/>
              </w:rPr>
              <w:t>。</w:t>
            </w:r>
          </w:p>
          <w:p w14:paraId="2549D3DD">
            <w:pPr>
              <w:keepNext/>
              <w:keepLines/>
              <w:adjustRightInd w:val="0"/>
              <w:snapToGrid w:val="0"/>
              <w:spacing w:line="360" w:lineRule="auto"/>
              <w:ind w:firstLine="482" w:firstLineChars="200"/>
              <w:outlineLvl w:val="2"/>
              <w:rPr>
                <w:rFonts w:hint="eastAsia"/>
                <w:color w:val="auto"/>
                <w:sz w:val="24"/>
                <w:highlight w:val="none"/>
              </w:rPr>
            </w:pPr>
            <w:r>
              <w:rPr>
                <w:rFonts w:hint="eastAsia" w:ascii="宋体" w:hAnsi="宋体" w:cs="宋体"/>
                <w:b/>
                <w:bCs/>
                <w:color w:val="auto"/>
                <w:kern w:val="0"/>
                <w:sz w:val="24"/>
                <w:highlight w:val="none"/>
              </w:rPr>
              <w:t>治理措施：</w:t>
            </w:r>
            <w:r>
              <w:rPr>
                <w:rFonts w:hint="eastAsia" w:ascii="宋体" w:hAnsi="宋体" w:cs="宋体"/>
                <w:b w:val="0"/>
                <w:bCs w:val="0"/>
                <w:color w:val="auto"/>
                <w:kern w:val="0"/>
                <w:sz w:val="24"/>
                <w:highlight w:val="none"/>
                <w:lang w:eastAsia="zh-CN"/>
              </w:rPr>
              <w:t>废编织袋统一收集后交由当地废品回收站处置。</w:t>
            </w:r>
          </w:p>
          <w:p w14:paraId="2A5C825E">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3、危险废物</w:t>
            </w:r>
          </w:p>
          <w:p w14:paraId="45572150">
            <w:pPr>
              <w:widowControl/>
              <w:spacing w:line="360" w:lineRule="auto"/>
              <w:ind w:firstLine="482" w:firstLineChars="200"/>
              <w:rPr>
                <w:rFonts w:hint="default" w:ascii="Times New Roman" w:hAnsi="Times New Roman" w:cs="Times New Roman"/>
                <w:color w:val="auto"/>
                <w:highlight w:val="none"/>
              </w:rPr>
            </w:pPr>
            <w:r>
              <w:rPr>
                <w:rFonts w:hint="eastAsia" w:ascii="宋体" w:hAnsi="宋体" w:cs="宋体"/>
                <w:b/>
                <w:bCs/>
                <w:color w:val="auto"/>
                <w:kern w:val="0"/>
                <w:sz w:val="24"/>
                <w:highlight w:val="none"/>
              </w:rPr>
              <w:t>产生情况：</w:t>
            </w:r>
            <w:r>
              <w:rPr>
                <w:rFonts w:hint="eastAsia" w:ascii="宋体" w:hAnsi="宋体" w:cs="宋体"/>
                <w:color w:val="auto"/>
                <w:kern w:val="0"/>
                <w:sz w:val="24"/>
                <w:highlight w:val="none"/>
              </w:rPr>
              <w:t>项目使用的加工或运输设备，在检修过程会产生废润滑油、废油桶、含油手套及棉纱。由于本项目现场维修仅进行设备检修和保养，不在厂区对设备进行大修，因此维修危废产生量比较少</w:t>
            </w:r>
            <w:r>
              <w:rPr>
                <w:rFonts w:hint="eastAsia" w:ascii="宋体" w:hAnsi="宋体" w:cs="宋体"/>
                <w:color w:val="auto"/>
                <w:kern w:val="0"/>
                <w:sz w:val="24"/>
                <w:highlight w:val="none"/>
                <w:lang w:eastAsia="zh-CN"/>
              </w:rPr>
              <w:t>。</w:t>
            </w:r>
            <w:r>
              <w:rPr>
                <w:rFonts w:hint="eastAsia" w:ascii="宋体" w:hAnsi="宋体" w:cs="宋体"/>
                <w:b w:val="0"/>
                <w:bCs w:val="0"/>
                <w:color w:val="auto"/>
                <w:kern w:val="0"/>
                <w:sz w:val="24"/>
                <w:highlight w:val="none"/>
                <w:lang w:eastAsia="zh-CN"/>
              </w:rPr>
              <w:t>根据前文分析，现有工程</w:t>
            </w:r>
            <w:r>
              <w:rPr>
                <w:rFonts w:hint="eastAsia" w:ascii="宋体" w:hAnsi="宋体" w:cs="宋体"/>
                <w:color w:val="auto"/>
                <w:kern w:val="0"/>
                <w:sz w:val="24"/>
                <w:highlight w:val="none"/>
              </w:rPr>
              <w:t>废润滑油量约</w:t>
            </w:r>
            <w:r>
              <w:rPr>
                <w:color w:val="auto"/>
                <w:kern w:val="0"/>
                <w:sz w:val="24"/>
                <w:highlight w:val="none"/>
              </w:rPr>
              <w:t>0.</w:t>
            </w:r>
            <w:r>
              <w:rPr>
                <w:rFonts w:hint="eastAsia"/>
                <w:color w:val="auto"/>
                <w:kern w:val="0"/>
                <w:sz w:val="24"/>
                <w:highlight w:val="none"/>
              </w:rPr>
              <w:t>02</w:t>
            </w:r>
            <w:r>
              <w:rPr>
                <w:color w:val="auto"/>
                <w:kern w:val="0"/>
                <w:sz w:val="24"/>
                <w:highlight w:val="none"/>
              </w:rPr>
              <w:t>t/a</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含油手套及棉纱量约</w:t>
            </w:r>
            <w:r>
              <w:rPr>
                <w:color w:val="auto"/>
                <w:kern w:val="0"/>
                <w:sz w:val="24"/>
                <w:highlight w:val="none"/>
              </w:rPr>
              <w:t>0.0</w:t>
            </w:r>
            <w:r>
              <w:rPr>
                <w:rFonts w:hint="eastAsia"/>
                <w:color w:val="auto"/>
                <w:kern w:val="0"/>
                <w:sz w:val="24"/>
                <w:highlight w:val="none"/>
              </w:rPr>
              <w:t>1</w:t>
            </w:r>
            <w:r>
              <w:rPr>
                <w:color w:val="auto"/>
                <w:kern w:val="0"/>
                <w:sz w:val="24"/>
                <w:highlight w:val="none"/>
              </w:rPr>
              <w:t>t/a</w:t>
            </w:r>
            <w:r>
              <w:rPr>
                <w:rFonts w:hint="eastAsia"/>
                <w:color w:val="auto"/>
                <w:kern w:val="0"/>
                <w:sz w:val="24"/>
                <w:highlight w:val="none"/>
                <w:lang w:eastAsia="zh-CN"/>
              </w:rPr>
              <w:t>、</w:t>
            </w:r>
            <w:r>
              <w:rPr>
                <w:color w:val="auto"/>
                <w:sz w:val="24"/>
                <w:highlight w:val="none"/>
              </w:rPr>
              <w:t>废油桶产生量约为</w:t>
            </w:r>
            <w:r>
              <w:rPr>
                <w:rFonts w:hint="eastAsia"/>
                <w:color w:val="auto"/>
                <w:sz w:val="24"/>
                <w:highlight w:val="none"/>
              </w:rPr>
              <w:t>0.0</w:t>
            </w:r>
            <w:r>
              <w:rPr>
                <w:rFonts w:hint="eastAsia"/>
                <w:color w:val="auto"/>
                <w:sz w:val="24"/>
                <w:highlight w:val="none"/>
                <w:lang w:val="en-US" w:eastAsia="zh-CN"/>
              </w:rPr>
              <w:t>1</w:t>
            </w:r>
            <w:r>
              <w:rPr>
                <w:rFonts w:hint="eastAsia"/>
                <w:color w:val="auto"/>
                <w:sz w:val="24"/>
                <w:highlight w:val="none"/>
              </w:rPr>
              <w:t>t</w:t>
            </w:r>
            <w:r>
              <w:rPr>
                <w:color w:val="auto"/>
                <w:sz w:val="24"/>
                <w:highlight w:val="none"/>
              </w:rPr>
              <w:t>/a</w:t>
            </w:r>
            <w:r>
              <w:rPr>
                <w:rFonts w:hint="eastAsia"/>
                <w:color w:val="auto"/>
                <w:sz w:val="24"/>
                <w:highlight w:val="none"/>
              </w:rPr>
              <w:t>（按润滑油使用量及油桶净重综合计算得出）</w:t>
            </w:r>
            <w:r>
              <w:rPr>
                <w:rFonts w:hint="eastAsia"/>
                <w:color w:val="auto"/>
                <w:sz w:val="24"/>
                <w:highlight w:val="none"/>
                <w:lang w:eastAsia="zh-CN"/>
              </w:rPr>
              <w:t>。</w:t>
            </w:r>
            <w:r>
              <w:rPr>
                <w:rFonts w:hint="eastAsia" w:ascii="宋体" w:hAnsi="宋体" w:cs="宋体"/>
                <w:color w:val="auto"/>
                <w:kern w:val="0"/>
                <w:sz w:val="24"/>
                <w:highlight w:val="none"/>
                <w:lang w:eastAsia="zh-CN"/>
              </w:rPr>
              <w:t>预计新增工程投入运营后，</w:t>
            </w:r>
            <w:r>
              <w:rPr>
                <w:rFonts w:hint="eastAsia" w:ascii="宋体" w:hAnsi="宋体" w:cs="宋体"/>
                <w:color w:val="auto"/>
                <w:kern w:val="0"/>
                <w:sz w:val="24"/>
                <w:highlight w:val="none"/>
              </w:rPr>
              <w:t>废润滑油量</w:t>
            </w:r>
            <w:r>
              <w:rPr>
                <w:rFonts w:hint="eastAsia" w:ascii="宋体" w:hAnsi="宋体" w:cs="宋体"/>
                <w:color w:val="auto"/>
                <w:kern w:val="0"/>
                <w:sz w:val="24"/>
                <w:highlight w:val="none"/>
                <w:lang w:eastAsia="zh-CN"/>
              </w:rPr>
              <w:t>增加</w:t>
            </w:r>
            <w:r>
              <w:rPr>
                <w:rFonts w:hint="eastAsia" w:ascii="宋体" w:hAnsi="宋体" w:cs="宋体"/>
                <w:color w:val="auto"/>
                <w:kern w:val="0"/>
                <w:sz w:val="24"/>
                <w:highlight w:val="none"/>
              </w:rPr>
              <w:t>约</w:t>
            </w:r>
            <w:r>
              <w:rPr>
                <w:color w:val="auto"/>
                <w:kern w:val="0"/>
                <w:sz w:val="24"/>
                <w:highlight w:val="none"/>
              </w:rPr>
              <w:t>0.</w:t>
            </w:r>
            <w:r>
              <w:rPr>
                <w:rFonts w:hint="eastAsia"/>
                <w:color w:val="auto"/>
                <w:kern w:val="0"/>
                <w:sz w:val="24"/>
                <w:highlight w:val="none"/>
              </w:rPr>
              <w:t>02</w:t>
            </w:r>
            <w:r>
              <w:rPr>
                <w:color w:val="auto"/>
                <w:kern w:val="0"/>
                <w:sz w:val="24"/>
                <w:highlight w:val="none"/>
              </w:rPr>
              <w:t>t/a</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含油手套及棉纱量</w:t>
            </w:r>
            <w:r>
              <w:rPr>
                <w:rFonts w:hint="eastAsia" w:ascii="宋体" w:hAnsi="宋体" w:cs="宋体"/>
                <w:color w:val="auto"/>
                <w:kern w:val="0"/>
                <w:sz w:val="24"/>
                <w:highlight w:val="none"/>
                <w:lang w:eastAsia="zh-CN"/>
              </w:rPr>
              <w:t>增加</w:t>
            </w:r>
            <w:r>
              <w:rPr>
                <w:rFonts w:hint="eastAsia" w:ascii="宋体" w:hAnsi="宋体" w:cs="宋体"/>
                <w:color w:val="auto"/>
                <w:kern w:val="0"/>
                <w:sz w:val="24"/>
                <w:highlight w:val="none"/>
              </w:rPr>
              <w:t>约</w:t>
            </w:r>
            <w:r>
              <w:rPr>
                <w:color w:val="auto"/>
                <w:kern w:val="0"/>
                <w:sz w:val="24"/>
                <w:highlight w:val="none"/>
              </w:rPr>
              <w:t>0.0</w:t>
            </w:r>
            <w:r>
              <w:rPr>
                <w:rFonts w:hint="eastAsia"/>
                <w:color w:val="auto"/>
                <w:kern w:val="0"/>
                <w:sz w:val="24"/>
                <w:highlight w:val="none"/>
              </w:rPr>
              <w:t>1</w:t>
            </w:r>
            <w:r>
              <w:rPr>
                <w:color w:val="auto"/>
                <w:kern w:val="0"/>
                <w:sz w:val="24"/>
                <w:highlight w:val="none"/>
              </w:rPr>
              <w:t>t/a</w:t>
            </w:r>
            <w:r>
              <w:rPr>
                <w:rFonts w:hint="eastAsia"/>
                <w:color w:val="auto"/>
                <w:kern w:val="0"/>
                <w:sz w:val="24"/>
                <w:highlight w:val="none"/>
                <w:lang w:eastAsia="zh-CN"/>
              </w:rPr>
              <w:t>、</w:t>
            </w:r>
            <w:r>
              <w:rPr>
                <w:color w:val="auto"/>
                <w:sz w:val="24"/>
                <w:highlight w:val="none"/>
              </w:rPr>
              <w:t>废油桶产生量</w:t>
            </w:r>
            <w:r>
              <w:rPr>
                <w:rFonts w:hint="eastAsia"/>
                <w:color w:val="auto"/>
                <w:sz w:val="24"/>
                <w:highlight w:val="none"/>
                <w:lang w:eastAsia="zh-CN"/>
              </w:rPr>
              <w:t>增加</w:t>
            </w:r>
            <w:r>
              <w:rPr>
                <w:color w:val="auto"/>
                <w:sz w:val="24"/>
                <w:highlight w:val="none"/>
              </w:rPr>
              <w:t>约为</w:t>
            </w:r>
            <w:r>
              <w:rPr>
                <w:rFonts w:hint="eastAsia"/>
                <w:color w:val="auto"/>
                <w:sz w:val="24"/>
                <w:highlight w:val="none"/>
              </w:rPr>
              <w:t>0.0</w:t>
            </w:r>
            <w:r>
              <w:rPr>
                <w:rFonts w:hint="eastAsia"/>
                <w:color w:val="auto"/>
                <w:sz w:val="24"/>
                <w:highlight w:val="none"/>
                <w:lang w:val="en-US" w:eastAsia="zh-CN"/>
              </w:rPr>
              <w:t>2</w:t>
            </w:r>
            <w:r>
              <w:rPr>
                <w:rFonts w:hint="eastAsia"/>
                <w:color w:val="auto"/>
                <w:sz w:val="24"/>
                <w:highlight w:val="none"/>
              </w:rPr>
              <w:t>t</w:t>
            </w:r>
            <w:r>
              <w:rPr>
                <w:color w:val="auto"/>
                <w:sz w:val="24"/>
                <w:highlight w:val="none"/>
              </w:rPr>
              <w:t>/a</w:t>
            </w:r>
            <w:r>
              <w:rPr>
                <w:rFonts w:hint="eastAsia"/>
                <w:color w:val="auto"/>
                <w:sz w:val="24"/>
                <w:highlight w:val="none"/>
              </w:rPr>
              <w:t>（按润滑油使用量及油桶净重综合计算得出）</w:t>
            </w:r>
            <w:r>
              <w:rPr>
                <w:rFonts w:hint="eastAsia" w:ascii="宋体" w:hAnsi="宋体" w:cs="宋体"/>
                <w:color w:val="auto"/>
                <w:kern w:val="0"/>
                <w:sz w:val="24"/>
                <w:highlight w:val="none"/>
              </w:rPr>
              <w:t>。</w:t>
            </w:r>
            <w:r>
              <w:rPr>
                <w:rFonts w:hint="default" w:ascii="Times New Roman" w:hAnsi="Times New Roman" w:cs="Times New Roman"/>
                <w:b w:val="0"/>
                <w:bCs w:val="0"/>
                <w:color w:val="auto"/>
                <w:kern w:val="0"/>
                <w:sz w:val="24"/>
                <w:highlight w:val="none"/>
                <w:lang w:val="en-US" w:eastAsia="zh-CN"/>
              </w:rPr>
              <w:t>故运营期全厂废润滑油量增加约0.0</w:t>
            </w:r>
            <w:r>
              <w:rPr>
                <w:rFonts w:hint="eastAsia" w:ascii="Times New Roman" w:hAnsi="Times New Roman" w:cs="Times New Roman"/>
                <w:b w:val="0"/>
                <w:bCs w:val="0"/>
                <w:color w:val="auto"/>
                <w:kern w:val="0"/>
                <w:sz w:val="24"/>
                <w:highlight w:val="none"/>
                <w:lang w:val="en-US" w:eastAsia="zh-CN"/>
              </w:rPr>
              <w:t>4</w:t>
            </w:r>
            <w:r>
              <w:rPr>
                <w:rFonts w:hint="default" w:ascii="Times New Roman" w:hAnsi="Times New Roman" w:cs="Times New Roman"/>
                <w:b w:val="0"/>
                <w:bCs w:val="0"/>
                <w:color w:val="auto"/>
                <w:kern w:val="0"/>
                <w:sz w:val="24"/>
                <w:highlight w:val="none"/>
                <w:lang w:val="en-US" w:eastAsia="zh-CN"/>
              </w:rPr>
              <w:t>t/a、含油手套及棉纱量增加约0.0</w:t>
            </w:r>
            <w:r>
              <w:rPr>
                <w:rFonts w:hint="eastAsia" w:ascii="Times New Roman" w:hAnsi="Times New Roman" w:cs="Times New Roman"/>
                <w:b w:val="0"/>
                <w:bCs w:val="0"/>
                <w:color w:val="auto"/>
                <w:kern w:val="0"/>
                <w:sz w:val="24"/>
                <w:highlight w:val="none"/>
                <w:lang w:val="en-US" w:eastAsia="zh-CN"/>
              </w:rPr>
              <w:t>2</w:t>
            </w:r>
            <w:r>
              <w:rPr>
                <w:rFonts w:hint="default" w:ascii="Times New Roman" w:hAnsi="Times New Roman" w:cs="Times New Roman"/>
                <w:b w:val="0"/>
                <w:bCs w:val="0"/>
                <w:color w:val="auto"/>
                <w:kern w:val="0"/>
                <w:sz w:val="24"/>
                <w:highlight w:val="none"/>
                <w:lang w:val="en-US" w:eastAsia="zh-CN"/>
              </w:rPr>
              <w:t>t/a、废油桶产生量增加约为0.0</w:t>
            </w:r>
            <w:r>
              <w:rPr>
                <w:rFonts w:hint="eastAsia" w:ascii="Times New Roman" w:hAnsi="Times New Roman" w:cs="Times New Roman"/>
                <w:b w:val="0"/>
                <w:bCs w:val="0"/>
                <w:color w:val="auto"/>
                <w:kern w:val="0"/>
                <w:sz w:val="24"/>
                <w:highlight w:val="none"/>
                <w:lang w:val="en-US" w:eastAsia="zh-CN"/>
              </w:rPr>
              <w:t>3</w:t>
            </w:r>
            <w:r>
              <w:rPr>
                <w:rFonts w:hint="default" w:ascii="Times New Roman" w:hAnsi="Times New Roman" w:cs="Times New Roman"/>
                <w:b w:val="0"/>
                <w:bCs w:val="0"/>
                <w:color w:val="auto"/>
                <w:kern w:val="0"/>
                <w:sz w:val="24"/>
                <w:highlight w:val="none"/>
                <w:lang w:val="en-US" w:eastAsia="zh-CN"/>
              </w:rPr>
              <w:t>t/a（按润滑油使用量及油桶净重综合计算得出）</w:t>
            </w:r>
          </w:p>
          <w:p w14:paraId="00C53DCE">
            <w:pPr>
              <w:autoSpaceDE w:val="0"/>
              <w:autoSpaceDN w:val="0"/>
              <w:adjustRightInd w:val="0"/>
              <w:snapToGrid w:val="0"/>
              <w:spacing w:line="360" w:lineRule="auto"/>
              <w:ind w:firstLine="482" w:firstLineChars="200"/>
              <w:rPr>
                <w:rFonts w:ascii="Times New Roman" w:cs="Times New Roman"/>
                <w:color w:val="auto"/>
                <w:highlight w:val="none"/>
              </w:rPr>
            </w:pPr>
            <w:r>
              <w:rPr>
                <w:rFonts w:hint="eastAsia" w:ascii="宋体" w:hAnsi="宋体" w:cs="宋体"/>
                <w:b/>
                <w:bCs/>
                <w:color w:val="auto"/>
                <w:kern w:val="0"/>
                <w:sz w:val="24"/>
                <w:highlight w:val="none"/>
              </w:rPr>
              <w:t>治理措施：</w:t>
            </w:r>
            <w:r>
              <w:rPr>
                <w:color w:val="auto"/>
                <w:sz w:val="24"/>
                <w:highlight w:val="none"/>
              </w:rPr>
              <w:t>根据《国家危险废物名录》</w:t>
            </w:r>
            <w:r>
              <w:rPr>
                <w:rFonts w:hint="eastAsia"/>
                <w:color w:val="auto"/>
                <w:sz w:val="24"/>
                <w:highlight w:val="none"/>
              </w:rPr>
              <w:t>（202</w:t>
            </w:r>
            <w:r>
              <w:rPr>
                <w:rFonts w:hint="eastAsia"/>
                <w:color w:val="auto"/>
                <w:sz w:val="24"/>
                <w:highlight w:val="none"/>
                <w:lang w:val="en-US" w:eastAsia="zh-CN"/>
              </w:rPr>
              <w:t>5</w:t>
            </w:r>
            <w:r>
              <w:rPr>
                <w:rFonts w:hint="eastAsia"/>
                <w:color w:val="auto"/>
                <w:sz w:val="24"/>
                <w:highlight w:val="none"/>
              </w:rPr>
              <w:t>年版）</w:t>
            </w:r>
            <w:r>
              <w:rPr>
                <w:color w:val="auto"/>
                <w:sz w:val="24"/>
                <w:highlight w:val="none"/>
              </w:rPr>
              <w:t>可知，废</w:t>
            </w:r>
            <w:r>
              <w:rPr>
                <w:rFonts w:hint="eastAsia"/>
                <w:color w:val="auto"/>
                <w:sz w:val="24"/>
                <w:highlight w:val="none"/>
              </w:rPr>
              <w:t>润滑</w:t>
            </w:r>
            <w:r>
              <w:rPr>
                <w:color w:val="auto"/>
                <w:sz w:val="24"/>
                <w:highlight w:val="none"/>
              </w:rPr>
              <w:t>油</w:t>
            </w:r>
            <w:r>
              <w:rPr>
                <w:rFonts w:hint="eastAsia"/>
                <w:color w:val="auto"/>
                <w:sz w:val="24"/>
                <w:highlight w:val="none"/>
              </w:rPr>
              <w:t>、</w:t>
            </w:r>
            <w:r>
              <w:rPr>
                <w:color w:val="auto"/>
                <w:sz w:val="24"/>
                <w:highlight w:val="none"/>
              </w:rPr>
              <w:t>含油手套</w:t>
            </w:r>
            <w:r>
              <w:rPr>
                <w:rFonts w:hint="eastAsia"/>
                <w:color w:val="auto"/>
                <w:sz w:val="24"/>
                <w:highlight w:val="none"/>
              </w:rPr>
              <w:t>及</w:t>
            </w:r>
            <w:r>
              <w:rPr>
                <w:color w:val="auto"/>
                <w:sz w:val="24"/>
                <w:highlight w:val="none"/>
              </w:rPr>
              <w:t>棉纱</w:t>
            </w:r>
            <w:r>
              <w:rPr>
                <w:rFonts w:hint="eastAsia"/>
                <w:color w:val="auto"/>
                <w:sz w:val="24"/>
                <w:highlight w:val="none"/>
              </w:rPr>
              <w:t>、</w:t>
            </w:r>
            <w:r>
              <w:rPr>
                <w:color w:val="auto"/>
                <w:sz w:val="24"/>
                <w:highlight w:val="none"/>
              </w:rPr>
              <w:t>废油桶</w:t>
            </w:r>
            <w:r>
              <w:rPr>
                <w:rFonts w:hint="eastAsia"/>
                <w:color w:val="auto"/>
                <w:sz w:val="24"/>
                <w:highlight w:val="none"/>
                <w:lang w:eastAsia="zh-CN"/>
              </w:rPr>
              <w:t>均</w:t>
            </w:r>
            <w:r>
              <w:rPr>
                <w:color w:val="auto"/>
                <w:sz w:val="24"/>
                <w:highlight w:val="none"/>
              </w:rPr>
              <w:t>属于危险废物，</w:t>
            </w:r>
            <w:r>
              <w:rPr>
                <w:rFonts w:hint="eastAsia"/>
                <w:color w:val="auto"/>
                <w:sz w:val="24"/>
                <w:highlight w:val="none"/>
              </w:rPr>
              <w:t>环评建议建设单位对上述危废</w:t>
            </w:r>
            <w:r>
              <w:rPr>
                <w:rFonts w:hint="eastAsia" w:ascii="宋体" w:hAnsi="宋体" w:cs="宋体"/>
                <w:color w:val="auto"/>
                <w:kern w:val="0"/>
                <w:sz w:val="24"/>
                <w:highlight w:val="none"/>
              </w:rPr>
              <w:t>分类别进行收集，并临时储存于现有危废暂存间内（占地面积约</w:t>
            </w:r>
            <w:r>
              <w:rPr>
                <w:rFonts w:hint="eastAsia"/>
                <w:color w:val="auto"/>
                <w:sz w:val="24"/>
                <w:highlight w:val="none"/>
              </w:rPr>
              <w:t>5.0</w:t>
            </w:r>
            <w:r>
              <w:rPr>
                <w:color w:val="auto"/>
                <w:kern w:val="0"/>
                <w:sz w:val="24"/>
                <w:highlight w:val="none"/>
              </w:rPr>
              <w:t>m</w:t>
            </w:r>
            <w:r>
              <w:rPr>
                <w:color w:val="auto"/>
                <w:kern w:val="0"/>
                <w:sz w:val="24"/>
                <w:highlight w:val="none"/>
                <w:vertAlign w:val="superscript"/>
              </w:rPr>
              <w:t>2</w:t>
            </w:r>
            <w:r>
              <w:rPr>
                <w:rFonts w:hint="eastAsia" w:ascii="宋体" w:hAnsi="宋体" w:cs="宋体"/>
                <w:color w:val="auto"/>
                <w:kern w:val="0"/>
                <w:sz w:val="24"/>
                <w:highlight w:val="none"/>
              </w:rPr>
              <w:t>），定期交由</w:t>
            </w:r>
            <w:r>
              <w:rPr>
                <w:rFonts w:hint="eastAsia" w:ascii="宋体" w:hAnsi="宋体" w:cs="宋体"/>
                <w:color w:val="auto"/>
                <w:kern w:val="0"/>
                <w:sz w:val="24"/>
                <w:highlight w:val="none"/>
                <w:lang w:eastAsia="zh-CN"/>
              </w:rPr>
              <w:t>有资质单位</w:t>
            </w:r>
            <w:r>
              <w:rPr>
                <w:rFonts w:hint="eastAsia" w:ascii="宋体" w:hAnsi="宋体" w:cs="宋体"/>
                <w:color w:val="auto"/>
                <w:kern w:val="0"/>
                <w:sz w:val="24"/>
                <w:highlight w:val="none"/>
              </w:rPr>
              <w:t>处置。</w:t>
            </w:r>
            <w:r>
              <w:rPr>
                <w:rFonts w:ascii="Times New Roman" w:cs="Times New Roman"/>
                <w:color w:val="auto"/>
                <w:sz w:val="24"/>
                <w:szCs w:val="24"/>
                <w:highlight w:val="none"/>
              </w:rPr>
              <w:t>由于本次新增危废量较小，</w:t>
            </w:r>
            <w:r>
              <w:rPr>
                <w:rFonts w:hint="eastAsia" w:ascii="Times New Roman" w:cs="Times New Roman"/>
                <w:color w:val="auto"/>
                <w:sz w:val="24"/>
                <w:szCs w:val="24"/>
                <w:highlight w:val="none"/>
                <w:lang w:eastAsia="zh-CN"/>
              </w:rPr>
              <w:t>且现有</w:t>
            </w:r>
            <w:r>
              <w:rPr>
                <w:rFonts w:hint="default" w:ascii="Times New Roman" w:hAnsi="Times New Roman" w:cs="Times New Roman"/>
                <w:b w:val="0"/>
                <w:bCs w:val="0"/>
                <w:color w:val="auto"/>
                <w:kern w:val="0"/>
                <w:sz w:val="24"/>
                <w:szCs w:val="24"/>
                <w:highlight w:val="none"/>
                <w:lang w:val="en-US" w:eastAsia="zh-CN"/>
              </w:rPr>
              <w:t>危废暂存间</w:t>
            </w:r>
            <w:r>
              <w:rPr>
                <w:rFonts w:hint="eastAsia" w:ascii="Times New Roman" w:cs="Times New Roman"/>
                <w:b w:val="0"/>
                <w:bCs w:val="0"/>
                <w:color w:val="auto"/>
                <w:kern w:val="0"/>
                <w:sz w:val="24"/>
                <w:szCs w:val="24"/>
                <w:highlight w:val="none"/>
                <w:lang w:val="en-US" w:eastAsia="zh-CN"/>
              </w:rPr>
              <w:t>还有剩余</w:t>
            </w:r>
            <w:r>
              <w:rPr>
                <w:rFonts w:hint="default" w:ascii="Times New Roman" w:hAnsi="Times New Roman" w:cs="Times New Roman"/>
                <w:b w:val="0"/>
                <w:bCs w:val="0"/>
                <w:color w:val="auto"/>
                <w:kern w:val="0"/>
                <w:sz w:val="24"/>
                <w:szCs w:val="24"/>
                <w:highlight w:val="none"/>
                <w:lang w:val="en-US" w:eastAsia="zh-CN"/>
              </w:rPr>
              <w:t>空间</w:t>
            </w:r>
            <w:r>
              <w:rPr>
                <w:rFonts w:hint="eastAsia" w:ascii="Times New Roman" w:hAnsi="Times New Roman" w:cs="Times New Roman"/>
                <w:b w:val="0"/>
                <w:bCs w:val="0"/>
                <w:color w:val="auto"/>
                <w:kern w:val="0"/>
                <w:sz w:val="24"/>
                <w:szCs w:val="24"/>
                <w:highlight w:val="none"/>
                <w:lang w:val="en-US" w:eastAsia="zh-CN"/>
              </w:rPr>
              <w:t>，</w:t>
            </w:r>
            <w:r>
              <w:rPr>
                <w:rFonts w:ascii="Times New Roman" w:cs="Times New Roman"/>
                <w:color w:val="auto"/>
                <w:sz w:val="24"/>
                <w:szCs w:val="24"/>
                <w:highlight w:val="none"/>
              </w:rPr>
              <w:t>故</w:t>
            </w:r>
            <w:r>
              <w:rPr>
                <w:rFonts w:hint="eastAsia" w:ascii="Times New Roman" w:cs="Times New Roman"/>
                <w:color w:val="auto"/>
                <w:sz w:val="24"/>
                <w:szCs w:val="24"/>
                <w:highlight w:val="none"/>
              </w:rPr>
              <w:t>现有危废间</w:t>
            </w:r>
            <w:r>
              <w:rPr>
                <w:rFonts w:ascii="Times New Roman" w:cs="Times New Roman"/>
                <w:color w:val="auto"/>
                <w:sz w:val="24"/>
                <w:szCs w:val="24"/>
                <w:highlight w:val="none"/>
              </w:rPr>
              <w:t>可以满足</w:t>
            </w:r>
            <w:r>
              <w:rPr>
                <w:rFonts w:hint="eastAsia" w:ascii="Times New Roman" w:cs="Times New Roman"/>
                <w:color w:val="auto"/>
                <w:sz w:val="24"/>
                <w:szCs w:val="24"/>
                <w:highlight w:val="none"/>
              </w:rPr>
              <w:t>新增危废的</w:t>
            </w:r>
            <w:r>
              <w:rPr>
                <w:rFonts w:ascii="Times New Roman" w:cs="Times New Roman"/>
                <w:color w:val="auto"/>
                <w:sz w:val="24"/>
                <w:szCs w:val="24"/>
                <w:highlight w:val="none"/>
              </w:rPr>
              <w:t>暂存</w:t>
            </w:r>
            <w:r>
              <w:rPr>
                <w:rFonts w:hint="eastAsia" w:ascii="Times New Roman" w:cs="Times New Roman"/>
                <w:color w:val="auto"/>
                <w:sz w:val="24"/>
                <w:szCs w:val="24"/>
                <w:highlight w:val="none"/>
                <w:lang w:eastAsia="zh-CN"/>
              </w:rPr>
              <w:t>。此外，</w:t>
            </w:r>
            <w:r>
              <w:rPr>
                <w:rFonts w:hint="eastAsia" w:ascii="Times New Roman" w:cs="Times New Roman"/>
                <w:color w:val="auto"/>
                <w:sz w:val="24"/>
                <w:szCs w:val="24"/>
                <w:highlight w:val="none"/>
              </w:rPr>
              <w:t>现有危废暂存间</w:t>
            </w:r>
            <w:r>
              <w:rPr>
                <w:rFonts w:hint="eastAsia" w:ascii="Times New Roman" w:cs="Times New Roman"/>
                <w:color w:val="auto"/>
                <w:sz w:val="24"/>
                <w:szCs w:val="24"/>
                <w:highlight w:val="none"/>
                <w:lang w:eastAsia="zh-CN"/>
              </w:rPr>
              <w:t>应按照要求进行整改：铺设防渗材料、做好张贴标识、设置托盘、台账记录等工作</w:t>
            </w:r>
            <w:r>
              <w:rPr>
                <w:rFonts w:hint="eastAsia" w:ascii="Times New Roman" w:cs="Times New Roman"/>
                <w:color w:val="auto"/>
                <w:sz w:val="24"/>
                <w:szCs w:val="24"/>
                <w:highlight w:val="none"/>
              </w:rPr>
              <w:t>。</w:t>
            </w:r>
          </w:p>
          <w:p w14:paraId="1B7F8E8B">
            <w:pPr>
              <w:pStyle w:val="30"/>
              <w:widowControl w:val="0"/>
              <w:spacing w:before="0" w:beforeAutospacing="0" w:after="0" w:afterAutospacing="0" w:line="360" w:lineRule="auto"/>
              <w:ind w:firstLine="480" w:firstLineChars="200"/>
              <w:jc w:val="both"/>
              <w:rPr>
                <w:rFonts w:cs="宋体"/>
                <w:b/>
                <w:color w:val="auto"/>
                <w:highlight w:val="none"/>
              </w:rPr>
            </w:pPr>
            <w:r>
              <w:rPr>
                <w:rFonts w:hint="eastAsia" w:ascii="Times New Roman" w:hAnsi="Times New Roman" w:cs="宋体"/>
                <w:color w:val="auto"/>
                <w:kern w:val="2"/>
                <w:szCs w:val="22"/>
                <w:highlight w:val="none"/>
              </w:rPr>
              <w:t>本</w:t>
            </w:r>
            <w:r>
              <w:rPr>
                <w:rFonts w:hint="eastAsia" w:ascii="Times New Roman" w:hAnsi="Times New Roman" w:cs="宋体"/>
                <w:color w:val="auto"/>
                <w:kern w:val="2"/>
                <w:szCs w:val="22"/>
                <w:highlight w:val="none"/>
                <w:lang w:eastAsia="zh-CN"/>
              </w:rPr>
              <w:t>项目运营期</w:t>
            </w:r>
            <w:r>
              <w:rPr>
                <w:rFonts w:hint="eastAsia" w:ascii="Times New Roman" w:hAnsi="Times New Roman" w:cs="宋体"/>
                <w:color w:val="auto"/>
                <w:kern w:val="2"/>
                <w:szCs w:val="22"/>
                <w:highlight w:val="none"/>
              </w:rPr>
              <w:t>固体废物产排特性见下表所示：</w:t>
            </w:r>
          </w:p>
          <w:p w14:paraId="70ECD9FB">
            <w:pPr>
              <w:snapToGrid w:val="0"/>
              <w:jc w:val="center"/>
              <w:rPr>
                <w:b/>
                <w:color w:val="auto"/>
                <w:highlight w:val="none"/>
              </w:rPr>
            </w:pPr>
            <w:r>
              <w:rPr>
                <w:rFonts w:hint="eastAsia" w:cs="宋体"/>
                <w:b/>
                <w:color w:val="auto"/>
                <w:highlight w:val="none"/>
              </w:rPr>
              <w:t>表</w:t>
            </w:r>
            <w:r>
              <w:rPr>
                <w:b/>
                <w:color w:val="auto"/>
                <w:highlight w:val="none"/>
              </w:rPr>
              <w:t>4-</w:t>
            </w:r>
            <w:r>
              <w:rPr>
                <w:rFonts w:hint="eastAsia"/>
                <w:b/>
                <w:color w:val="auto"/>
                <w:highlight w:val="none"/>
                <w:lang w:val="en-US" w:eastAsia="zh-CN"/>
              </w:rPr>
              <w:t>11</w:t>
            </w:r>
            <w:r>
              <w:rPr>
                <w:rFonts w:hint="eastAsia"/>
                <w:b/>
                <w:color w:val="auto"/>
                <w:highlight w:val="none"/>
              </w:rPr>
              <w:t xml:space="preserve"> </w:t>
            </w:r>
            <w:r>
              <w:rPr>
                <w:b/>
                <w:color w:val="auto"/>
                <w:highlight w:val="none"/>
              </w:rPr>
              <w:t xml:space="preserve"> </w:t>
            </w:r>
            <w:r>
              <w:rPr>
                <w:rFonts w:hint="eastAsia"/>
                <w:b/>
                <w:color w:val="auto"/>
                <w:highlight w:val="none"/>
                <w:lang w:eastAsia="zh-CN"/>
              </w:rPr>
              <w:t>本项目运营期</w:t>
            </w:r>
            <w:r>
              <w:rPr>
                <w:rFonts w:hint="eastAsia" w:cs="宋体"/>
                <w:b/>
                <w:color w:val="auto"/>
                <w:highlight w:val="none"/>
              </w:rPr>
              <w:t>固体废物产排特性表</w:t>
            </w:r>
          </w:p>
          <w:tbl>
            <w:tblPr>
              <w:tblStyle w:val="36"/>
              <w:tblW w:w="85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1"/>
              <w:gridCol w:w="713"/>
              <w:gridCol w:w="939"/>
              <w:gridCol w:w="833"/>
              <w:gridCol w:w="850"/>
              <w:gridCol w:w="967"/>
              <w:gridCol w:w="1316"/>
              <w:gridCol w:w="1008"/>
              <w:gridCol w:w="1145"/>
            </w:tblGrid>
            <w:tr w14:paraId="53B62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vMerge w:val="restart"/>
                  <w:tcBorders>
                    <w:tl2br w:val="nil"/>
                    <w:tr2bl w:val="nil"/>
                  </w:tcBorders>
                  <w:vAlign w:val="center"/>
                </w:tcPr>
                <w:p w14:paraId="4A9E05D0">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产排</w:t>
                  </w:r>
                </w:p>
                <w:p w14:paraId="40C3364A">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特性</w:t>
                  </w:r>
                </w:p>
              </w:tc>
              <w:tc>
                <w:tcPr>
                  <w:tcW w:w="7771" w:type="dxa"/>
                  <w:gridSpan w:val="8"/>
                  <w:tcBorders>
                    <w:tl2br w:val="nil"/>
                    <w:tr2bl w:val="nil"/>
                  </w:tcBorders>
                  <w:vAlign w:val="center"/>
                </w:tcPr>
                <w:p w14:paraId="125D5D2E">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污染物</w:t>
                  </w:r>
                </w:p>
              </w:tc>
            </w:tr>
            <w:tr w14:paraId="53C2E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vMerge w:val="continue"/>
                  <w:tcBorders>
                    <w:tl2br w:val="nil"/>
                    <w:tr2bl w:val="nil"/>
                  </w:tcBorders>
                  <w:vAlign w:val="center"/>
                </w:tcPr>
                <w:p w14:paraId="4837B94A">
                  <w:pPr>
                    <w:rPr>
                      <w:color w:val="auto"/>
                      <w:sz w:val="20"/>
                      <w:szCs w:val="20"/>
                      <w:highlight w:val="none"/>
                    </w:rPr>
                  </w:pPr>
                </w:p>
              </w:tc>
              <w:tc>
                <w:tcPr>
                  <w:tcW w:w="713" w:type="dxa"/>
                  <w:tcBorders>
                    <w:tl2br w:val="nil"/>
                    <w:tr2bl w:val="nil"/>
                  </w:tcBorders>
                  <w:vAlign w:val="center"/>
                </w:tcPr>
                <w:p w14:paraId="1BFA0B83">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40360805">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939" w:type="dxa"/>
                  <w:tcBorders>
                    <w:tl2br w:val="nil"/>
                    <w:tr2bl w:val="nil"/>
                  </w:tcBorders>
                  <w:vAlign w:val="center"/>
                </w:tcPr>
                <w:p w14:paraId="070A087F">
                  <w:pPr>
                    <w:pStyle w:val="30"/>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lang w:eastAsia="zh-CN"/>
                    </w:rPr>
                    <w:t>收集尘</w:t>
                  </w:r>
                </w:p>
              </w:tc>
              <w:tc>
                <w:tcPr>
                  <w:tcW w:w="833" w:type="dxa"/>
                  <w:tcBorders>
                    <w:tl2br w:val="nil"/>
                    <w:tr2bl w:val="nil"/>
                  </w:tcBorders>
                  <w:vAlign w:val="center"/>
                </w:tcPr>
                <w:p w14:paraId="63617A78">
                  <w:pPr>
                    <w:pStyle w:val="30"/>
                    <w:widowControl w:val="0"/>
                    <w:spacing w:before="0" w:beforeAutospacing="0" w:after="0" w:afterAutospacing="0"/>
                    <w:jc w:val="center"/>
                    <w:rPr>
                      <w:rFonts w:hint="eastAsia" w:ascii="Times New Roman" w:hAnsi="Times New Roman" w:cs="宋体"/>
                      <w:color w:val="auto"/>
                      <w:kern w:val="2"/>
                      <w:sz w:val="21"/>
                      <w:szCs w:val="21"/>
                      <w:highlight w:val="none"/>
                      <w:lang w:eastAsia="zh-CN"/>
                    </w:rPr>
                  </w:pPr>
                  <w:r>
                    <w:rPr>
                      <w:rFonts w:hint="eastAsia" w:ascii="Times New Roman" w:hAnsi="Times New Roman" w:cs="宋体"/>
                      <w:color w:val="auto"/>
                      <w:kern w:val="2"/>
                      <w:sz w:val="21"/>
                      <w:szCs w:val="21"/>
                      <w:highlight w:val="none"/>
                      <w:lang w:val="en-US" w:eastAsia="zh-CN"/>
                    </w:rPr>
                    <w:t>餐厨废弃物</w:t>
                  </w:r>
                </w:p>
              </w:tc>
              <w:tc>
                <w:tcPr>
                  <w:tcW w:w="850" w:type="dxa"/>
                  <w:tcBorders>
                    <w:tl2br w:val="nil"/>
                    <w:tr2bl w:val="nil"/>
                  </w:tcBorders>
                  <w:vAlign w:val="center"/>
                </w:tcPr>
                <w:p w14:paraId="544C0AB3">
                  <w:pPr>
                    <w:pStyle w:val="30"/>
                    <w:widowControl w:val="0"/>
                    <w:spacing w:before="0" w:beforeAutospacing="0" w:after="0" w:afterAutospacing="0"/>
                    <w:jc w:val="center"/>
                    <w:rPr>
                      <w:rFonts w:hint="eastAsia" w:ascii="Times New Roman" w:hAnsi="Times New Roman" w:cs="宋体"/>
                      <w:color w:val="auto"/>
                      <w:kern w:val="2"/>
                      <w:sz w:val="21"/>
                      <w:szCs w:val="21"/>
                      <w:highlight w:val="none"/>
                      <w:lang w:eastAsia="zh-CN"/>
                    </w:rPr>
                  </w:pPr>
                  <w:r>
                    <w:rPr>
                      <w:rFonts w:hint="eastAsia" w:ascii="Times New Roman" w:hAnsi="Times New Roman" w:cs="宋体"/>
                      <w:color w:val="auto"/>
                      <w:kern w:val="2"/>
                      <w:sz w:val="21"/>
                      <w:szCs w:val="21"/>
                      <w:highlight w:val="none"/>
                      <w:lang w:val="en-US" w:eastAsia="zh-CN"/>
                    </w:rPr>
                    <w:t>废油脂</w:t>
                  </w:r>
                </w:p>
              </w:tc>
              <w:tc>
                <w:tcPr>
                  <w:tcW w:w="967" w:type="dxa"/>
                  <w:tcBorders>
                    <w:tl2br w:val="nil"/>
                    <w:tr2bl w:val="nil"/>
                  </w:tcBorders>
                  <w:vAlign w:val="center"/>
                </w:tcPr>
                <w:p w14:paraId="01CC19EC">
                  <w:pPr>
                    <w:pStyle w:val="30"/>
                    <w:widowControl w:val="0"/>
                    <w:spacing w:before="0" w:beforeAutospacing="0" w:after="0" w:afterAutospacing="0"/>
                    <w:jc w:val="center"/>
                    <w:rPr>
                      <w:rFonts w:hint="eastAsia" w:ascii="Times New Roman" w:hAnsi="Times New Roman" w:cs="宋体"/>
                      <w:color w:val="auto"/>
                      <w:kern w:val="2"/>
                      <w:sz w:val="21"/>
                      <w:szCs w:val="21"/>
                      <w:highlight w:val="none"/>
                      <w:lang w:val="en-US" w:eastAsia="zh-CN"/>
                    </w:rPr>
                  </w:pPr>
                  <w:r>
                    <w:rPr>
                      <w:rFonts w:hint="eastAsia" w:ascii="Times New Roman" w:hAnsi="Times New Roman" w:cs="宋体"/>
                      <w:color w:val="auto"/>
                      <w:kern w:val="2"/>
                      <w:sz w:val="21"/>
                      <w:szCs w:val="21"/>
                      <w:highlight w:val="none"/>
                      <w:lang w:val="en-US" w:eastAsia="zh-CN"/>
                    </w:rPr>
                    <w:t>废编</w:t>
                  </w:r>
                </w:p>
                <w:p w14:paraId="0D2D7E5A">
                  <w:pPr>
                    <w:pStyle w:val="30"/>
                    <w:widowControl w:val="0"/>
                    <w:spacing w:before="0" w:beforeAutospacing="0" w:after="0" w:afterAutospacing="0"/>
                    <w:jc w:val="center"/>
                    <w:rPr>
                      <w:rFonts w:hint="eastAsia" w:ascii="Times New Roman" w:hAnsi="Times New Roman" w:cs="宋体"/>
                      <w:color w:val="auto"/>
                      <w:kern w:val="2"/>
                      <w:sz w:val="21"/>
                      <w:szCs w:val="21"/>
                      <w:highlight w:val="none"/>
                      <w:lang w:eastAsia="zh-CN"/>
                    </w:rPr>
                  </w:pPr>
                  <w:r>
                    <w:rPr>
                      <w:rFonts w:hint="eastAsia" w:ascii="Times New Roman" w:hAnsi="Times New Roman" w:cs="宋体"/>
                      <w:color w:val="auto"/>
                      <w:kern w:val="2"/>
                      <w:sz w:val="21"/>
                      <w:szCs w:val="21"/>
                      <w:highlight w:val="none"/>
                      <w:lang w:val="en-US" w:eastAsia="zh-CN"/>
                    </w:rPr>
                    <w:t>织袋</w:t>
                  </w:r>
                </w:p>
              </w:tc>
              <w:tc>
                <w:tcPr>
                  <w:tcW w:w="1316" w:type="dxa"/>
                  <w:tcBorders>
                    <w:tl2br w:val="nil"/>
                    <w:tr2bl w:val="nil"/>
                  </w:tcBorders>
                  <w:vAlign w:val="center"/>
                </w:tcPr>
                <w:p w14:paraId="35E46BFA">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废润滑油</w:t>
                  </w:r>
                </w:p>
              </w:tc>
              <w:tc>
                <w:tcPr>
                  <w:tcW w:w="1008" w:type="dxa"/>
                  <w:tcBorders>
                    <w:tl2br w:val="nil"/>
                    <w:tr2bl w:val="nil"/>
                  </w:tcBorders>
                  <w:vAlign w:val="center"/>
                </w:tcPr>
                <w:p w14:paraId="2E410F9C">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废油桶</w:t>
                  </w:r>
                </w:p>
              </w:tc>
              <w:tc>
                <w:tcPr>
                  <w:tcW w:w="1145" w:type="dxa"/>
                  <w:tcBorders>
                    <w:tl2br w:val="nil"/>
                    <w:tr2bl w:val="nil"/>
                  </w:tcBorders>
                  <w:vAlign w:val="center"/>
                </w:tcPr>
                <w:p w14:paraId="5C939456">
                  <w:pPr>
                    <w:pStyle w:val="30"/>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含油手套及棉纱</w:t>
                  </w:r>
                </w:p>
              </w:tc>
            </w:tr>
            <w:tr w14:paraId="620FB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660DD48B">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产生</w:t>
                  </w:r>
                </w:p>
                <w:p w14:paraId="38AFC58C">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环节</w:t>
                  </w:r>
                </w:p>
              </w:tc>
              <w:tc>
                <w:tcPr>
                  <w:tcW w:w="713" w:type="dxa"/>
                  <w:tcBorders>
                    <w:tl2br w:val="nil"/>
                    <w:tr2bl w:val="nil"/>
                  </w:tcBorders>
                  <w:vAlign w:val="center"/>
                </w:tcPr>
                <w:p w14:paraId="3AC63A00">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员工</w:t>
                  </w:r>
                </w:p>
                <w:p w14:paraId="075F9D56">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生活</w:t>
                  </w:r>
                </w:p>
              </w:tc>
              <w:tc>
                <w:tcPr>
                  <w:tcW w:w="939" w:type="dxa"/>
                  <w:tcBorders>
                    <w:tl2br w:val="nil"/>
                    <w:tr2bl w:val="nil"/>
                  </w:tcBorders>
                  <w:vAlign w:val="center"/>
                </w:tcPr>
                <w:p w14:paraId="760E9D52">
                  <w:pPr>
                    <w:pStyle w:val="30"/>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lang w:eastAsia="zh-CN"/>
                    </w:rPr>
                    <w:t>除尘</w:t>
                  </w:r>
                </w:p>
              </w:tc>
              <w:tc>
                <w:tcPr>
                  <w:tcW w:w="833" w:type="dxa"/>
                  <w:tcBorders>
                    <w:tl2br w:val="nil"/>
                    <w:tr2bl w:val="nil"/>
                  </w:tcBorders>
                  <w:vAlign w:val="center"/>
                </w:tcPr>
                <w:p w14:paraId="54FFC7DD">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lang w:eastAsia="zh-CN"/>
                    </w:rPr>
                    <w:t>食堂</w:t>
                  </w:r>
                </w:p>
              </w:tc>
              <w:tc>
                <w:tcPr>
                  <w:tcW w:w="850" w:type="dxa"/>
                  <w:tcBorders>
                    <w:tl2br w:val="nil"/>
                    <w:tr2bl w:val="nil"/>
                  </w:tcBorders>
                  <w:vAlign w:val="center"/>
                </w:tcPr>
                <w:p w14:paraId="64DC6460">
                  <w:pPr>
                    <w:pStyle w:val="30"/>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lang w:eastAsia="zh-CN"/>
                    </w:rPr>
                    <w:t>食堂</w:t>
                  </w:r>
                </w:p>
              </w:tc>
              <w:tc>
                <w:tcPr>
                  <w:tcW w:w="967" w:type="dxa"/>
                  <w:tcBorders>
                    <w:tl2br w:val="nil"/>
                    <w:tr2bl w:val="nil"/>
                  </w:tcBorders>
                  <w:vAlign w:val="center"/>
                </w:tcPr>
                <w:p w14:paraId="69A1C42D">
                  <w:pPr>
                    <w:pStyle w:val="30"/>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lang w:eastAsia="zh-CN"/>
                    </w:rPr>
                    <w:t>包装</w:t>
                  </w:r>
                </w:p>
              </w:tc>
              <w:tc>
                <w:tcPr>
                  <w:tcW w:w="3469" w:type="dxa"/>
                  <w:gridSpan w:val="3"/>
                  <w:tcBorders>
                    <w:tl2br w:val="nil"/>
                    <w:tr2bl w:val="nil"/>
                  </w:tcBorders>
                  <w:vAlign w:val="center"/>
                </w:tcPr>
                <w:p w14:paraId="022FC3D5">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设备维护保养</w:t>
                  </w:r>
                </w:p>
              </w:tc>
            </w:tr>
            <w:tr w14:paraId="39A6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6202B970">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属性</w:t>
                  </w:r>
                </w:p>
              </w:tc>
              <w:tc>
                <w:tcPr>
                  <w:tcW w:w="713" w:type="dxa"/>
                  <w:tcBorders>
                    <w:tl2br w:val="nil"/>
                    <w:tr2bl w:val="nil"/>
                  </w:tcBorders>
                  <w:vAlign w:val="center"/>
                </w:tcPr>
                <w:p w14:paraId="3F7BCD17">
                  <w:pPr>
                    <w:pStyle w:val="30"/>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7D2BD17B">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3589" w:type="dxa"/>
                  <w:gridSpan w:val="4"/>
                  <w:tcBorders>
                    <w:tl2br w:val="nil"/>
                    <w:tr2bl w:val="nil"/>
                  </w:tcBorders>
                  <w:vAlign w:val="center"/>
                </w:tcPr>
                <w:p w14:paraId="361CA959">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一般工业固体废物</w:t>
                  </w:r>
                </w:p>
              </w:tc>
              <w:tc>
                <w:tcPr>
                  <w:tcW w:w="1316" w:type="dxa"/>
                  <w:tcBorders>
                    <w:tl2br w:val="nil"/>
                    <w:tr2bl w:val="nil"/>
                  </w:tcBorders>
                  <w:vAlign w:val="center"/>
                </w:tcPr>
                <w:p w14:paraId="5C7E43F4">
                  <w:pPr>
                    <w:pStyle w:val="30"/>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危险废物分类</w:t>
                  </w:r>
                  <w:r>
                    <w:rPr>
                      <w:rFonts w:ascii="Times New Roman" w:hAnsi="Times New Roman"/>
                      <w:color w:val="auto"/>
                      <w:sz w:val="21"/>
                      <w:szCs w:val="21"/>
                      <w:highlight w:val="none"/>
                    </w:rPr>
                    <w:t>HW08</w:t>
                  </w:r>
                </w:p>
                <w:p w14:paraId="1D0F085F">
                  <w:pPr>
                    <w:pStyle w:val="30"/>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危险代码900-214-08</w:t>
                  </w:r>
                </w:p>
              </w:tc>
              <w:tc>
                <w:tcPr>
                  <w:tcW w:w="2153" w:type="dxa"/>
                  <w:gridSpan w:val="2"/>
                  <w:tcBorders>
                    <w:tl2br w:val="nil"/>
                    <w:tr2bl w:val="nil"/>
                  </w:tcBorders>
                  <w:vAlign w:val="center"/>
                </w:tcPr>
                <w:p w14:paraId="6C41CD0F">
                  <w:pPr>
                    <w:pStyle w:val="30"/>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危险废物分类</w:t>
                  </w:r>
                  <w:r>
                    <w:rPr>
                      <w:rFonts w:ascii="Times New Roman" w:hAnsi="Times New Roman"/>
                      <w:color w:val="auto"/>
                      <w:sz w:val="21"/>
                      <w:szCs w:val="21"/>
                      <w:highlight w:val="none"/>
                    </w:rPr>
                    <w:t>HW</w:t>
                  </w:r>
                  <w:r>
                    <w:rPr>
                      <w:rFonts w:hint="eastAsia" w:ascii="Times New Roman" w:hAnsi="Times New Roman"/>
                      <w:color w:val="auto"/>
                      <w:sz w:val="21"/>
                      <w:szCs w:val="21"/>
                      <w:highlight w:val="none"/>
                    </w:rPr>
                    <w:t>49</w:t>
                  </w:r>
                </w:p>
                <w:p w14:paraId="76DA51F8">
                  <w:pPr>
                    <w:pStyle w:val="30"/>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危险代码900-041-49</w:t>
                  </w:r>
                </w:p>
              </w:tc>
            </w:tr>
            <w:tr w14:paraId="19B3B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821" w:type="dxa"/>
                  <w:tcBorders>
                    <w:tl2br w:val="nil"/>
                    <w:tr2bl w:val="nil"/>
                  </w:tcBorders>
                  <w:vAlign w:val="center"/>
                </w:tcPr>
                <w:p w14:paraId="1443F522">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主要有毒有害物质</w:t>
                  </w:r>
                </w:p>
              </w:tc>
              <w:tc>
                <w:tcPr>
                  <w:tcW w:w="713" w:type="dxa"/>
                  <w:tcBorders>
                    <w:tl2br w:val="nil"/>
                    <w:tr2bl w:val="nil"/>
                  </w:tcBorders>
                  <w:vAlign w:val="center"/>
                </w:tcPr>
                <w:p w14:paraId="315F3FE3">
                  <w:pPr>
                    <w:pStyle w:val="30"/>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939" w:type="dxa"/>
                  <w:tcBorders>
                    <w:tl2br w:val="nil"/>
                    <w:tr2bl w:val="nil"/>
                  </w:tcBorders>
                  <w:vAlign w:val="center"/>
                </w:tcPr>
                <w:p w14:paraId="6B824F93">
                  <w:pPr>
                    <w:pStyle w:val="30"/>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33" w:type="dxa"/>
                  <w:tcBorders>
                    <w:tl2br w:val="nil"/>
                    <w:tr2bl w:val="nil"/>
                  </w:tcBorders>
                  <w:vAlign w:val="center"/>
                </w:tcPr>
                <w:p w14:paraId="5E87CA9D">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50" w:type="dxa"/>
                  <w:tcBorders>
                    <w:tl2br w:val="nil"/>
                    <w:tr2bl w:val="nil"/>
                  </w:tcBorders>
                  <w:vAlign w:val="center"/>
                </w:tcPr>
                <w:p w14:paraId="2D628C15">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967" w:type="dxa"/>
                  <w:tcBorders>
                    <w:tl2br w:val="nil"/>
                    <w:tr2bl w:val="nil"/>
                  </w:tcBorders>
                  <w:vAlign w:val="center"/>
                </w:tcPr>
                <w:p w14:paraId="30694E01">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1316" w:type="dxa"/>
                  <w:tcBorders>
                    <w:tl2br w:val="nil"/>
                    <w:tr2bl w:val="nil"/>
                  </w:tcBorders>
                  <w:vAlign w:val="center"/>
                </w:tcPr>
                <w:p w14:paraId="2C5FB59B">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废矿物油</w:t>
                  </w:r>
                </w:p>
              </w:tc>
              <w:tc>
                <w:tcPr>
                  <w:tcW w:w="2153" w:type="dxa"/>
                  <w:gridSpan w:val="2"/>
                  <w:tcBorders>
                    <w:tl2br w:val="nil"/>
                    <w:tr2bl w:val="nil"/>
                  </w:tcBorders>
                  <w:vAlign w:val="center"/>
                </w:tcPr>
                <w:p w14:paraId="67678149">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废矿物油</w:t>
                  </w:r>
                </w:p>
              </w:tc>
            </w:tr>
            <w:tr w14:paraId="0C168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4EB772E1">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物理</w:t>
                  </w:r>
                </w:p>
                <w:p w14:paraId="7D28AAE4">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性状</w:t>
                  </w:r>
                </w:p>
              </w:tc>
              <w:tc>
                <w:tcPr>
                  <w:tcW w:w="713" w:type="dxa"/>
                  <w:tcBorders>
                    <w:tl2br w:val="nil"/>
                    <w:tr2bl w:val="nil"/>
                  </w:tcBorders>
                  <w:vAlign w:val="center"/>
                </w:tcPr>
                <w:p w14:paraId="1DFCB68F">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c>
                <w:tcPr>
                  <w:tcW w:w="939" w:type="dxa"/>
                  <w:tcBorders>
                    <w:tl2br w:val="nil"/>
                    <w:tr2bl w:val="nil"/>
                  </w:tcBorders>
                  <w:vAlign w:val="center"/>
                </w:tcPr>
                <w:p w14:paraId="2E87F634">
                  <w:pPr>
                    <w:pStyle w:val="30"/>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833" w:type="dxa"/>
                  <w:tcBorders>
                    <w:tl2br w:val="nil"/>
                    <w:tr2bl w:val="nil"/>
                  </w:tcBorders>
                  <w:vAlign w:val="center"/>
                </w:tcPr>
                <w:p w14:paraId="7EC25693">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850" w:type="dxa"/>
                  <w:tcBorders>
                    <w:tl2br w:val="nil"/>
                    <w:tr2bl w:val="nil"/>
                  </w:tcBorders>
                  <w:vAlign w:val="center"/>
                </w:tcPr>
                <w:p w14:paraId="2F419ED0">
                  <w:pPr>
                    <w:pStyle w:val="30"/>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lang w:eastAsia="zh-CN"/>
                    </w:rPr>
                    <w:t>液体</w:t>
                  </w:r>
                </w:p>
              </w:tc>
              <w:tc>
                <w:tcPr>
                  <w:tcW w:w="967" w:type="dxa"/>
                  <w:tcBorders>
                    <w:tl2br w:val="nil"/>
                    <w:tr2bl w:val="nil"/>
                  </w:tcBorders>
                  <w:vAlign w:val="center"/>
                </w:tcPr>
                <w:p w14:paraId="4F00C1A4">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1316" w:type="dxa"/>
                  <w:tcBorders>
                    <w:tl2br w:val="nil"/>
                    <w:tr2bl w:val="nil"/>
                  </w:tcBorders>
                  <w:vAlign w:val="center"/>
                </w:tcPr>
                <w:p w14:paraId="658E679D">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液体</w:t>
                  </w:r>
                </w:p>
              </w:tc>
              <w:tc>
                <w:tcPr>
                  <w:tcW w:w="2153" w:type="dxa"/>
                  <w:gridSpan w:val="2"/>
                  <w:tcBorders>
                    <w:tl2br w:val="nil"/>
                    <w:tr2bl w:val="nil"/>
                  </w:tcBorders>
                  <w:vAlign w:val="center"/>
                </w:tcPr>
                <w:p w14:paraId="600CE447">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r>
            <w:tr w14:paraId="640B2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750EC608">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环境危险特性</w:t>
                  </w:r>
                </w:p>
              </w:tc>
              <w:tc>
                <w:tcPr>
                  <w:tcW w:w="713" w:type="dxa"/>
                  <w:tcBorders>
                    <w:tl2br w:val="nil"/>
                    <w:tr2bl w:val="nil"/>
                  </w:tcBorders>
                  <w:vAlign w:val="center"/>
                </w:tcPr>
                <w:p w14:paraId="6C314555">
                  <w:pPr>
                    <w:pStyle w:val="30"/>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939" w:type="dxa"/>
                  <w:tcBorders>
                    <w:tl2br w:val="nil"/>
                    <w:tr2bl w:val="nil"/>
                  </w:tcBorders>
                  <w:vAlign w:val="center"/>
                </w:tcPr>
                <w:p w14:paraId="52A09FFC">
                  <w:pPr>
                    <w:pStyle w:val="30"/>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33" w:type="dxa"/>
                  <w:tcBorders>
                    <w:tl2br w:val="nil"/>
                    <w:tr2bl w:val="nil"/>
                  </w:tcBorders>
                  <w:vAlign w:val="center"/>
                </w:tcPr>
                <w:p w14:paraId="307D64EF">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50" w:type="dxa"/>
                  <w:tcBorders>
                    <w:tl2br w:val="nil"/>
                    <w:tr2bl w:val="nil"/>
                  </w:tcBorders>
                  <w:vAlign w:val="center"/>
                </w:tcPr>
                <w:p w14:paraId="435A51EB">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967" w:type="dxa"/>
                  <w:tcBorders>
                    <w:tl2br w:val="nil"/>
                    <w:tr2bl w:val="nil"/>
                  </w:tcBorders>
                  <w:vAlign w:val="center"/>
                </w:tcPr>
                <w:p w14:paraId="32E78C5E">
                  <w:pPr>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1316" w:type="dxa"/>
                  <w:tcBorders>
                    <w:tl2br w:val="nil"/>
                    <w:tr2bl w:val="nil"/>
                  </w:tcBorders>
                  <w:vAlign w:val="center"/>
                </w:tcPr>
                <w:p w14:paraId="5914B66B">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T，I</w:t>
                  </w:r>
                </w:p>
              </w:tc>
              <w:tc>
                <w:tcPr>
                  <w:tcW w:w="2153" w:type="dxa"/>
                  <w:gridSpan w:val="2"/>
                  <w:tcBorders>
                    <w:tl2br w:val="nil"/>
                    <w:tr2bl w:val="nil"/>
                  </w:tcBorders>
                  <w:vAlign w:val="center"/>
                </w:tcPr>
                <w:p w14:paraId="1AFC4A34">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T/In</w:t>
                  </w:r>
                </w:p>
              </w:tc>
            </w:tr>
            <w:tr w14:paraId="21488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6056C084">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年产</w:t>
                  </w:r>
                </w:p>
                <w:p w14:paraId="169E6AB0">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生量</w:t>
                  </w:r>
                </w:p>
              </w:tc>
              <w:tc>
                <w:tcPr>
                  <w:tcW w:w="713" w:type="dxa"/>
                  <w:tcBorders>
                    <w:tl2br w:val="nil"/>
                    <w:tr2bl w:val="nil"/>
                  </w:tcBorders>
                  <w:vAlign w:val="center"/>
                </w:tcPr>
                <w:p w14:paraId="46D6C941">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kern w:val="2"/>
                      <w:sz w:val="21"/>
                      <w:szCs w:val="21"/>
                      <w:highlight w:val="none"/>
                      <w:lang w:val="en-US" w:eastAsia="zh-CN"/>
                    </w:rPr>
                    <w:t>1.368</w:t>
                  </w:r>
                  <w:r>
                    <w:rPr>
                      <w:rFonts w:ascii="Times New Roman" w:hAnsi="Times New Roman"/>
                      <w:color w:val="auto"/>
                      <w:kern w:val="2"/>
                      <w:sz w:val="21"/>
                      <w:szCs w:val="21"/>
                      <w:highlight w:val="none"/>
                    </w:rPr>
                    <w:t>t/a</w:t>
                  </w:r>
                </w:p>
              </w:tc>
              <w:tc>
                <w:tcPr>
                  <w:tcW w:w="939" w:type="dxa"/>
                  <w:tcBorders>
                    <w:tl2br w:val="nil"/>
                    <w:tr2bl w:val="nil"/>
                  </w:tcBorders>
                  <w:vAlign w:val="center"/>
                </w:tcPr>
                <w:p w14:paraId="7EF07F63">
                  <w:pPr>
                    <w:pStyle w:val="30"/>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lang w:val="en-US" w:eastAsia="zh-CN"/>
                    </w:rPr>
                    <w:t>347.6</w:t>
                  </w:r>
                  <w:r>
                    <w:rPr>
                      <w:rFonts w:ascii="Times New Roman" w:hAnsi="Times New Roman"/>
                      <w:color w:val="auto"/>
                      <w:kern w:val="2"/>
                      <w:sz w:val="21"/>
                      <w:szCs w:val="21"/>
                      <w:highlight w:val="none"/>
                    </w:rPr>
                    <w:t>t/a</w:t>
                  </w:r>
                </w:p>
              </w:tc>
              <w:tc>
                <w:tcPr>
                  <w:tcW w:w="833" w:type="dxa"/>
                  <w:tcBorders>
                    <w:tl2br w:val="nil"/>
                    <w:tr2bl w:val="nil"/>
                  </w:tcBorders>
                  <w:vAlign w:val="center"/>
                </w:tcPr>
                <w:p w14:paraId="5F258253">
                  <w:pPr>
                    <w:pStyle w:val="30"/>
                    <w:widowControl w:val="0"/>
                    <w:spacing w:before="0" w:beforeAutospacing="0" w:after="0" w:afterAutospacing="0"/>
                    <w:jc w:val="center"/>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2.55t/a</w:t>
                  </w:r>
                </w:p>
              </w:tc>
              <w:tc>
                <w:tcPr>
                  <w:tcW w:w="850" w:type="dxa"/>
                  <w:tcBorders>
                    <w:tl2br w:val="nil"/>
                    <w:tr2bl w:val="nil"/>
                  </w:tcBorders>
                  <w:vAlign w:val="center"/>
                </w:tcPr>
                <w:p w14:paraId="3CA0ACF4">
                  <w:pPr>
                    <w:pStyle w:val="30"/>
                    <w:widowControl w:val="0"/>
                    <w:spacing w:before="0" w:beforeAutospacing="0" w:after="0" w:afterAutospacing="0"/>
                    <w:jc w:val="center"/>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0.32t/a</w:t>
                  </w:r>
                </w:p>
              </w:tc>
              <w:tc>
                <w:tcPr>
                  <w:tcW w:w="967" w:type="dxa"/>
                  <w:tcBorders>
                    <w:tl2br w:val="nil"/>
                    <w:tr2bl w:val="nil"/>
                  </w:tcBorders>
                  <w:vAlign w:val="center"/>
                </w:tcPr>
                <w:p w14:paraId="27522AA2">
                  <w:pPr>
                    <w:pStyle w:val="30"/>
                    <w:widowControl w:val="0"/>
                    <w:spacing w:before="0" w:beforeAutospacing="0" w:after="0" w:afterAutospacing="0"/>
                    <w:jc w:val="center"/>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25kg/a</w:t>
                  </w:r>
                </w:p>
              </w:tc>
              <w:tc>
                <w:tcPr>
                  <w:tcW w:w="1316" w:type="dxa"/>
                  <w:tcBorders>
                    <w:tl2br w:val="nil"/>
                    <w:tr2bl w:val="nil"/>
                  </w:tcBorders>
                  <w:vAlign w:val="center"/>
                </w:tcPr>
                <w:p w14:paraId="18A30DF9">
                  <w:pPr>
                    <w:pStyle w:val="30"/>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0.</w:t>
                  </w:r>
                  <w:r>
                    <w:rPr>
                      <w:rFonts w:hint="eastAsia" w:ascii="Times New Roman" w:hAnsi="Times New Roman"/>
                      <w:color w:val="auto"/>
                      <w:kern w:val="2"/>
                      <w:sz w:val="21"/>
                      <w:szCs w:val="21"/>
                      <w:highlight w:val="none"/>
                    </w:rPr>
                    <w:t>0</w:t>
                  </w:r>
                  <w:r>
                    <w:rPr>
                      <w:rFonts w:hint="eastAsia" w:ascii="Times New Roman" w:hAnsi="Times New Roman"/>
                      <w:color w:val="auto"/>
                      <w:kern w:val="2"/>
                      <w:sz w:val="21"/>
                      <w:szCs w:val="21"/>
                      <w:highlight w:val="none"/>
                      <w:lang w:val="en-US" w:eastAsia="zh-CN"/>
                    </w:rPr>
                    <w:t>4</w:t>
                  </w:r>
                  <w:r>
                    <w:rPr>
                      <w:rFonts w:ascii="Times New Roman" w:hAnsi="Times New Roman"/>
                      <w:color w:val="auto"/>
                      <w:kern w:val="2"/>
                      <w:sz w:val="21"/>
                      <w:szCs w:val="21"/>
                      <w:highlight w:val="none"/>
                    </w:rPr>
                    <w:t>t/a</w:t>
                  </w:r>
                </w:p>
              </w:tc>
              <w:tc>
                <w:tcPr>
                  <w:tcW w:w="1008" w:type="dxa"/>
                  <w:tcBorders>
                    <w:tl2br w:val="nil"/>
                    <w:tr2bl w:val="nil"/>
                  </w:tcBorders>
                  <w:vAlign w:val="center"/>
                </w:tcPr>
                <w:p w14:paraId="4E0E9DF0">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3</w:t>
                  </w:r>
                  <w:r>
                    <w:rPr>
                      <w:rFonts w:hint="eastAsia" w:ascii="Times New Roman" w:hAnsi="Times New Roman"/>
                      <w:color w:val="auto"/>
                      <w:sz w:val="21"/>
                      <w:szCs w:val="21"/>
                      <w:highlight w:val="none"/>
                    </w:rPr>
                    <w:t>t/a</w:t>
                  </w:r>
                </w:p>
              </w:tc>
              <w:tc>
                <w:tcPr>
                  <w:tcW w:w="1145" w:type="dxa"/>
                  <w:tcBorders>
                    <w:tl2br w:val="nil"/>
                    <w:tr2bl w:val="nil"/>
                  </w:tcBorders>
                  <w:vAlign w:val="center"/>
                </w:tcPr>
                <w:p w14:paraId="27A49F74">
                  <w:pPr>
                    <w:pStyle w:val="30"/>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0.0</w:t>
                  </w:r>
                  <w:r>
                    <w:rPr>
                      <w:rFonts w:hint="eastAsia" w:ascii="Times New Roman" w:hAnsi="Times New Roman"/>
                      <w:color w:val="auto"/>
                      <w:kern w:val="2"/>
                      <w:sz w:val="21"/>
                      <w:szCs w:val="21"/>
                      <w:highlight w:val="none"/>
                      <w:lang w:val="en-US" w:eastAsia="zh-CN"/>
                    </w:rPr>
                    <w:t>2</w:t>
                  </w:r>
                  <w:r>
                    <w:rPr>
                      <w:rFonts w:ascii="Times New Roman" w:hAnsi="Times New Roman"/>
                      <w:color w:val="auto"/>
                      <w:kern w:val="2"/>
                      <w:sz w:val="21"/>
                      <w:szCs w:val="21"/>
                      <w:highlight w:val="none"/>
                    </w:rPr>
                    <w:t>t/a</w:t>
                  </w:r>
                </w:p>
              </w:tc>
            </w:tr>
            <w:tr w14:paraId="2B68E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4FE5F3CA">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贮存</w:t>
                  </w:r>
                </w:p>
                <w:p w14:paraId="7C8FC339">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方式</w:t>
                  </w:r>
                </w:p>
              </w:tc>
              <w:tc>
                <w:tcPr>
                  <w:tcW w:w="713" w:type="dxa"/>
                  <w:tcBorders>
                    <w:tl2br w:val="nil"/>
                    <w:tr2bl w:val="nil"/>
                  </w:tcBorders>
                  <w:vAlign w:val="center"/>
                </w:tcPr>
                <w:p w14:paraId="59D9D063">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袋盖塑料垃圾桶收集</w:t>
                  </w:r>
                </w:p>
              </w:tc>
              <w:tc>
                <w:tcPr>
                  <w:tcW w:w="939" w:type="dxa"/>
                  <w:tcBorders>
                    <w:tl2br w:val="nil"/>
                    <w:tr2bl w:val="nil"/>
                  </w:tcBorders>
                  <w:vAlign w:val="center"/>
                </w:tcPr>
                <w:p w14:paraId="2E65BEE8">
                  <w:pPr>
                    <w:jc w:val="center"/>
                    <w:rPr>
                      <w:rFonts w:hint="eastAsia" w:eastAsia="宋体" w:cs="宋体"/>
                      <w:color w:val="auto"/>
                      <w:szCs w:val="21"/>
                      <w:highlight w:val="none"/>
                      <w:lang w:eastAsia="zh-CN"/>
                    </w:rPr>
                  </w:pPr>
                  <w:r>
                    <w:rPr>
                      <w:rFonts w:hint="eastAsia" w:cs="宋体"/>
                      <w:color w:val="auto"/>
                      <w:szCs w:val="21"/>
                      <w:highlight w:val="none"/>
                      <w:lang w:eastAsia="zh-CN"/>
                    </w:rPr>
                    <w:t>袋装收集暂存于生产车间闲置区域</w:t>
                  </w:r>
                </w:p>
              </w:tc>
              <w:tc>
                <w:tcPr>
                  <w:tcW w:w="833" w:type="dxa"/>
                  <w:tcBorders>
                    <w:tl2br w:val="nil"/>
                    <w:tr2bl w:val="nil"/>
                  </w:tcBorders>
                  <w:vAlign w:val="center"/>
                </w:tcPr>
                <w:p w14:paraId="3B867461">
                  <w:pPr>
                    <w:jc w:val="center"/>
                    <w:rPr>
                      <w:rFonts w:hint="eastAsia" w:eastAsia="宋体" w:cs="宋体"/>
                      <w:color w:val="auto"/>
                      <w:szCs w:val="21"/>
                      <w:highlight w:val="none"/>
                      <w:lang w:eastAsia="zh-CN"/>
                    </w:rPr>
                  </w:pPr>
                  <w:r>
                    <w:rPr>
                      <w:rFonts w:hint="eastAsia" w:cs="宋体"/>
                      <w:color w:val="auto"/>
                      <w:szCs w:val="21"/>
                      <w:highlight w:val="none"/>
                      <w:lang w:eastAsia="zh-CN"/>
                    </w:rPr>
                    <w:t>桶装收集后暂存于食堂闲置区域</w:t>
                  </w:r>
                </w:p>
              </w:tc>
              <w:tc>
                <w:tcPr>
                  <w:tcW w:w="850" w:type="dxa"/>
                  <w:tcBorders>
                    <w:tl2br w:val="nil"/>
                    <w:tr2bl w:val="nil"/>
                  </w:tcBorders>
                  <w:vAlign w:val="center"/>
                </w:tcPr>
                <w:p w14:paraId="02373B56">
                  <w:pPr>
                    <w:jc w:val="center"/>
                    <w:rPr>
                      <w:rFonts w:hint="eastAsia" w:cs="宋体"/>
                      <w:color w:val="auto"/>
                      <w:szCs w:val="21"/>
                      <w:highlight w:val="none"/>
                    </w:rPr>
                  </w:pPr>
                  <w:r>
                    <w:rPr>
                      <w:rFonts w:hint="eastAsia" w:cs="宋体"/>
                      <w:color w:val="auto"/>
                      <w:szCs w:val="21"/>
                      <w:highlight w:val="none"/>
                      <w:lang w:eastAsia="zh-CN"/>
                    </w:rPr>
                    <w:t>桶装收集后暂存于食堂闲置区域</w:t>
                  </w:r>
                </w:p>
              </w:tc>
              <w:tc>
                <w:tcPr>
                  <w:tcW w:w="967" w:type="dxa"/>
                  <w:tcBorders>
                    <w:tl2br w:val="nil"/>
                    <w:tr2bl w:val="nil"/>
                  </w:tcBorders>
                  <w:vAlign w:val="center"/>
                </w:tcPr>
                <w:p w14:paraId="373FF542">
                  <w:pPr>
                    <w:jc w:val="center"/>
                    <w:rPr>
                      <w:rFonts w:hint="eastAsia" w:cs="宋体"/>
                      <w:color w:val="auto"/>
                      <w:szCs w:val="21"/>
                      <w:highlight w:val="none"/>
                    </w:rPr>
                  </w:pPr>
                  <w:r>
                    <w:rPr>
                      <w:rFonts w:hint="eastAsia" w:cs="宋体"/>
                      <w:color w:val="auto"/>
                      <w:szCs w:val="21"/>
                      <w:highlight w:val="none"/>
                      <w:lang w:eastAsia="zh-CN"/>
                    </w:rPr>
                    <w:t>袋装收集暂存于生产车间闲置区域</w:t>
                  </w:r>
                </w:p>
              </w:tc>
              <w:tc>
                <w:tcPr>
                  <w:tcW w:w="1316" w:type="dxa"/>
                  <w:tcBorders>
                    <w:tl2br w:val="nil"/>
                    <w:tr2bl w:val="nil"/>
                  </w:tcBorders>
                  <w:vAlign w:val="center"/>
                </w:tcPr>
                <w:p w14:paraId="2F73F448">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钢质桶收集后置于危废暂存间</w:t>
                  </w:r>
                </w:p>
              </w:tc>
              <w:tc>
                <w:tcPr>
                  <w:tcW w:w="2153" w:type="dxa"/>
                  <w:gridSpan w:val="2"/>
                  <w:tcBorders>
                    <w:tl2br w:val="nil"/>
                    <w:tr2bl w:val="nil"/>
                  </w:tcBorders>
                  <w:vAlign w:val="center"/>
                </w:tcPr>
                <w:p w14:paraId="12C3E055">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含油手套和含油棉纱采用塑料桶收集后与废油桶一起放置在危废暂存间内</w:t>
                  </w:r>
                </w:p>
              </w:tc>
            </w:tr>
            <w:tr w14:paraId="59F7D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7D25448B">
                  <w:pPr>
                    <w:pStyle w:val="30"/>
                    <w:widowControl w:val="0"/>
                    <w:spacing w:before="0" w:beforeAutospacing="0" w:after="0" w:afterAutospacing="0"/>
                    <w:jc w:val="center"/>
                    <w:rPr>
                      <w:rFonts w:ascii="Times New Roman" w:hAnsi="Times New Roman" w:cs="宋体"/>
                      <w:bCs/>
                      <w:color w:val="auto"/>
                      <w:kern w:val="21"/>
                      <w:sz w:val="21"/>
                      <w:szCs w:val="21"/>
                      <w:highlight w:val="none"/>
                    </w:rPr>
                  </w:pPr>
                  <w:r>
                    <w:rPr>
                      <w:rFonts w:hint="eastAsia" w:ascii="Times New Roman" w:hAnsi="Times New Roman" w:cs="宋体"/>
                      <w:bCs/>
                      <w:color w:val="auto"/>
                      <w:kern w:val="21"/>
                      <w:sz w:val="21"/>
                      <w:szCs w:val="21"/>
                      <w:highlight w:val="none"/>
                    </w:rPr>
                    <w:t>利用处置方式</w:t>
                  </w:r>
                </w:p>
                <w:p w14:paraId="431CE15F">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bCs/>
                      <w:color w:val="auto"/>
                      <w:kern w:val="21"/>
                      <w:sz w:val="21"/>
                      <w:szCs w:val="21"/>
                      <w:highlight w:val="none"/>
                    </w:rPr>
                    <w:t>和去向</w:t>
                  </w:r>
                </w:p>
              </w:tc>
              <w:tc>
                <w:tcPr>
                  <w:tcW w:w="713" w:type="dxa"/>
                  <w:tcBorders>
                    <w:tl2br w:val="nil"/>
                    <w:tr2bl w:val="nil"/>
                  </w:tcBorders>
                  <w:vAlign w:val="center"/>
                </w:tcPr>
                <w:p w14:paraId="340A86D6">
                  <w:pPr>
                    <w:pStyle w:val="30"/>
                    <w:widowControl w:val="0"/>
                    <w:spacing w:before="0" w:beforeAutospacing="0" w:after="0" w:afterAutospacing="0"/>
                    <w:jc w:val="center"/>
                    <w:rPr>
                      <w:rFonts w:hint="eastAsia"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交环卫部门</w:t>
                  </w:r>
                </w:p>
                <w:p w14:paraId="1CCB97F6">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处置</w:t>
                  </w:r>
                </w:p>
              </w:tc>
              <w:tc>
                <w:tcPr>
                  <w:tcW w:w="939" w:type="dxa"/>
                  <w:tcBorders>
                    <w:tl2br w:val="nil"/>
                    <w:tr2bl w:val="nil"/>
                  </w:tcBorders>
                  <w:vAlign w:val="center"/>
                </w:tcPr>
                <w:p w14:paraId="28168D82">
                  <w:pPr>
                    <w:jc w:val="center"/>
                    <w:rPr>
                      <w:rFonts w:cs="宋体"/>
                      <w:color w:val="auto"/>
                      <w:szCs w:val="21"/>
                      <w:highlight w:val="none"/>
                    </w:rPr>
                  </w:pPr>
                  <w:r>
                    <w:rPr>
                      <w:rFonts w:hint="eastAsia" w:ascii="Times New Roman" w:hAnsi="Times New Roman"/>
                      <w:color w:val="auto"/>
                      <w:sz w:val="21"/>
                      <w:szCs w:val="21"/>
                      <w:highlight w:val="none"/>
                    </w:rPr>
                    <w:t>与生活垃圾一同交由环卫部门清运处置</w:t>
                  </w:r>
                </w:p>
              </w:tc>
              <w:tc>
                <w:tcPr>
                  <w:tcW w:w="833" w:type="dxa"/>
                  <w:tcBorders>
                    <w:tl2br w:val="nil"/>
                    <w:tr2bl w:val="nil"/>
                  </w:tcBorders>
                  <w:vAlign w:val="center"/>
                </w:tcPr>
                <w:p w14:paraId="7DCEB486">
                  <w:pPr>
                    <w:jc w:val="center"/>
                    <w:rPr>
                      <w:rFonts w:hint="eastAsia" w:cs="宋体"/>
                      <w:color w:val="auto"/>
                      <w:szCs w:val="21"/>
                      <w:highlight w:val="none"/>
                    </w:rPr>
                  </w:pPr>
                  <w:r>
                    <w:rPr>
                      <w:rFonts w:hint="eastAsia" w:cs="宋体"/>
                      <w:color w:val="auto"/>
                      <w:szCs w:val="21"/>
                      <w:highlight w:val="none"/>
                      <w:lang w:eastAsia="zh-CN"/>
                    </w:rPr>
                    <w:t>交由附近村民用于家禽养殖</w:t>
                  </w:r>
                </w:p>
              </w:tc>
              <w:tc>
                <w:tcPr>
                  <w:tcW w:w="850" w:type="dxa"/>
                  <w:tcBorders>
                    <w:tl2br w:val="nil"/>
                    <w:tr2bl w:val="nil"/>
                  </w:tcBorders>
                  <w:vAlign w:val="center"/>
                </w:tcPr>
                <w:p w14:paraId="42BA13E2">
                  <w:pPr>
                    <w:jc w:val="center"/>
                    <w:rPr>
                      <w:rFonts w:hint="eastAsia" w:cs="宋体"/>
                      <w:color w:val="auto"/>
                      <w:szCs w:val="21"/>
                      <w:highlight w:val="none"/>
                    </w:rPr>
                  </w:pPr>
                  <w:r>
                    <w:rPr>
                      <w:rFonts w:hint="eastAsia" w:cs="宋体"/>
                      <w:color w:val="auto"/>
                      <w:szCs w:val="21"/>
                      <w:highlight w:val="none"/>
                    </w:rPr>
                    <w:t>交由</w:t>
                  </w:r>
                  <w:r>
                    <w:rPr>
                      <w:rFonts w:hint="eastAsia" w:cs="宋体"/>
                      <w:color w:val="auto"/>
                      <w:szCs w:val="21"/>
                      <w:highlight w:val="none"/>
                      <w:lang w:eastAsia="zh-CN"/>
                    </w:rPr>
                    <w:t>具有</w:t>
                  </w:r>
                  <w:r>
                    <w:rPr>
                      <w:rFonts w:hint="eastAsia" w:cs="宋体"/>
                      <w:color w:val="auto"/>
                      <w:szCs w:val="21"/>
                      <w:highlight w:val="none"/>
                    </w:rPr>
                    <w:t>回收资质单位处置</w:t>
                  </w:r>
                </w:p>
              </w:tc>
              <w:tc>
                <w:tcPr>
                  <w:tcW w:w="967" w:type="dxa"/>
                  <w:tcBorders>
                    <w:tl2br w:val="nil"/>
                    <w:tr2bl w:val="nil"/>
                  </w:tcBorders>
                  <w:vAlign w:val="center"/>
                </w:tcPr>
                <w:p w14:paraId="43A74129">
                  <w:pPr>
                    <w:jc w:val="center"/>
                    <w:rPr>
                      <w:rFonts w:hint="eastAsia" w:cs="宋体"/>
                      <w:color w:val="auto"/>
                      <w:szCs w:val="21"/>
                      <w:highlight w:val="none"/>
                    </w:rPr>
                  </w:pPr>
                  <w:r>
                    <w:rPr>
                      <w:rFonts w:hint="eastAsia" w:cs="宋体"/>
                      <w:color w:val="auto"/>
                      <w:szCs w:val="21"/>
                      <w:highlight w:val="none"/>
                      <w:lang w:eastAsia="zh-CN"/>
                    </w:rPr>
                    <w:t>交由当地废品回收站处置</w:t>
                  </w:r>
                </w:p>
              </w:tc>
              <w:tc>
                <w:tcPr>
                  <w:tcW w:w="3469" w:type="dxa"/>
                  <w:gridSpan w:val="3"/>
                  <w:tcBorders>
                    <w:tl2br w:val="nil"/>
                    <w:tr2bl w:val="nil"/>
                  </w:tcBorders>
                  <w:vAlign w:val="center"/>
                </w:tcPr>
                <w:p w14:paraId="0CE5B6DC">
                  <w:pPr>
                    <w:pStyle w:val="30"/>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交由</w:t>
                  </w:r>
                  <w:r>
                    <w:rPr>
                      <w:rFonts w:hint="eastAsia" w:ascii="Times New Roman" w:hAnsi="Times New Roman" w:cs="宋体"/>
                      <w:color w:val="auto"/>
                      <w:kern w:val="2"/>
                      <w:sz w:val="21"/>
                      <w:szCs w:val="21"/>
                      <w:highlight w:val="none"/>
                      <w:lang w:eastAsia="zh-CN"/>
                    </w:rPr>
                    <w:t>有</w:t>
                  </w:r>
                  <w:r>
                    <w:rPr>
                      <w:rFonts w:hint="eastAsia" w:ascii="Times New Roman" w:hAnsi="Times New Roman" w:cs="宋体"/>
                      <w:color w:val="auto"/>
                      <w:kern w:val="2"/>
                      <w:sz w:val="21"/>
                      <w:szCs w:val="21"/>
                      <w:highlight w:val="none"/>
                    </w:rPr>
                    <w:t>资质单位处置</w:t>
                  </w:r>
                </w:p>
              </w:tc>
            </w:tr>
            <w:tr w14:paraId="3A576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 w:type="dxa"/>
                  <w:tcBorders>
                    <w:tl2br w:val="nil"/>
                    <w:tr2bl w:val="nil"/>
                  </w:tcBorders>
                  <w:vAlign w:val="center"/>
                </w:tcPr>
                <w:p w14:paraId="720E4960">
                  <w:pPr>
                    <w:pStyle w:val="30"/>
                    <w:widowControl w:val="0"/>
                    <w:spacing w:before="0" w:beforeAutospacing="0" w:after="0" w:afterAutospacing="0"/>
                    <w:jc w:val="center"/>
                    <w:rPr>
                      <w:rFonts w:ascii="Times New Roman" w:hAnsi="Times New Roman"/>
                      <w:bCs/>
                      <w:color w:val="auto"/>
                      <w:kern w:val="21"/>
                      <w:sz w:val="21"/>
                      <w:szCs w:val="21"/>
                      <w:highlight w:val="none"/>
                    </w:rPr>
                  </w:pPr>
                  <w:r>
                    <w:rPr>
                      <w:rFonts w:hint="eastAsia" w:ascii="Times New Roman" w:hAnsi="Times New Roman" w:cs="宋体"/>
                      <w:bCs/>
                      <w:color w:val="auto"/>
                      <w:kern w:val="21"/>
                      <w:sz w:val="21"/>
                      <w:szCs w:val="21"/>
                      <w:highlight w:val="none"/>
                    </w:rPr>
                    <w:t>利用或处置量</w:t>
                  </w:r>
                </w:p>
              </w:tc>
              <w:tc>
                <w:tcPr>
                  <w:tcW w:w="7771" w:type="dxa"/>
                  <w:gridSpan w:val="8"/>
                  <w:tcBorders>
                    <w:tl2br w:val="nil"/>
                    <w:tr2bl w:val="nil"/>
                  </w:tcBorders>
                  <w:vAlign w:val="center"/>
                </w:tcPr>
                <w:p w14:paraId="1B5E93CA">
                  <w:pPr>
                    <w:pStyle w:val="30"/>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100%</w:t>
                  </w:r>
                  <w:r>
                    <w:rPr>
                      <w:rFonts w:hint="eastAsia" w:ascii="Times New Roman" w:hAnsi="Times New Roman" w:cs="宋体"/>
                      <w:color w:val="auto"/>
                      <w:kern w:val="2"/>
                      <w:sz w:val="21"/>
                      <w:szCs w:val="21"/>
                      <w:highlight w:val="none"/>
                    </w:rPr>
                    <w:t>处置</w:t>
                  </w:r>
                </w:p>
              </w:tc>
            </w:tr>
          </w:tbl>
          <w:p w14:paraId="4CC6EFE2">
            <w:pPr>
              <w:adjustRightInd w:val="0"/>
              <w:snapToGrid w:val="0"/>
              <w:spacing w:line="360" w:lineRule="auto"/>
              <w:ind w:firstLine="480" w:firstLineChars="200"/>
              <w:rPr>
                <w:color w:val="auto"/>
                <w:sz w:val="24"/>
                <w:highlight w:val="none"/>
              </w:rPr>
            </w:pPr>
            <w:r>
              <w:rPr>
                <w:color w:val="auto"/>
                <w:sz w:val="24"/>
                <w:highlight w:val="none"/>
              </w:rPr>
              <w:t>综上，</w:t>
            </w:r>
            <w:r>
              <w:rPr>
                <w:rFonts w:hint="eastAsia"/>
                <w:color w:val="auto"/>
                <w:sz w:val="24"/>
                <w:highlight w:val="none"/>
              </w:rPr>
              <w:t>建设</w:t>
            </w:r>
            <w:r>
              <w:rPr>
                <w:color w:val="auto"/>
                <w:sz w:val="24"/>
                <w:highlight w:val="none"/>
              </w:rPr>
              <w:t>单位在采取上述措施后，</w:t>
            </w:r>
            <w:r>
              <w:rPr>
                <w:rFonts w:hint="eastAsia"/>
                <w:color w:val="auto"/>
                <w:sz w:val="24"/>
                <w:highlight w:val="none"/>
                <w:lang w:eastAsia="zh-CN"/>
              </w:rPr>
              <w:t>新增工程</w:t>
            </w:r>
            <w:r>
              <w:rPr>
                <w:rFonts w:hint="eastAsia"/>
                <w:color w:val="auto"/>
                <w:sz w:val="24"/>
                <w:highlight w:val="none"/>
              </w:rPr>
              <w:t>运营期</w:t>
            </w:r>
            <w:r>
              <w:rPr>
                <w:color w:val="auto"/>
                <w:sz w:val="24"/>
                <w:highlight w:val="none"/>
              </w:rPr>
              <w:t>产生的固体废物对周围环境影响较小</w:t>
            </w:r>
            <w:r>
              <w:rPr>
                <w:rFonts w:hint="eastAsia"/>
                <w:color w:val="auto"/>
                <w:sz w:val="24"/>
                <w:highlight w:val="none"/>
              </w:rPr>
              <w:t>。</w:t>
            </w:r>
          </w:p>
          <w:p w14:paraId="3BF3317A">
            <w:pPr>
              <w:adjustRightInd w:val="0"/>
              <w:snapToGrid w:val="0"/>
              <w:spacing w:line="360" w:lineRule="auto"/>
              <w:rPr>
                <w:b/>
                <w:bCs/>
                <w:color w:val="auto"/>
                <w:sz w:val="24"/>
                <w:highlight w:val="none"/>
              </w:rPr>
            </w:pPr>
            <w:r>
              <w:rPr>
                <w:rFonts w:hint="eastAsia"/>
                <w:b/>
                <w:bCs/>
                <w:color w:val="auto"/>
                <w:sz w:val="24"/>
                <w:highlight w:val="none"/>
              </w:rPr>
              <w:t>（五）</w:t>
            </w:r>
            <w:r>
              <w:rPr>
                <w:b/>
                <w:bCs/>
                <w:color w:val="auto"/>
                <w:sz w:val="24"/>
                <w:highlight w:val="none"/>
              </w:rPr>
              <w:t>地下水及土壤</w:t>
            </w:r>
          </w:p>
          <w:p w14:paraId="7EC1F250">
            <w:pPr>
              <w:adjustRightInd w:val="0"/>
              <w:snapToGrid w:val="0"/>
              <w:spacing w:line="360" w:lineRule="auto"/>
              <w:ind w:firstLine="480" w:firstLineChars="200"/>
              <w:rPr>
                <w:color w:val="auto"/>
                <w:sz w:val="24"/>
                <w:highlight w:val="none"/>
              </w:rPr>
            </w:pPr>
            <w:r>
              <w:rPr>
                <w:rFonts w:hint="eastAsia"/>
                <w:color w:val="auto"/>
                <w:sz w:val="24"/>
                <w:highlight w:val="none"/>
              </w:rPr>
              <w:t>1、影响途径和污染物类型</w:t>
            </w:r>
          </w:p>
          <w:p w14:paraId="39F2D713">
            <w:pPr>
              <w:adjustRightInd w:val="0"/>
              <w:snapToGrid w:val="0"/>
              <w:spacing w:line="360" w:lineRule="auto"/>
              <w:ind w:firstLine="480" w:firstLineChars="200"/>
              <w:rPr>
                <w:color w:val="auto"/>
                <w:sz w:val="24"/>
                <w:highlight w:val="none"/>
              </w:rPr>
            </w:pPr>
            <w:r>
              <w:rPr>
                <w:rFonts w:hint="eastAsia"/>
                <w:color w:val="auto"/>
                <w:sz w:val="24"/>
                <w:highlight w:val="none"/>
              </w:rPr>
              <w:t>地下水和土壤污染源主要为：化粪池、</w:t>
            </w:r>
            <w:r>
              <w:rPr>
                <w:rFonts w:hint="eastAsia"/>
                <w:color w:val="auto"/>
                <w:sz w:val="24"/>
                <w:highlight w:val="none"/>
                <w:lang w:eastAsia="zh-CN"/>
              </w:rPr>
              <w:t>沉淀池</w:t>
            </w:r>
            <w:r>
              <w:rPr>
                <w:rFonts w:hint="eastAsia"/>
                <w:color w:val="auto"/>
                <w:sz w:val="24"/>
                <w:highlight w:val="none"/>
              </w:rPr>
              <w:t>以及</w:t>
            </w:r>
            <w:r>
              <w:rPr>
                <w:rFonts w:hint="eastAsia"/>
                <w:color w:val="auto"/>
                <w:sz w:val="24"/>
                <w:highlight w:val="none"/>
                <w:lang w:eastAsia="zh-CN"/>
              </w:rPr>
              <w:t>危废</w:t>
            </w:r>
            <w:r>
              <w:rPr>
                <w:rFonts w:hint="eastAsia"/>
                <w:color w:val="auto"/>
                <w:sz w:val="24"/>
                <w:highlight w:val="none"/>
              </w:rPr>
              <w:t>暂存间；</w:t>
            </w:r>
          </w:p>
          <w:p w14:paraId="4B0D58B8">
            <w:pPr>
              <w:adjustRightInd w:val="0"/>
              <w:snapToGrid w:val="0"/>
              <w:spacing w:line="360" w:lineRule="auto"/>
              <w:ind w:firstLine="480" w:firstLineChars="200"/>
              <w:rPr>
                <w:color w:val="auto"/>
                <w:sz w:val="24"/>
                <w:highlight w:val="none"/>
              </w:rPr>
            </w:pPr>
            <w:r>
              <w:rPr>
                <w:rFonts w:hint="eastAsia"/>
                <w:color w:val="auto"/>
                <w:sz w:val="24"/>
                <w:highlight w:val="none"/>
              </w:rPr>
              <w:t>途径：污水处理设施渗漏，危废遗撒下渗，从而造成土壤和地下水污染；</w:t>
            </w:r>
          </w:p>
          <w:p w14:paraId="478FCDC3">
            <w:pPr>
              <w:adjustRightInd w:val="0"/>
              <w:snapToGrid w:val="0"/>
              <w:spacing w:line="360" w:lineRule="auto"/>
              <w:ind w:firstLine="480" w:firstLineChars="200"/>
              <w:rPr>
                <w:color w:val="auto"/>
                <w:sz w:val="24"/>
                <w:highlight w:val="none"/>
              </w:rPr>
            </w:pPr>
            <w:r>
              <w:rPr>
                <w:rFonts w:hint="eastAsia"/>
                <w:color w:val="auto"/>
                <w:sz w:val="24"/>
                <w:highlight w:val="none"/>
              </w:rPr>
              <w:t>污染物类型：</w:t>
            </w:r>
            <w:r>
              <w:rPr>
                <w:rFonts w:hint="eastAsia"/>
                <w:color w:val="auto"/>
                <w:sz w:val="24"/>
                <w:highlight w:val="none"/>
                <w:lang w:eastAsia="zh-CN"/>
              </w:rPr>
              <w:t>车辆冲洗</w:t>
            </w:r>
            <w:r>
              <w:rPr>
                <w:rFonts w:hint="eastAsia"/>
                <w:color w:val="auto"/>
                <w:sz w:val="24"/>
                <w:highlight w:val="none"/>
              </w:rPr>
              <w:t>废水污染物主要为SS，生活污水污染物主要为氨氮、COD、总磷等，危险废物污染物主要为石油类。</w:t>
            </w:r>
          </w:p>
          <w:p w14:paraId="3937F2C5">
            <w:pPr>
              <w:adjustRightInd w:val="0"/>
              <w:snapToGrid w:val="0"/>
              <w:spacing w:line="360" w:lineRule="auto"/>
              <w:ind w:firstLine="480" w:firstLineChars="200"/>
              <w:rPr>
                <w:color w:val="auto"/>
                <w:sz w:val="24"/>
                <w:highlight w:val="none"/>
              </w:rPr>
            </w:pPr>
            <w:r>
              <w:rPr>
                <w:rFonts w:hint="eastAsia"/>
                <w:color w:val="auto"/>
                <w:sz w:val="24"/>
                <w:highlight w:val="none"/>
              </w:rPr>
              <w:t>2、防控措施</w:t>
            </w:r>
          </w:p>
          <w:p w14:paraId="6F9A3A20">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eastAsia="zh-CN"/>
              </w:rPr>
              <w:t>根据现场调查，厂区化粪池和沉淀池已按要求进行防渗处理，截至目前一直正常运行，未出现意外破损等现象。危废间地面已进行硬化处理，但未铺设防渗材料以及未设置托盘，因此环评要求建设单位应及时按照《危险废物贮存污染控制标准》（GB18597-2023），铺设符合渗透系数要求的防渗材料，并在收集容器底部设置托盘，防渗危险废物渗漏，并做好定期巡检。</w:t>
            </w:r>
          </w:p>
          <w:p w14:paraId="4A687F0A">
            <w:pPr>
              <w:adjustRightInd w:val="0"/>
              <w:snapToGrid w:val="0"/>
              <w:spacing w:line="360" w:lineRule="auto"/>
              <w:ind w:firstLine="480" w:firstLineChars="200"/>
              <w:rPr>
                <w:color w:val="auto"/>
                <w:sz w:val="24"/>
                <w:highlight w:val="none"/>
              </w:rPr>
            </w:pPr>
            <w:r>
              <w:rPr>
                <w:rFonts w:hint="eastAsia"/>
                <w:color w:val="auto"/>
                <w:sz w:val="24"/>
                <w:highlight w:val="none"/>
              </w:rPr>
              <w:t>通过采取以上措施并加强管理后，正常工况下不会对项目区地下水和土壤产生影响。</w:t>
            </w:r>
          </w:p>
          <w:p w14:paraId="07906CBD">
            <w:pPr>
              <w:numPr>
                <w:ilvl w:val="0"/>
                <w:numId w:val="3"/>
              </w:numPr>
              <w:adjustRightInd w:val="0"/>
              <w:snapToGrid w:val="0"/>
              <w:spacing w:line="360" w:lineRule="auto"/>
              <w:rPr>
                <w:b/>
                <w:bCs/>
                <w:color w:val="auto"/>
                <w:sz w:val="24"/>
                <w:highlight w:val="none"/>
              </w:rPr>
            </w:pPr>
            <w:r>
              <w:rPr>
                <w:b/>
                <w:bCs/>
                <w:color w:val="auto"/>
                <w:sz w:val="24"/>
                <w:highlight w:val="none"/>
              </w:rPr>
              <w:t>环境风险</w:t>
            </w:r>
          </w:p>
          <w:p w14:paraId="395AF00F">
            <w:pPr>
              <w:adjustRightInd w:val="0"/>
              <w:snapToGrid w:val="0"/>
              <w:spacing w:line="360" w:lineRule="auto"/>
              <w:ind w:firstLine="480" w:firstLineChars="200"/>
              <w:rPr>
                <w:color w:val="auto"/>
                <w:sz w:val="24"/>
                <w:highlight w:val="none"/>
              </w:rPr>
            </w:pPr>
            <w:r>
              <w:rPr>
                <w:rFonts w:hint="eastAsia"/>
                <w:color w:val="auto"/>
                <w:sz w:val="24"/>
                <w:highlight w:val="none"/>
              </w:rPr>
              <w:t>（1）环境风险物质：废润滑油。</w:t>
            </w:r>
          </w:p>
          <w:p w14:paraId="5FF9C6C9">
            <w:pPr>
              <w:adjustRightInd w:val="0"/>
              <w:snapToGrid w:val="0"/>
              <w:spacing w:line="360" w:lineRule="auto"/>
              <w:ind w:firstLine="480" w:firstLineChars="200"/>
              <w:rPr>
                <w:b/>
                <w:color w:val="auto"/>
                <w:szCs w:val="21"/>
                <w:highlight w:val="none"/>
              </w:rPr>
            </w:pPr>
            <w:r>
              <w:rPr>
                <w:color w:val="auto"/>
                <w:sz w:val="24"/>
                <w:highlight w:val="none"/>
              </w:rPr>
              <w:t>根据《建设项目环境风险评价技术导则》（HJ169-2018）附录B，对本项目环境风险物质</w:t>
            </w:r>
            <w:r>
              <w:rPr>
                <w:rFonts w:hint="eastAsia"/>
                <w:color w:val="auto"/>
                <w:sz w:val="24"/>
                <w:highlight w:val="none"/>
              </w:rPr>
              <w:t>的Q值计算如下</w:t>
            </w:r>
            <w:r>
              <w:rPr>
                <w:color w:val="auto"/>
                <w:sz w:val="24"/>
                <w:highlight w:val="none"/>
              </w:rPr>
              <w:t>：</w:t>
            </w:r>
          </w:p>
          <w:p w14:paraId="6DD3788D">
            <w:pPr>
              <w:pStyle w:val="2"/>
              <w:snapToGrid w:val="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表4-1</w:t>
            </w:r>
            <w:r>
              <w:rPr>
                <w:rFonts w:hint="eastAsia" w:ascii="Times New Roman" w:hAnsi="Times New Roman" w:cs="Times New Roman"/>
                <w:b/>
                <w:color w:val="auto"/>
                <w:sz w:val="21"/>
                <w:szCs w:val="21"/>
                <w:highlight w:val="none"/>
                <w:lang w:val="en-US" w:eastAsia="zh-CN"/>
              </w:rPr>
              <w:t>2</w:t>
            </w:r>
            <w:r>
              <w:rPr>
                <w:rFonts w:ascii="Times New Roman" w:hAnsi="Times New Roman" w:cs="Times New Roman"/>
                <w:b/>
                <w:color w:val="auto"/>
                <w:sz w:val="21"/>
                <w:szCs w:val="21"/>
                <w:highlight w:val="none"/>
              </w:rPr>
              <w:t xml:space="preserve">  风险物质及Q值计算一览表</w:t>
            </w:r>
          </w:p>
          <w:tbl>
            <w:tblPr>
              <w:tblStyle w:val="36"/>
              <w:tblW w:w="8381"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1858"/>
              <w:gridCol w:w="1300"/>
              <w:gridCol w:w="1681"/>
              <w:gridCol w:w="1742"/>
              <w:gridCol w:w="1800"/>
            </w:tblGrid>
            <w:tr w14:paraId="65F4F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61694418">
                  <w:pPr>
                    <w:snapToGrid w:val="0"/>
                    <w:spacing w:beforeLines="30" w:afterLines="30"/>
                    <w:jc w:val="center"/>
                    <w:rPr>
                      <w:color w:val="auto"/>
                      <w:szCs w:val="21"/>
                      <w:highlight w:val="none"/>
                    </w:rPr>
                  </w:pPr>
                  <w:r>
                    <w:rPr>
                      <w:color w:val="auto"/>
                      <w:szCs w:val="21"/>
                      <w:highlight w:val="none"/>
                    </w:rPr>
                    <w:t>风险物质</w:t>
                  </w:r>
                </w:p>
              </w:tc>
              <w:tc>
                <w:tcPr>
                  <w:tcW w:w="1300" w:type="dxa"/>
                  <w:tcBorders>
                    <w:tl2br w:val="nil"/>
                    <w:tr2bl w:val="nil"/>
                  </w:tcBorders>
                  <w:vAlign w:val="center"/>
                </w:tcPr>
                <w:p w14:paraId="3B1EC31B">
                  <w:pPr>
                    <w:snapToGrid w:val="0"/>
                    <w:spacing w:beforeLines="30" w:afterLines="30"/>
                    <w:jc w:val="center"/>
                    <w:rPr>
                      <w:color w:val="auto"/>
                      <w:szCs w:val="21"/>
                      <w:highlight w:val="none"/>
                    </w:rPr>
                  </w:pPr>
                  <w:r>
                    <w:rPr>
                      <w:color w:val="auto"/>
                      <w:szCs w:val="21"/>
                      <w:highlight w:val="none"/>
                    </w:rPr>
                    <w:t>CAS</w:t>
                  </w:r>
                </w:p>
              </w:tc>
              <w:tc>
                <w:tcPr>
                  <w:tcW w:w="1681" w:type="dxa"/>
                  <w:tcBorders>
                    <w:tl2br w:val="nil"/>
                    <w:tr2bl w:val="nil"/>
                  </w:tcBorders>
                  <w:vAlign w:val="center"/>
                </w:tcPr>
                <w:p w14:paraId="0789DABA">
                  <w:pPr>
                    <w:snapToGrid w:val="0"/>
                    <w:spacing w:beforeLines="30" w:afterLines="30"/>
                    <w:jc w:val="center"/>
                    <w:rPr>
                      <w:color w:val="auto"/>
                      <w:szCs w:val="21"/>
                      <w:highlight w:val="none"/>
                    </w:rPr>
                  </w:pPr>
                  <w:r>
                    <w:rPr>
                      <w:color w:val="auto"/>
                      <w:szCs w:val="21"/>
                      <w:highlight w:val="none"/>
                    </w:rPr>
                    <w:t>临界量t</w:t>
                  </w:r>
                </w:p>
              </w:tc>
              <w:tc>
                <w:tcPr>
                  <w:tcW w:w="1742" w:type="dxa"/>
                  <w:tcBorders>
                    <w:tl2br w:val="nil"/>
                    <w:tr2bl w:val="nil"/>
                  </w:tcBorders>
                  <w:vAlign w:val="center"/>
                </w:tcPr>
                <w:p w14:paraId="3BB4BB28">
                  <w:pPr>
                    <w:snapToGrid w:val="0"/>
                    <w:spacing w:beforeLines="30" w:afterLines="30"/>
                    <w:jc w:val="center"/>
                    <w:rPr>
                      <w:color w:val="auto"/>
                      <w:szCs w:val="21"/>
                      <w:highlight w:val="none"/>
                    </w:rPr>
                  </w:pPr>
                  <w:r>
                    <w:rPr>
                      <w:color w:val="auto"/>
                      <w:szCs w:val="21"/>
                      <w:highlight w:val="none"/>
                    </w:rPr>
                    <w:t>最大储存量t</w:t>
                  </w:r>
                </w:p>
              </w:tc>
              <w:tc>
                <w:tcPr>
                  <w:tcW w:w="1800" w:type="dxa"/>
                  <w:tcBorders>
                    <w:tl2br w:val="nil"/>
                    <w:tr2bl w:val="nil"/>
                  </w:tcBorders>
                  <w:vAlign w:val="center"/>
                </w:tcPr>
                <w:p w14:paraId="4D798C01">
                  <w:pPr>
                    <w:snapToGrid w:val="0"/>
                    <w:spacing w:beforeLines="30" w:afterLines="30"/>
                    <w:jc w:val="center"/>
                    <w:rPr>
                      <w:color w:val="auto"/>
                      <w:szCs w:val="21"/>
                      <w:highlight w:val="none"/>
                    </w:rPr>
                  </w:pPr>
                  <w:r>
                    <w:rPr>
                      <w:color w:val="auto"/>
                      <w:szCs w:val="21"/>
                      <w:highlight w:val="none"/>
                    </w:rPr>
                    <w:t>Q</w:t>
                  </w:r>
                  <w:r>
                    <w:rPr>
                      <w:color w:val="auto"/>
                      <w:szCs w:val="21"/>
                      <w:highlight w:val="none"/>
                      <w:vertAlign w:val="subscript"/>
                    </w:rPr>
                    <w:t>i</w:t>
                  </w:r>
                </w:p>
              </w:tc>
            </w:tr>
            <w:tr w14:paraId="70D06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4EEC90E9">
                  <w:pPr>
                    <w:snapToGrid w:val="0"/>
                    <w:spacing w:beforeLines="30" w:afterLines="30"/>
                    <w:jc w:val="center"/>
                    <w:rPr>
                      <w:rFonts w:hint="eastAsia"/>
                      <w:color w:val="auto"/>
                      <w:szCs w:val="21"/>
                      <w:highlight w:val="none"/>
                    </w:rPr>
                  </w:pPr>
                  <w:r>
                    <w:rPr>
                      <w:rFonts w:hint="eastAsia"/>
                      <w:color w:val="auto"/>
                      <w:szCs w:val="21"/>
                      <w:highlight w:val="none"/>
                    </w:rPr>
                    <w:t>废润滑油</w:t>
                  </w:r>
                </w:p>
              </w:tc>
              <w:tc>
                <w:tcPr>
                  <w:tcW w:w="1300" w:type="dxa"/>
                  <w:tcBorders>
                    <w:tl2br w:val="nil"/>
                    <w:tr2bl w:val="nil"/>
                  </w:tcBorders>
                  <w:vAlign w:val="center"/>
                </w:tcPr>
                <w:p w14:paraId="1DAA9EFB">
                  <w:pPr>
                    <w:snapToGrid w:val="0"/>
                    <w:spacing w:beforeLines="30" w:afterLines="30"/>
                    <w:jc w:val="center"/>
                    <w:rPr>
                      <w:rFonts w:hint="eastAsia"/>
                      <w:color w:val="auto"/>
                      <w:szCs w:val="21"/>
                      <w:highlight w:val="none"/>
                    </w:rPr>
                  </w:pPr>
                  <w:r>
                    <w:rPr>
                      <w:rFonts w:hint="eastAsia"/>
                      <w:color w:val="auto"/>
                      <w:szCs w:val="21"/>
                      <w:highlight w:val="none"/>
                    </w:rPr>
                    <w:t>/</w:t>
                  </w:r>
                </w:p>
              </w:tc>
              <w:tc>
                <w:tcPr>
                  <w:tcW w:w="1681" w:type="dxa"/>
                  <w:tcBorders>
                    <w:tl2br w:val="nil"/>
                    <w:tr2bl w:val="nil"/>
                  </w:tcBorders>
                  <w:vAlign w:val="center"/>
                </w:tcPr>
                <w:p w14:paraId="32993D66">
                  <w:pPr>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2500</w:t>
                  </w:r>
                </w:p>
              </w:tc>
              <w:tc>
                <w:tcPr>
                  <w:tcW w:w="1742" w:type="dxa"/>
                  <w:tcBorders>
                    <w:tl2br w:val="nil"/>
                    <w:tr2bl w:val="nil"/>
                  </w:tcBorders>
                  <w:vAlign w:val="center"/>
                </w:tcPr>
                <w:p w14:paraId="4DFF77FA">
                  <w:pPr>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0.04</w:t>
                  </w:r>
                </w:p>
              </w:tc>
              <w:tc>
                <w:tcPr>
                  <w:tcW w:w="1800" w:type="dxa"/>
                  <w:tcBorders>
                    <w:tl2br w:val="nil"/>
                    <w:tr2bl w:val="nil"/>
                  </w:tcBorders>
                  <w:vAlign w:val="center"/>
                </w:tcPr>
                <w:p w14:paraId="7C5EA080">
                  <w:pPr>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0.000016</w:t>
                  </w:r>
                </w:p>
              </w:tc>
            </w:tr>
          </w:tbl>
          <w:p w14:paraId="09D7B0A1">
            <w:pPr>
              <w:adjustRightInd w:val="0"/>
              <w:snapToGrid w:val="0"/>
              <w:spacing w:line="360" w:lineRule="auto"/>
              <w:ind w:firstLine="480" w:firstLineChars="200"/>
              <w:rPr>
                <w:color w:val="auto"/>
                <w:sz w:val="24"/>
                <w:highlight w:val="none"/>
              </w:rPr>
            </w:pPr>
            <w:r>
              <w:rPr>
                <w:color w:val="auto"/>
                <w:sz w:val="24"/>
                <w:highlight w:val="none"/>
              </w:rPr>
              <w:t>上表可见，</w:t>
            </w:r>
            <w:r>
              <w:rPr>
                <w:rFonts w:hint="eastAsia"/>
                <w:color w:val="auto"/>
                <w:sz w:val="24"/>
                <w:highlight w:val="none"/>
                <w:lang w:eastAsia="zh-CN"/>
              </w:rPr>
              <w:t>新增工程投入运营后，全厂区风险物质</w:t>
            </w:r>
            <w:r>
              <w:rPr>
                <w:color w:val="auto"/>
                <w:sz w:val="24"/>
                <w:highlight w:val="none"/>
              </w:rPr>
              <w:t>Q=</w:t>
            </w:r>
            <w:r>
              <w:rPr>
                <w:rFonts w:hint="eastAsia"/>
                <w:color w:val="auto"/>
                <w:sz w:val="24"/>
                <w:highlight w:val="none"/>
                <w:lang w:val="en-US" w:eastAsia="zh-CN"/>
              </w:rPr>
              <w:t>0.000016</w:t>
            </w:r>
            <w:r>
              <w:rPr>
                <w:color w:val="auto"/>
                <w:sz w:val="24"/>
                <w:highlight w:val="none"/>
              </w:rPr>
              <w:t>&lt;1，</w:t>
            </w:r>
            <w:r>
              <w:rPr>
                <w:rFonts w:hint="eastAsia"/>
                <w:color w:val="auto"/>
                <w:sz w:val="24"/>
                <w:highlight w:val="none"/>
                <w:lang w:eastAsia="zh-CN"/>
              </w:rPr>
              <w:t>故本</w:t>
            </w:r>
            <w:r>
              <w:rPr>
                <w:color w:val="auto"/>
                <w:sz w:val="24"/>
                <w:highlight w:val="none"/>
              </w:rPr>
              <w:t>项目风险潜势为Ⅰ，环境风险较低。</w:t>
            </w:r>
          </w:p>
          <w:p w14:paraId="2CCF7146">
            <w:pPr>
              <w:adjustRightInd w:val="0"/>
              <w:snapToGrid w:val="0"/>
              <w:spacing w:line="360" w:lineRule="auto"/>
              <w:ind w:firstLine="480" w:firstLineChars="200"/>
              <w:rPr>
                <w:color w:val="auto"/>
                <w:sz w:val="24"/>
                <w:highlight w:val="none"/>
              </w:rPr>
            </w:pPr>
            <w:r>
              <w:rPr>
                <w:rFonts w:hint="eastAsia"/>
                <w:color w:val="auto"/>
                <w:sz w:val="24"/>
                <w:highlight w:val="none"/>
              </w:rPr>
              <w:t>（2）影响途径：</w:t>
            </w:r>
            <w:r>
              <w:rPr>
                <w:rStyle w:val="42"/>
                <w:rFonts w:hint="eastAsia"/>
                <w:color w:val="auto"/>
                <w:kern w:val="0"/>
                <w:sz w:val="24"/>
                <w:highlight w:val="none"/>
              </w:rPr>
              <w:t>油类物质发生泄漏渗入地下，会给周边土壤及地下水环境带来污染隐患</w:t>
            </w:r>
            <w:r>
              <w:rPr>
                <w:rFonts w:hint="eastAsia"/>
                <w:color w:val="auto"/>
                <w:sz w:val="24"/>
                <w:highlight w:val="none"/>
              </w:rPr>
              <w:t>。</w:t>
            </w:r>
          </w:p>
          <w:p w14:paraId="3C19CBF4">
            <w:pPr>
              <w:adjustRightInd w:val="0"/>
              <w:snapToGrid w:val="0"/>
              <w:spacing w:line="360" w:lineRule="auto"/>
              <w:ind w:firstLine="480" w:firstLineChars="200"/>
              <w:rPr>
                <w:rFonts w:ascii="宋体" w:hAnsi="宋体" w:cs="宋体"/>
                <w:bCs/>
                <w:color w:val="auto"/>
                <w:kern w:val="21"/>
                <w:szCs w:val="21"/>
                <w:highlight w:val="none"/>
              </w:rPr>
            </w:pPr>
            <w:r>
              <w:rPr>
                <w:rFonts w:hint="eastAsia"/>
                <w:color w:val="auto"/>
                <w:sz w:val="24"/>
                <w:highlight w:val="none"/>
              </w:rPr>
              <w:t>（3）防范措施：本项目废润滑油堆存量少，均盛装有包装设施，即使发生泄漏，其影响范围也大多集中在储存区，且储存区地面及四周均做好防渗措施，故项目废润滑油发生泄漏的可能性很小，同时若是因事故原因发生泄漏时，因储存区的防渗措施阻隔，及时收集后不会下渗至地下，影响区域土壤与地下水环境。</w:t>
            </w:r>
          </w:p>
          <w:p w14:paraId="4EB534F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综上，通过采取上述措施后，可以有效减少废润滑油对环境造成的影响。</w:t>
            </w:r>
          </w:p>
          <w:p w14:paraId="476901BE">
            <w:pPr>
              <w:adjustRightInd w:val="0"/>
              <w:snapToGrid w:val="0"/>
              <w:spacing w:line="360" w:lineRule="auto"/>
              <w:rPr>
                <w:rFonts w:hint="eastAsia"/>
                <w:color w:val="auto"/>
                <w:sz w:val="24"/>
                <w:highlight w:val="none"/>
              </w:rPr>
            </w:pPr>
          </w:p>
          <w:p w14:paraId="1BCB1D89">
            <w:pPr>
              <w:pStyle w:val="2"/>
              <w:rPr>
                <w:rFonts w:hint="eastAsia"/>
                <w:color w:val="auto"/>
                <w:sz w:val="24"/>
                <w:highlight w:val="none"/>
              </w:rPr>
            </w:pPr>
          </w:p>
          <w:p w14:paraId="304D5E2E">
            <w:pPr>
              <w:pStyle w:val="2"/>
              <w:rPr>
                <w:rFonts w:hint="eastAsia"/>
                <w:color w:val="auto"/>
                <w:sz w:val="24"/>
                <w:highlight w:val="none"/>
              </w:rPr>
            </w:pPr>
          </w:p>
          <w:p w14:paraId="108A80AE">
            <w:pPr>
              <w:pStyle w:val="2"/>
              <w:rPr>
                <w:rFonts w:hint="eastAsia"/>
                <w:color w:val="auto"/>
                <w:sz w:val="24"/>
                <w:highlight w:val="none"/>
              </w:rPr>
            </w:pPr>
          </w:p>
          <w:p w14:paraId="54B7193B">
            <w:pPr>
              <w:pStyle w:val="2"/>
              <w:rPr>
                <w:rFonts w:hint="eastAsia"/>
                <w:color w:val="auto"/>
                <w:sz w:val="24"/>
                <w:highlight w:val="none"/>
              </w:rPr>
            </w:pPr>
          </w:p>
          <w:p w14:paraId="19104290">
            <w:pPr>
              <w:pStyle w:val="2"/>
              <w:rPr>
                <w:rFonts w:hint="eastAsia"/>
                <w:color w:val="auto"/>
                <w:sz w:val="24"/>
                <w:highlight w:val="none"/>
              </w:rPr>
            </w:pPr>
          </w:p>
          <w:p w14:paraId="6BDCD15C">
            <w:pPr>
              <w:pStyle w:val="2"/>
              <w:rPr>
                <w:rFonts w:hint="eastAsia"/>
                <w:color w:val="auto"/>
                <w:sz w:val="24"/>
                <w:highlight w:val="none"/>
              </w:rPr>
            </w:pPr>
          </w:p>
          <w:p w14:paraId="3309E792">
            <w:pPr>
              <w:pStyle w:val="2"/>
              <w:rPr>
                <w:rFonts w:hint="eastAsia"/>
                <w:color w:val="auto"/>
                <w:sz w:val="24"/>
                <w:highlight w:val="none"/>
              </w:rPr>
            </w:pPr>
          </w:p>
          <w:p w14:paraId="31DCF981">
            <w:pPr>
              <w:pStyle w:val="2"/>
              <w:rPr>
                <w:rFonts w:hint="eastAsia"/>
                <w:color w:val="auto"/>
                <w:sz w:val="24"/>
                <w:highlight w:val="none"/>
              </w:rPr>
            </w:pPr>
          </w:p>
          <w:p w14:paraId="701EF931">
            <w:pPr>
              <w:pStyle w:val="2"/>
              <w:rPr>
                <w:rFonts w:hint="eastAsia"/>
                <w:color w:val="auto"/>
                <w:sz w:val="24"/>
                <w:highlight w:val="none"/>
              </w:rPr>
            </w:pPr>
          </w:p>
          <w:p w14:paraId="2544FF18">
            <w:pPr>
              <w:pStyle w:val="2"/>
              <w:rPr>
                <w:rFonts w:hint="eastAsia"/>
                <w:color w:val="auto"/>
                <w:sz w:val="24"/>
                <w:highlight w:val="none"/>
              </w:rPr>
            </w:pPr>
          </w:p>
          <w:p w14:paraId="0B320B7C">
            <w:pPr>
              <w:pStyle w:val="2"/>
              <w:rPr>
                <w:rFonts w:hint="eastAsia"/>
                <w:color w:val="auto"/>
                <w:sz w:val="24"/>
                <w:highlight w:val="none"/>
              </w:rPr>
            </w:pPr>
          </w:p>
          <w:p w14:paraId="0C6CEBED">
            <w:pPr>
              <w:pStyle w:val="2"/>
              <w:rPr>
                <w:rFonts w:hint="eastAsia"/>
                <w:color w:val="auto"/>
                <w:sz w:val="24"/>
                <w:highlight w:val="none"/>
              </w:rPr>
            </w:pPr>
          </w:p>
          <w:p w14:paraId="6869037F">
            <w:pPr>
              <w:pStyle w:val="2"/>
              <w:rPr>
                <w:rFonts w:hint="eastAsia"/>
                <w:color w:val="auto"/>
                <w:sz w:val="24"/>
                <w:highlight w:val="none"/>
              </w:rPr>
            </w:pPr>
          </w:p>
          <w:p w14:paraId="29FE36AF">
            <w:pPr>
              <w:pStyle w:val="2"/>
              <w:rPr>
                <w:rFonts w:hint="eastAsia"/>
                <w:color w:val="auto"/>
                <w:sz w:val="24"/>
                <w:highlight w:val="none"/>
              </w:rPr>
            </w:pPr>
          </w:p>
          <w:p w14:paraId="1711DD71">
            <w:pPr>
              <w:pStyle w:val="2"/>
              <w:rPr>
                <w:rFonts w:hint="eastAsia"/>
                <w:color w:val="auto"/>
                <w:sz w:val="24"/>
                <w:highlight w:val="none"/>
              </w:rPr>
            </w:pPr>
          </w:p>
          <w:p w14:paraId="261ABFB1">
            <w:pPr>
              <w:pStyle w:val="2"/>
              <w:rPr>
                <w:rFonts w:hint="eastAsia"/>
                <w:color w:val="auto"/>
                <w:sz w:val="24"/>
                <w:highlight w:val="none"/>
              </w:rPr>
            </w:pPr>
          </w:p>
          <w:p w14:paraId="11364557">
            <w:pPr>
              <w:pStyle w:val="2"/>
              <w:rPr>
                <w:rFonts w:hint="eastAsia"/>
                <w:color w:val="auto"/>
                <w:sz w:val="24"/>
                <w:highlight w:val="none"/>
              </w:rPr>
            </w:pPr>
          </w:p>
          <w:p w14:paraId="5988BF45">
            <w:pPr>
              <w:pStyle w:val="2"/>
              <w:rPr>
                <w:rFonts w:hint="eastAsia"/>
                <w:color w:val="auto"/>
                <w:sz w:val="24"/>
                <w:highlight w:val="none"/>
              </w:rPr>
            </w:pPr>
          </w:p>
          <w:p w14:paraId="52CF23D6">
            <w:pPr>
              <w:pStyle w:val="2"/>
              <w:rPr>
                <w:rFonts w:hint="eastAsia"/>
                <w:color w:val="auto"/>
                <w:sz w:val="24"/>
                <w:highlight w:val="none"/>
              </w:rPr>
            </w:pPr>
          </w:p>
          <w:p w14:paraId="5EE01FAE">
            <w:pPr>
              <w:pStyle w:val="2"/>
              <w:rPr>
                <w:rFonts w:hint="eastAsia"/>
                <w:color w:val="auto"/>
                <w:sz w:val="24"/>
                <w:highlight w:val="none"/>
              </w:rPr>
            </w:pPr>
          </w:p>
          <w:p w14:paraId="589C9C5F">
            <w:pPr>
              <w:pStyle w:val="2"/>
              <w:rPr>
                <w:rFonts w:hint="eastAsia"/>
                <w:color w:val="auto"/>
                <w:sz w:val="24"/>
                <w:highlight w:val="none"/>
              </w:rPr>
            </w:pPr>
          </w:p>
          <w:p w14:paraId="0CF6267F">
            <w:pPr>
              <w:pStyle w:val="2"/>
              <w:rPr>
                <w:rFonts w:hint="eastAsia"/>
                <w:color w:val="auto"/>
                <w:sz w:val="24"/>
                <w:highlight w:val="none"/>
              </w:rPr>
            </w:pPr>
          </w:p>
          <w:p w14:paraId="40B8F3C0">
            <w:pPr>
              <w:pStyle w:val="2"/>
              <w:rPr>
                <w:rFonts w:hint="eastAsia"/>
                <w:color w:val="auto"/>
                <w:sz w:val="24"/>
                <w:highlight w:val="none"/>
              </w:rPr>
            </w:pPr>
          </w:p>
          <w:p w14:paraId="6DAD2999">
            <w:pPr>
              <w:pStyle w:val="2"/>
              <w:rPr>
                <w:rFonts w:hint="eastAsia"/>
                <w:color w:val="auto"/>
                <w:sz w:val="24"/>
                <w:highlight w:val="none"/>
              </w:rPr>
            </w:pPr>
          </w:p>
          <w:p w14:paraId="25B27E46">
            <w:pPr>
              <w:pStyle w:val="2"/>
              <w:rPr>
                <w:rFonts w:hint="eastAsia"/>
                <w:color w:val="auto"/>
                <w:sz w:val="24"/>
                <w:highlight w:val="none"/>
              </w:rPr>
            </w:pPr>
          </w:p>
          <w:p w14:paraId="697DDEB2">
            <w:pPr>
              <w:pStyle w:val="2"/>
              <w:rPr>
                <w:rFonts w:hint="eastAsia"/>
                <w:color w:val="auto"/>
                <w:sz w:val="24"/>
                <w:highlight w:val="none"/>
              </w:rPr>
            </w:pPr>
          </w:p>
          <w:p w14:paraId="2277EFE4">
            <w:pPr>
              <w:pStyle w:val="2"/>
              <w:rPr>
                <w:rFonts w:hint="eastAsia"/>
                <w:color w:val="auto"/>
                <w:sz w:val="24"/>
                <w:highlight w:val="none"/>
              </w:rPr>
            </w:pPr>
          </w:p>
          <w:p w14:paraId="51067FB1">
            <w:pPr>
              <w:pStyle w:val="2"/>
              <w:rPr>
                <w:rFonts w:hint="eastAsia"/>
                <w:color w:val="auto"/>
                <w:sz w:val="24"/>
                <w:highlight w:val="none"/>
              </w:rPr>
            </w:pPr>
          </w:p>
          <w:p w14:paraId="6731E84D">
            <w:pPr>
              <w:pStyle w:val="2"/>
              <w:rPr>
                <w:rFonts w:hint="eastAsia"/>
                <w:color w:val="auto"/>
                <w:sz w:val="24"/>
                <w:highlight w:val="none"/>
              </w:rPr>
            </w:pPr>
          </w:p>
          <w:p w14:paraId="4D1ECBC7">
            <w:pPr>
              <w:pStyle w:val="2"/>
              <w:rPr>
                <w:rFonts w:hint="eastAsia"/>
                <w:color w:val="auto"/>
                <w:sz w:val="24"/>
                <w:highlight w:val="none"/>
              </w:rPr>
            </w:pPr>
          </w:p>
          <w:p w14:paraId="55C835D3">
            <w:pPr>
              <w:pStyle w:val="2"/>
              <w:rPr>
                <w:rFonts w:hint="eastAsia"/>
                <w:color w:val="auto"/>
                <w:sz w:val="24"/>
                <w:highlight w:val="none"/>
              </w:rPr>
            </w:pPr>
          </w:p>
          <w:p w14:paraId="558DA0F8">
            <w:pPr>
              <w:pStyle w:val="2"/>
              <w:rPr>
                <w:rFonts w:hint="eastAsia"/>
                <w:color w:val="auto"/>
                <w:sz w:val="24"/>
                <w:highlight w:val="none"/>
              </w:rPr>
            </w:pPr>
          </w:p>
          <w:p w14:paraId="094EDC08">
            <w:pPr>
              <w:pStyle w:val="2"/>
              <w:rPr>
                <w:rFonts w:hint="eastAsia"/>
                <w:color w:val="auto"/>
                <w:sz w:val="24"/>
                <w:highlight w:val="none"/>
              </w:rPr>
            </w:pPr>
          </w:p>
        </w:tc>
      </w:tr>
    </w:tbl>
    <w:p w14:paraId="499C9292">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3" w:name="_Hlk54167917"/>
      <w:r>
        <w:rPr>
          <w:rFonts w:hint="eastAsia" w:ascii="黑体" w:hAnsi="黑体" w:eastAsia="黑体"/>
          <w:snapToGrid w:val="0"/>
          <w:color w:val="auto"/>
          <w:sz w:val="30"/>
          <w:szCs w:val="30"/>
          <w:highlight w:val="none"/>
        </w:rPr>
        <w:t>环境保护措施监督检查清单</w:t>
      </w:r>
      <w:bookmarkEnd w:id="3"/>
    </w:p>
    <w:tbl>
      <w:tblPr>
        <w:tblStyle w:val="36"/>
        <w:tblW w:w="9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75"/>
        <w:gridCol w:w="1088"/>
        <w:gridCol w:w="2895"/>
        <w:gridCol w:w="2055"/>
      </w:tblGrid>
      <w:tr w14:paraId="25046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tcBorders>
              <w:tl2br w:val="single" w:color="auto" w:sz="4" w:space="0"/>
            </w:tcBorders>
          </w:tcPr>
          <w:p w14:paraId="7338DACB">
            <w:pPr>
              <w:adjustRightInd w:val="0"/>
              <w:snapToGrid w:val="0"/>
              <w:jc w:val="center"/>
              <w:rPr>
                <w:color w:val="auto"/>
                <w:szCs w:val="21"/>
                <w:highlight w:val="none"/>
              </w:rPr>
            </w:pPr>
            <w:r>
              <w:rPr>
                <w:color w:val="auto"/>
                <w:szCs w:val="21"/>
                <w:highlight w:val="none"/>
              </w:rPr>
              <w:t>内容</w:t>
            </w:r>
          </w:p>
          <w:p w14:paraId="5DBD549B">
            <w:pPr>
              <w:adjustRightInd w:val="0"/>
              <w:snapToGrid w:val="0"/>
              <w:rPr>
                <w:color w:val="auto"/>
                <w:szCs w:val="21"/>
                <w:highlight w:val="none"/>
              </w:rPr>
            </w:pPr>
            <w:r>
              <w:rPr>
                <w:rFonts w:hint="eastAsia"/>
                <w:color w:val="auto"/>
                <w:szCs w:val="21"/>
                <w:highlight w:val="none"/>
              </w:rPr>
              <w:t>要素</w:t>
            </w:r>
          </w:p>
        </w:tc>
        <w:tc>
          <w:tcPr>
            <w:tcW w:w="1575" w:type="dxa"/>
            <w:vAlign w:val="center"/>
          </w:tcPr>
          <w:p w14:paraId="31BD32D7">
            <w:pPr>
              <w:adjustRightInd w:val="0"/>
              <w:snapToGrid w:val="0"/>
              <w:jc w:val="center"/>
              <w:rPr>
                <w:color w:val="auto"/>
                <w:szCs w:val="21"/>
                <w:highlight w:val="none"/>
              </w:rPr>
            </w:pPr>
            <w:r>
              <w:rPr>
                <w:color w:val="auto"/>
                <w:szCs w:val="21"/>
                <w:highlight w:val="none"/>
              </w:rPr>
              <w:t>排放口(编号、</w:t>
            </w:r>
          </w:p>
          <w:p w14:paraId="22FAA4C9">
            <w:pPr>
              <w:adjustRightInd w:val="0"/>
              <w:snapToGrid w:val="0"/>
              <w:jc w:val="center"/>
              <w:rPr>
                <w:color w:val="auto"/>
                <w:szCs w:val="21"/>
                <w:highlight w:val="none"/>
              </w:rPr>
            </w:pPr>
            <w:r>
              <w:rPr>
                <w:color w:val="auto"/>
                <w:szCs w:val="21"/>
                <w:highlight w:val="none"/>
              </w:rPr>
              <w:t>名称)/污染源</w:t>
            </w:r>
          </w:p>
        </w:tc>
        <w:tc>
          <w:tcPr>
            <w:tcW w:w="1088" w:type="dxa"/>
            <w:vAlign w:val="center"/>
          </w:tcPr>
          <w:p w14:paraId="56C9E841">
            <w:pPr>
              <w:adjustRightInd w:val="0"/>
              <w:snapToGrid w:val="0"/>
              <w:jc w:val="center"/>
              <w:rPr>
                <w:color w:val="auto"/>
                <w:szCs w:val="21"/>
                <w:highlight w:val="none"/>
              </w:rPr>
            </w:pPr>
            <w:r>
              <w:rPr>
                <w:color w:val="auto"/>
                <w:szCs w:val="21"/>
                <w:highlight w:val="none"/>
              </w:rPr>
              <w:t>污染物</w:t>
            </w:r>
          </w:p>
          <w:p w14:paraId="24609AF9">
            <w:pPr>
              <w:adjustRightInd w:val="0"/>
              <w:snapToGrid w:val="0"/>
              <w:jc w:val="center"/>
              <w:rPr>
                <w:color w:val="auto"/>
                <w:szCs w:val="21"/>
                <w:highlight w:val="none"/>
              </w:rPr>
            </w:pPr>
            <w:r>
              <w:rPr>
                <w:color w:val="auto"/>
                <w:szCs w:val="21"/>
                <w:highlight w:val="none"/>
              </w:rPr>
              <w:t>项目</w:t>
            </w:r>
          </w:p>
        </w:tc>
        <w:tc>
          <w:tcPr>
            <w:tcW w:w="2895" w:type="dxa"/>
            <w:vAlign w:val="center"/>
          </w:tcPr>
          <w:p w14:paraId="267FB70B">
            <w:pPr>
              <w:adjustRightInd w:val="0"/>
              <w:snapToGrid w:val="0"/>
              <w:jc w:val="center"/>
              <w:rPr>
                <w:color w:val="auto"/>
                <w:szCs w:val="21"/>
                <w:highlight w:val="none"/>
              </w:rPr>
            </w:pPr>
            <w:r>
              <w:rPr>
                <w:color w:val="auto"/>
                <w:szCs w:val="21"/>
                <w:highlight w:val="none"/>
              </w:rPr>
              <w:t>环境保护措施</w:t>
            </w:r>
          </w:p>
        </w:tc>
        <w:tc>
          <w:tcPr>
            <w:tcW w:w="2055" w:type="dxa"/>
            <w:vAlign w:val="center"/>
          </w:tcPr>
          <w:p w14:paraId="15C49D73">
            <w:pPr>
              <w:adjustRightInd w:val="0"/>
              <w:snapToGrid w:val="0"/>
              <w:jc w:val="center"/>
              <w:rPr>
                <w:color w:val="auto"/>
                <w:szCs w:val="21"/>
                <w:highlight w:val="none"/>
              </w:rPr>
            </w:pPr>
            <w:r>
              <w:rPr>
                <w:rFonts w:hint="eastAsia"/>
                <w:color w:val="auto"/>
                <w:szCs w:val="21"/>
                <w:highlight w:val="none"/>
              </w:rPr>
              <w:t>执行标准</w:t>
            </w:r>
          </w:p>
        </w:tc>
      </w:tr>
      <w:tr w14:paraId="201D3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31F7A0C9">
            <w:pPr>
              <w:adjustRightInd w:val="0"/>
              <w:snapToGrid w:val="0"/>
              <w:jc w:val="center"/>
              <w:rPr>
                <w:color w:val="auto"/>
                <w:szCs w:val="21"/>
                <w:highlight w:val="none"/>
              </w:rPr>
            </w:pPr>
            <w:r>
              <w:rPr>
                <w:rFonts w:hint="eastAsia"/>
                <w:color w:val="auto"/>
                <w:szCs w:val="21"/>
                <w:highlight w:val="none"/>
              </w:rPr>
              <w:t>大气环境</w:t>
            </w:r>
          </w:p>
        </w:tc>
        <w:tc>
          <w:tcPr>
            <w:tcW w:w="1575" w:type="dxa"/>
            <w:vAlign w:val="center"/>
          </w:tcPr>
          <w:p w14:paraId="78EF82BF">
            <w:pPr>
              <w:adjustRightInd w:val="0"/>
              <w:snapToGrid w:val="0"/>
              <w:jc w:val="center"/>
              <w:rPr>
                <w:color w:val="auto"/>
                <w:szCs w:val="21"/>
                <w:highlight w:val="none"/>
              </w:rPr>
            </w:pPr>
            <w:r>
              <w:rPr>
                <w:rFonts w:hint="eastAsia"/>
                <w:color w:val="auto"/>
                <w:szCs w:val="21"/>
                <w:highlight w:val="none"/>
              </w:rPr>
              <w:t>装卸</w:t>
            </w:r>
          </w:p>
          <w:p w14:paraId="2DF4F6D5">
            <w:pPr>
              <w:adjustRightInd w:val="0"/>
              <w:snapToGrid w:val="0"/>
              <w:jc w:val="center"/>
              <w:rPr>
                <w:color w:val="auto"/>
                <w:szCs w:val="21"/>
                <w:highlight w:val="none"/>
              </w:rPr>
            </w:pPr>
            <w:r>
              <w:rPr>
                <w:rFonts w:hint="eastAsia"/>
                <w:color w:val="auto"/>
                <w:szCs w:val="21"/>
                <w:highlight w:val="none"/>
              </w:rPr>
              <w:t>堆存</w:t>
            </w:r>
          </w:p>
        </w:tc>
        <w:tc>
          <w:tcPr>
            <w:tcW w:w="1088" w:type="dxa"/>
            <w:vAlign w:val="center"/>
          </w:tcPr>
          <w:p w14:paraId="2C610DFD">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76AD53C0">
            <w:pPr>
              <w:adjustRightInd w:val="0"/>
              <w:snapToGrid w:val="0"/>
              <w:rPr>
                <w:color w:val="auto"/>
                <w:szCs w:val="21"/>
                <w:highlight w:val="none"/>
              </w:rPr>
            </w:pPr>
            <w:r>
              <w:rPr>
                <w:rFonts w:hint="eastAsia"/>
                <w:color w:val="auto"/>
                <w:szCs w:val="21"/>
                <w:highlight w:val="none"/>
              </w:rPr>
              <w:t>合理控制装卸料高度</w:t>
            </w:r>
            <w:r>
              <w:rPr>
                <w:rFonts w:hint="eastAsia"/>
                <w:color w:val="auto"/>
                <w:szCs w:val="21"/>
                <w:highlight w:val="none"/>
                <w:lang w:eastAsia="zh-CN"/>
              </w:rPr>
              <w:t>、原料区进行三面封闭</w:t>
            </w:r>
            <w:r>
              <w:rPr>
                <w:rFonts w:hint="eastAsia"/>
                <w:color w:val="auto"/>
                <w:szCs w:val="21"/>
                <w:highlight w:val="none"/>
                <w:lang w:val="en-US" w:eastAsia="zh-CN"/>
              </w:rPr>
              <w:t>+顶棚处理、成品区封闭处理。</w:t>
            </w:r>
          </w:p>
        </w:tc>
        <w:tc>
          <w:tcPr>
            <w:tcW w:w="2055" w:type="dxa"/>
            <w:vMerge w:val="restart"/>
            <w:vAlign w:val="center"/>
          </w:tcPr>
          <w:p w14:paraId="7525DE4B">
            <w:pPr>
              <w:adjustRightInd w:val="0"/>
              <w:snapToGrid w:val="0"/>
              <w:jc w:val="center"/>
              <w:rPr>
                <w:color w:val="auto"/>
                <w:szCs w:val="21"/>
                <w:highlight w:val="none"/>
              </w:rPr>
            </w:pPr>
            <w:r>
              <w:rPr>
                <w:color w:val="auto"/>
                <w:kern w:val="0"/>
                <w:szCs w:val="21"/>
                <w:highlight w:val="none"/>
              </w:rPr>
              <w:t>《大气污染物综合排放标准》（GB16297-1996）中</w:t>
            </w:r>
            <w:r>
              <w:rPr>
                <w:rFonts w:hint="eastAsia"/>
                <w:color w:val="auto"/>
                <w:kern w:val="0"/>
                <w:szCs w:val="21"/>
                <w:highlight w:val="none"/>
                <w:lang w:eastAsia="zh-CN"/>
              </w:rPr>
              <w:t>排放标准</w:t>
            </w:r>
          </w:p>
        </w:tc>
      </w:tr>
      <w:tr w14:paraId="2E795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350960D8">
            <w:pPr>
              <w:adjustRightInd w:val="0"/>
              <w:snapToGrid w:val="0"/>
              <w:jc w:val="center"/>
              <w:rPr>
                <w:rFonts w:hint="eastAsia"/>
                <w:color w:val="auto"/>
                <w:szCs w:val="21"/>
                <w:highlight w:val="none"/>
              </w:rPr>
            </w:pPr>
          </w:p>
        </w:tc>
        <w:tc>
          <w:tcPr>
            <w:tcW w:w="1575" w:type="dxa"/>
            <w:vAlign w:val="center"/>
          </w:tcPr>
          <w:p w14:paraId="111499DE">
            <w:pPr>
              <w:adjustRightInd w:val="0"/>
              <w:snapToGrid w:val="0"/>
              <w:jc w:val="center"/>
              <w:rPr>
                <w:rFonts w:hint="eastAsia"/>
                <w:color w:val="auto"/>
                <w:szCs w:val="21"/>
                <w:highlight w:val="none"/>
              </w:rPr>
            </w:pPr>
            <w:r>
              <w:rPr>
                <w:rFonts w:hint="eastAsia"/>
                <w:color w:val="auto"/>
                <w:szCs w:val="21"/>
                <w:highlight w:val="none"/>
              </w:rPr>
              <w:t>运输</w:t>
            </w:r>
          </w:p>
        </w:tc>
        <w:tc>
          <w:tcPr>
            <w:tcW w:w="1088" w:type="dxa"/>
            <w:vAlign w:val="center"/>
          </w:tcPr>
          <w:p w14:paraId="5693F98C">
            <w:pPr>
              <w:adjustRightInd w:val="0"/>
              <w:snapToGrid w:val="0"/>
              <w:jc w:val="center"/>
              <w:rPr>
                <w:rFonts w:hint="eastAsia"/>
                <w:color w:val="auto"/>
                <w:szCs w:val="21"/>
                <w:highlight w:val="none"/>
              </w:rPr>
            </w:pPr>
            <w:r>
              <w:rPr>
                <w:rFonts w:hint="eastAsia"/>
                <w:color w:val="auto"/>
                <w:szCs w:val="21"/>
                <w:highlight w:val="none"/>
              </w:rPr>
              <w:t>颗粒物</w:t>
            </w:r>
          </w:p>
        </w:tc>
        <w:tc>
          <w:tcPr>
            <w:tcW w:w="2895" w:type="dxa"/>
            <w:vAlign w:val="center"/>
          </w:tcPr>
          <w:p w14:paraId="110301DC">
            <w:pPr>
              <w:adjustRightInd w:val="0"/>
              <w:snapToGrid w:val="0"/>
              <w:rPr>
                <w:rFonts w:hint="eastAsia" w:eastAsia="宋体"/>
                <w:color w:val="auto"/>
                <w:szCs w:val="21"/>
                <w:highlight w:val="none"/>
                <w:lang w:eastAsia="zh-CN"/>
              </w:rPr>
            </w:pPr>
            <w:r>
              <w:rPr>
                <w:rFonts w:hint="eastAsia"/>
                <w:color w:val="auto"/>
                <w:szCs w:val="21"/>
                <w:highlight w:val="none"/>
              </w:rPr>
              <w:t>车辆冲洗、道路洒水等措施</w:t>
            </w:r>
            <w:r>
              <w:rPr>
                <w:rFonts w:hint="eastAsia"/>
                <w:color w:val="auto"/>
                <w:szCs w:val="21"/>
                <w:highlight w:val="none"/>
                <w:lang w:eastAsia="zh-CN"/>
              </w:rPr>
              <w:t>。</w:t>
            </w:r>
          </w:p>
        </w:tc>
        <w:tc>
          <w:tcPr>
            <w:tcW w:w="2055" w:type="dxa"/>
            <w:vMerge w:val="continue"/>
            <w:vAlign w:val="center"/>
          </w:tcPr>
          <w:p w14:paraId="26C675A1">
            <w:pPr>
              <w:adjustRightInd w:val="0"/>
              <w:snapToGrid w:val="0"/>
              <w:jc w:val="center"/>
              <w:rPr>
                <w:color w:val="auto"/>
                <w:kern w:val="0"/>
                <w:szCs w:val="21"/>
                <w:highlight w:val="none"/>
              </w:rPr>
            </w:pPr>
          </w:p>
        </w:tc>
      </w:tr>
      <w:tr w14:paraId="70A1A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00701B20">
            <w:pPr>
              <w:adjustRightInd w:val="0"/>
              <w:snapToGrid w:val="0"/>
              <w:jc w:val="center"/>
              <w:rPr>
                <w:color w:val="auto"/>
                <w:szCs w:val="21"/>
                <w:highlight w:val="none"/>
              </w:rPr>
            </w:pPr>
          </w:p>
        </w:tc>
        <w:tc>
          <w:tcPr>
            <w:tcW w:w="1575" w:type="dxa"/>
            <w:vAlign w:val="center"/>
          </w:tcPr>
          <w:p w14:paraId="0CC1FD28">
            <w:pPr>
              <w:adjustRightInd w:val="0"/>
              <w:snapToGrid w:val="0"/>
              <w:jc w:val="center"/>
              <w:rPr>
                <w:color w:val="auto"/>
                <w:szCs w:val="21"/>
                <w:highlight w:val="none"/>
              </w:rPr>
            </w:pPr>
            <w:r>
              <w:rPr>
                <w:rFonts w:hint="eastAsia"/>
                <w:color w:val="auto"/>
                <w:szCs w:val="21"/>
                <w:highlight w:val="none"/>
                <w:lang w:eastAsia="zh-CN"/>
              </w:rPr>
              <w:t>破碎、制砂、筛分和雷蒙（彩砂及钙粉生产线）</w:t>
            </w:r>
          </w:p>
        </w:tc>
        <w:tc>
          <w:tcPr>
            <w:tcW w:w="1088" w:type="dxa"/>
            <w:vAlign w:val="center"/>
          </w:tcPr>
          <w:p w14:paraId="6D196EDA">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3FE14AD1">
            <w:pPr>
              <w:adjustRightInd w:val="0"/>
              <w:snapToGrid w:val="0"/>
              <w:rPr>
                <w:rFonts w:ascii="宋体" w:hAnsi="宋体" w:cs="宋体"/>
                <w:color w:val="auto"/>
                <w:szCs w:val="21"/>
                <w:highlight w:val="none"/>
              </w:rPr>
            </w:pPr>
            <w:r>
              <w:rPr>
                <w:rFonts w:hint="eastAsia" w:cs="Times New Roman"/>
                <w:color w:val="auto"/>
                <w:sz w:val="21"/>
                <w:szCs w:val="21"/>
                <w:highlight w:val="none"/>
                <w:lang w:val="en-US" w:eastAsia="zh-CN" w:bidi="ar"/>
              </w:rPr>
              <w:t>各产尘点均布置有集气设施，统一收集后经车间</w:t>
            </w:r>
            <w:r>
              <w:rPr>
                <w:rFonts w:hint="default" w:ascii="Times New Roman" w:hAnsi="Times New Roman" w:eastAsia="宋体" w:cs="Times New Roman"/>
                <w:color w:val="auto"/>
                <w:sz w:val="21"/>
                <w:szCs w:val="21"/>
                <w:highlight w:val="none"/>
                <w:lang w:val="en-US" w:eastAsia="zh-CN" w:bidi="ar"/>
              </w:rPr>
              <w:t>中央布袋除尘器</w:t>
            </w:r>
            <w:r>
              <w:rPr>
                <w:rFonts w:hint="eastAsia" w:cs="Times New Roman"/>
                <w:color w:val="auto"/>
                <w:sz w:val="21"/>
                <w:szCs w:val="21"/>
                <w:highlight w:val="none"/>
                <w:lang w:val="en-US" w:eastAsia="zh-CN" w:bidi="ar"/>
              </w:rPr>
              <w:t>处理后通过</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r>
              <w:rPr>
                <w:rFonts w:hint="eastAsia" w:ascii="Times New Roman" w:hAnsi="Times New Roman" w:eastAsia="宋体" w:cs="Times New Roman"/>
                <w:color w:val="auto"/>
                <w:sz w:val="21"/>
                <w:szCs w:val="21"/>
                <w:highlight w:val="none"/>
                <w:lang w:val="en-US" w:eastAsia="zh-CN" w:bidi="ar"/>
              </w:rPr>
              <w:t>。</w:t>
            </w:r>
          </w:p>
        </w:tc>
        <w:tc>
          <w:tcPr>
            <w:tcW w:w="2055" w:type="dxa"/>
            <w:vMerge w:val="continue"/>
            <w:vAlign w:val="center"/>
          </w:tcPr>
          <w:p w14:paraId="1EC270AD">
            <w:pPr>
              <w:adjustRightInd w:val="0"/>
              <w:snapToGrid w:val="0"/>
              <w:jc w:val="center"/>
              <w:rPr>
                <w:color w:val="auto"/>
                <w:kern w:val="0"/>
                <w:szCs w:val="21"/>
                <w:highlight w:val="none"/>
              </w:rPr>
            </w:pPr>
          </w:p>
        </w:tc>
      </w:tr>
      <w:tr w14:paraId="6BFDF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6F859CDD">
            <w:pPr>
              <w:adjustRightInd w:val="0"/>
              <w:snapToGrid w:val="0"/>
              <w:jc w:val="center"/>
              <w:rPr>
                <w:color w:val="auto"/>
                <w:szCs w:val="21"/>
                <w:highlight w:val="none"/>
              </w:rPr>
            </w:pPr>
          </w:p>
        </w:tc>
        <w:tc>
          <w:tcPr>
            <w:tcW w:w="1575" w:type="dxa"/>
            <w:vAlign w:val="center"/>
          </w:tcPr>
          <w:p w14:paraId="468531FD">
            <w:pPr>
              <w:adjustRightInd w:val="0"/>
              <w:snapToGrid w:val="0"/>
              <w:jc w:val="center"/>
              <w:rPr>
                <w:rFonts w:hint="default" w:eastAsia="宋体"/>
                <w:color w:val="auto"/>
                <w:szCs w:val="21"/>
                <w:highlight w:val="none"/>
                <w:lang w:val="en-US" w:eastAsia="zh-CN"/>
              </w:rPr>
            </w:pPr>
            <w:r>
              <w:rPr>
                <w:rFonts w:hint="eastAsia"/>
                <w:color w:val="auto"/>
                <w:szCs w:val="21"/>
                <w:highlight w:val="none"/>
                <w:lang w:eastAsia="zh-CN"/>
              </w:rPr>
              <w:t>搅拌</w:t>
            </w:r>
            <w:r>
              <w:rPr>
                <w:rFonts w:hint="eastAsia"/>
                <w:color w:val="auto"/>
                <w:szCs w:val="21"/>
                <w:highlight w:val="none"/>
                <w:lang w:val="en-US" w:eastAsia="zh-CN"/>
              </w:rPr>
              <w:t>+包装（腻子粉及石膏粉生产线）</w:t>
            </w:r>
          </w:p>
        </w:tc>
        <w:tc>
          <w:tcPr>
            <w:tcW w:w="1088" w:type="dxa"/>
            <w:vAlign w:val="center"/>
          </w:tcPr>
          <w:p w14:paraId="43B5C5F6">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0406B02E">
            <w:pPr>
              <w:adjustRightInd w:val="0"/>
              <w:snapToGrid w:val="0"/>
              <w:rPr>
                <w:color w:val="auto"/>
                <w:szCs w:val="21"/>
                <w:highlight w:val="none"/>
              </w:rPr>
            </w:pPr>
            <w:r>
              <w:rPr>
                <w:rFonts w:hint="eastAsia" w:cs="Times New Roman"/>
                <w:color w:val="auto"/>
                <w:sz w:val="21"/>
                <w:szCs w:val="21"/>
                <w:highlight w:val="none"/>
                <w:lang w:val="en-US" w:eastAsia="zh-CN" w:bidi="ar"/>
              </w:rPr>
              <w:t>粉尘经集气设施收集后，通过布袋除尘器处理后经</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（DA002）</w:t>
            </w:r>
            <w:r>
              <w:rPr>
                <w:rFonts w:hint="default" w:ascii="Times New Roman" w:hAnsi="Times New Roman" w:eastAsia="宋体" w:cs="Times New Roman"/>
                <w:color w:val="auto"/>
                <w:sz w:val="21"/>
                <w:szCs w:val="21"/>
                <w:highlight w:val="none"/>
                <w:lang w:val="en-US" w:eastAsia="zh-CN" w:bidi="ar"/>
              </w:rPr>
              <w:t>排放</w:t>
            </w:r>
            <w:r>
              <w:rPr>
                <w:rFonts w:hint="eastAsia" w:cs="Times New Roman"/>
                <w:color w:val="auto"/>
                <w:sz w:val="21"/>
                <w:szCs w:val="21"/>
                <w:highlight w:val="none"/>
                <w:lang w:val="en-US" w:eastAsia="zh-CN" w:bidi="ar"/>
              </w:rPr>
              <w:t>。</w:t>
            </w:r>
          </w:p>
        </w:tc>
        <w:tc>
          <w:tcPr>
            <w:tcW w:w="2055" w:type="dxa"/>
            <w:vMerge w:val="restart"/>
            <w:vAlign w:val="center"/>
          </w:tcPr>
          <w:p w14:paraId="28393C1E">
            <w:pPr>
              <w:adjustRightInd w:val="0"/>
              <w:snapToGrid w:val="0"/>
              <w:jc w:val="center"/>
              <w:rPr>
                <w:color w:val="auto"/>
                <w:szCs w:val="21"/>
                <w:highlight w:val="none"/>
              </w:rPr>
            </w:pPr>
            <w:r>
              <w:rPr>
                <w:rFonts w:hint="eastAsia" w:ascii="Times New Roman" w:hAnsi="Times New Roman"/>
                <w:color w:val="auto"/>
                <w:szCs w:val="24"/>
                <w:highlight w:val="none"/>
                <w:lang w:eastAsia="zh-CN"/>
              </w:rPr>
              <w:t>《水泥工业大气污染物排放标准》（GB4915-2013）中排放标准</w:t>
            </w:r>
          </w:p>
        </w:tc>
      </w:tr>
      <w:tr w14:paraId="654C9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27DD0C9C">
            <w:pPr>
              <w:adjustRightInd w:val="0"/>
              <w:snapToGrid w:val="0"/>
              <w:jc w:val="center"/>
              <w:rPr>
                <w:color w:val="auto"/>
                <w:szCs w:val="21"/>
                <w:highlight w:val="none"/>
              </w:rPr>
            </w:pPr>
          </w:p>
        </w:tc>
        <w:tc>
          <w:tcPr>
            <w:tcW w:w="1575" w:type="dxa"/>
            <w:vAlign w:val="center"/>
          </w:tcPr>
          <w:p w14:paraId="42A7907B">
            <w:pPr>
              <w:adjustRightInd w:val="0"/>
              <w:snapToGrid w:val="0"/>
              <w:jc w:val="center"/>
              <w:rPr>
                <w:rFonts w:hint="eastAsia"/>
                <w:color w:val="auto"/>
                <w:szCs w:val="21"/>
                <w:highlight w:val="none"/>
                <w:lang w:eastAsia="zh-CN"/>
              </w:rPr>
            </w:pPr>
            <w:r>
              <w:rPr>
                <w:rFonts w:hint="eastAsia"/>
                <w:color w:val="auto"/>
                <w:szCs w:val="21"/>
                <w:highlight w:val="none"/>
                <w:lang w:eastAsia="zh-CN"/>
              </w:rPr>
              <w:t>搅拌</w:t>
            </w:r>
            <w:r>
              <w:rPr>
                <w:rFonts w:hint="eastAsia"/>
                <w:color w:val="auto"/>
                <w:szCs w:val="21"/>
                <w:highlight w:val="none"/>
                <w:lang w:val="en-US" w:eastAsia="zh-CN"/>
              </w:rPr>
              <w:t>+包装（砂浆生产线）</w:t>
            </w:r>
          </w:p>
        </w:tc>
        <w:tc>
          <w:tcPr>
            <w:tcW w:w="1088" w:type="dxa"/>
            <w:vAlign w:val="center"/>
          </w:tcPr>
          <w:p w14:paraId="64D7228D">
            <w:pPr>
              <w:adjustRightInd w:val="0"/>
              <w:snapToGrid w:val="0"/>
              <w:jc w:val="center"/>
              <w:rPr>
                <w:rFonts w:hint="eastAsia"/>
                <w:color w:val="auto"/>
                <w:szCs w:val="21"/>
                <w:highlight w:val="none"/>
              </w:rPr>
            </w:pPr>
            <w:r>
              <w:rPr>
                <w:rFonts w:hint="eastAsia"/>
                <w:color w:val="auto"/>
                <w:szCs w:val="21"/>
                <w:highlight w:val="none"/>
              </w:rPr>
              <w:t>颗粒物</w:t>
            </w:r>
          </w:p>
        </w:tc>
        <w:tc>
          <w:tcPr>
            <w:tcW w:w="2895" w:type="dxa"/>
            <w:vAlign w:val="center"/>
          </w:tcPr>
          <w:p w14:paraId="68465F52">
            <w:pPr>
              <w:adjustRightInd w:val="0"/>
              <w:snapToGrid w:val="0"/>
              <w:rPr>
                <w:rFonts w:hint="eastAsia"/>
                <w:color w:val="auto"/>
                <w:szCs w:val="21"/>
                <w:highlight w:val="none"/>
              </w:rPr>
            </w:pPr>
            <w:r>
              <w:rPr>
                <w:rFonts w:hint="eastAsia" w:cs="Times New Roman"/>
                <w:color w:val="auto"/>
                <w:sz w:val="21"/>
                <w:szCs w:val="21"/>
                <w:highlight w:val="none"/>
                <w:lang w:val="en-US" w:eastAsia="zh-CN" w:bidi="ar"/>
              </w:rPr>
              <w:t>粉尘经集气设施收集后，通过布袋除尘器处理后经</w:t>
            </w:r>
            <w:r>
              <w:rPr>
                <w:rFonts w:hint="default" w:ascii="Times New Roman" w:hAnsi="Times New Roman" w:eastAsia="宋体" w:cs="Times New Roman"/>
                <w:color w:val="auto"/>
                <w:sz w:val="21"/>
                <w:szCs w:val="21"/>
                <w:highlight w:val="none"/>
                <w:lang w:val="en-US" w:eastAsia="zh-CN" w:bidi="ar"/>
              </w:rPr>
              <w:t>1根15m排气筒</w:t>
            </w:r>
            <w:r>
              <w:rPr>
                <w:rFonts w:hint="eastAsia" w:cs="Times New Roman"/>
                <w:color w:val="auto"/>
                <w:sz w:val="21"/>
                <w:szCs w:val="21"/>
                <w:highlight w:val="none"/>
                <w:lang w:val="en-US" w:eastAsia="zh-CN" w:bidi="ar"/>
              </w:rPr>
              <w:t>（DA003）</w:t>
            </w:r>
            <w:r>
              <w:rPr>
                <w:rFonts w:hint="default" w:ascii="Times New Roman" w:hAnsi="Times New Roman" w:eastAsia="宋体" w:cs="Times New Roman"/>
                <w:color w:val="auto"/>
                <w:sz w:val="21"/>
                <w:szCs w:val="21"/>
                <w:highlight w:val="none"/>
                <w:lang w:val="en-US" w:eastAsia="zh-CN" w:bidi="ar"/>
              </w:rPr>
              <w:t>排放</w:t>
            </w:r>
            <w:r>
              <w:rPr>
                <w:rFonts w:hint="eastAsia" w:ascii="Times New Roman" w:hAnsi="Times New Roman" w:eastAsia="宋体" w:cs="Times New Roman"/>
                <w:color w:val="auto"/>
                <w:sz w:val="21"/>
                <w:szCs w:val="21"/>
                <w:highlight w:val="none"/>
                <w:lang w:val="en-US" w:eastAsia="zh-CN" w:bidi="ar"/>
              </w:rPr>
              <w:t>。</w:t>
            </w:r>
          </w:p>
        </w:tc>
        <w:tc>
          <w:tcPr>
            <w:tcW w:w="2055" w:type="dxa"/>
            <w:vMerge w:val="continue"/>
            <w:vAlign w:val="center"/>
          </w:tcPr>
          <w:p w14:paraId="0E8E03AE">
            <w:pPr>
              <w:adjustRightInd w:val="0"/>
              <w:snapToGrid w:val="0"/>
              <w:jc w:val="center"/>
              <w:rPr>
                <w:color w:val="auto"/>
                <w:szCs w:val="21"/>
                <w:highlight w:val="none"/>
              </w:rPr>
            </w:pPr>
          </w:p>
        </w:tc>
      </w:tr>
      <w:tr w14:paraId="6ECE2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1A743698">
            <w:pPr>
              <w:adjustRightInd w:val="0"/>
              <w:snapToGrid w:val="0"/>
              <w:jc w:val="center"/>
              <w:rPr>
                <w:color w:val="auto"/>
                <w:szCs w:val="21"/>
                <w:highlight w:val="none"/>
              </w:rPr>
            </w:pPr>
            <w:r>
              <w:rPr>
                <w:rFonts w:hint="eastAsia"/>
                <w:color w:val="auto"/>
                <w:szCs w:val="21"/>
                <w:highlight w:val="none"/>
              </w:rPr>
              <w:t>地表水环境</w:t>
            </w:r>
          </w:p>
        </w:tc>
        <w:tc>
          <w:tcPr>
            <w:tcW w:w="1575" w:type="dxa"/>
            <w:vAlign w:val="center"/>
          </w:tcPr>
          <w:p w14:paraId="3EC29292">
            <w:pPr>
              <w:adjustRightInd w:val="0"/>
              <w:snapToGrid w:val="0"/>
              <w:jc w:val="center"/>
              <w:rPr>
                <w:color w:val="auto"/>
                <w:szCs w:val="21"/>
                <w:highlight w:val="none"/>
              </w:rPr>
            </w:pPr>
            <w:r>
              <w:rPr>
                <w:rFonts w:hint="eastAsia"/>
                <w:color w:val="auto"/>
                <w:szCs w:val="21"/>
                <w:highlight w:val="none"/>
              </w:rPr>
              <w:t>车辆冲洗</w:t>
            </w:r>
          </w:p>
        </w:tc>
        <w:tc>
          <w:tcPr>
            <w:tcW w:w="1088" w:type="dxa"/>
            <w:vAlign w:val="center"/>
          </w:tcPr>
          <w:p w14:paraId="1035F576">
            <w:pPr>
              <w:adjustRightInd w:val="0"/>
              <w:snapToGrid w:val="0"/>
              <w:jc w:val="center"/>
              <w:rPr>
                <w:color w:val="auto"/>
                <w:szCs w:val="21"/>
                <w:highlight w:val="none"/>
              </w:rPr>
            </w:pPr>
            <w:r>
              <w:rPr>
                <w:rFonts w:hint="eastAsia"/>
                <w:color w:val="auto"/>
                <w:szCs w:val="21"/>
                <w:highlight w:val="none"/>
              </w:rPr>
              <w:t>洗车废水</w:t>
            </w:r>
          </w:p>
        </w:tc>
        <w:tc>
          <w:tcPr>
            <w:tcW w:w="2895" w:type="dxa"/>
            <w:vAlign w:val="center"/>
          </w:tcPr>
          <w:p w14:paraId="2453F59F">
            <w:pPr>
              <w:adjustRightInd w:val="0"/>
              <w:snapToGrid w:val="0"/>
              <w:rPr>
                <w:color w:val="auto"/>
                <w:szCs w:val="21"/>
                <w:highlight w:val="none"/>
              </w:rPr>
            </w:pPr>
            <w:r>
              <w:rPr>
                <w:rFonts w:hint="eastAsia"/>
                <w:color w:val="auto"/>
                <w:szCs w:val="21"/>
                <w:highlight w:val="none"/>
              </w:rPr>
              <w:t>出入厂道路硬化，</w:t>
            </w:r>
            <w:r>
              <w:rPr>
                <w:rFonts w:hint="eastAsia"/>
                <w:color w:val="auto"/>
                <w:szCs w:val="21"/>
                <w:highlight w:val="none"/>
                <w:lang w:eastAsia="zh-CN"/>
              </w:rPr>
              <w:t>经</w:t>
            </w:r>
            <w:r>
              <w:rPr>
                <w:rFonts w:hint="eastAsia"/>
                <w:color w:val="auto"/>
                <w:szCs w:val="21"/>
                <w:highlight w:val="none"/>
              </w:rPr>
              <w:t>现有洗车台+沉淀池（</w:t>
            </w:r>
            <w:r>
              <w:rPr>
                <w:rFonts w:hint="eastAsia"/>
                <w:color w:val="auto"/>
                <w:szCs w:val="21"/>
                <w:highlight w:val="none"/>
                <w:lang w:val="en-US" w:eastAsia="zh-CN"/>
              </w:rPr>
              <w:t>6</w:t>
            </w:r>
            <w:r>
              <w:rPr>
                <w:color w:val="auto"/>
                <w:szCs w:val="21"/>
                <w:highlight w:val="none"/>
              </w:rPr>
              <w:t>m</w:t>
            </w:r>
            <w:r>
              <w:rPr>
                <w:color w:val="auto"/>
                <w:szCs w:val="21"/>
                <w:highlight w:val="none"/>
                <w:vertAlign w:val="superscript"/>
              </w:rPr>
              <w:t>3</w:t>
            </w:r>
            <w:r>
              <w:rPr>
                <w:rFonts w:hint="eastAsia"/>
                <w:color w:val="auto"/>
                <w:szCs w:val="21"/>
                <w:highlight w:val="none"/>
              </w:rPr>
              <w:t>）处理后回用。</w:t>
            </w:r>
          </w:p>
        </w:tc>
        <w:tc>
          <w:tcPr>
            <w:tcW w:w="2055" w:type="dxa"/>
            <w:vAlign w:val="center"/>
          </w:tcPr>
          <w:p w14:paraId="6712529B">
            <w:pPr>
              <w:adjustRightInd w:val="0"/>
              <w:snapToGrid w:val="0"/>
              <w:jc w:val="center"/>
              <w:rPr>
                <w:color w:val="auto"/>
                <w:szCs w:val="21"/>
                <w:highlight w:val="none"/>
              </w:rPr>
            </w:pPr>
            <w:r>
              <w:rPr>
                <w:rFonts w:hint="eastAsia"/>
                <w:color w:val="auto"/>
                <w:szCs w:val="21"/>
                <w:highlight w:val="none"/>
              </w:rPr>
              <w:t>循环利用</w:t>
            </w:r>
          </w:p>
          <w:p w14:paraId="5D9DB55D">
            <w:pPr>
              <w:adjustRightInd w:val="0"/>
              <w:snapToGrid w:val="0"/>
              <w:jc w:val="center"/>
              <w:rPr>
                <w:color w:val="auto"/>
                <w:szCs w:val="21"/>
                <w:highlight w:val="none"/>
              </w:rPr>
            </w:pPr>
            <w:r>
              <w:rPr>
                <w:rFonts w:hint="eastAsia"/>
                <w:color w:val="auto"/>
                <w:szCs w:val="21"/>
                <w:highlight w:val="none"/>
              </w:rPr>
              <w:t>不外排</w:t>
            </w:r>
          </w:p>
        </w:tc>
      </w:tr>
      <w:tr w14:paraId="25A9F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71A9C32F">
            <w:pPr>
              <w:adjustRightInd w:val="0"/>
              <w:snapToGrid w:val="0"/>
              <w:jc w:val="center"/>
              <w:rPr>
                <w:color w:val="auto"/>
                <w:szCs w:val="21"/>
                <w:highlight w:val="none"/>
              </w:rPr>
            </w:pPr>
          </w:p>
        </w:tc>
        <w:tc>
          <w:tcPr>
            <w:tcW w:w="1575" w:type="dxa"/>
            <w:vAlign w:val="center"/>
          </w:tcPr>
          <w:p w14:paraId="7E25754E">
            <w:pPr>
              <w:adjustRightInd w:val="0"/>
              <w:snapToGrid w:val="0"/>
              <w:jc w:val="center"/>
              <w:rPr>
                <w:color w:val="auto"/>
                <w:szCs w:val="21"/>
                <w:highlight w:val="none"/>
              </w:rPr>
            </w:pPr>
            <w:r>
              <w:rPr>
                <w:rFonts w:hint="eastAsia"/>
                <w:color w:val="auto"/>
                <w:szCs w:val="21"/>
                <w:highlight w:val="none"/>
              </w:rPr>
              <w:t>办公区</w:t>
            </w:r>
          </w:p>
        </w:tc>
        <w:tc>
          <w:tcPr>
            <w:tcW w:w="1088" w:type="dxa"/>
            <w:vAlign w:val="center"/>
          </w:tcPr>
          <w:p w14:paraId="0861C630">
            <w:pPr>
              <w:adjustRightInd w:val="0"/>
              <w:snapToGrid w:val="0"/>
              <w:jc w:val="center"/>
              <w:rPr>
                <w:color w:val="auto"/>
                <w:szCs w:val="21"/>
                <w:highlight w:val="none"/>
              </w:rPr>
            </w:pPr>
            <w:r>
              <w:rPr>
                <w:rFonts w:hint="eastAsia"/>
                <w:color w:val="auto"/>
                <w:szCs w:val="21"/>
                <w:highlight w:val="none"/>
              </w:rPr>
              <w:t>生活污水</w:t>
            </w:r>
          </w:p>
        </w:tc>
        <w:tc>
          <w:tcPr>
            <w:tcW w:w="2895" w:type="dxa"/>
            <w:vAlign w:val="center"/>
          </w:tcPr>
          <w:p w14:paraId="7E18ABC7">
            <w:pPr>
              <w:pStyle w:val="10"/>
              <w:ind w:left="0" w:leftChars="0" w:firstLine="0" w:firstLineChars="0"/>
              <w:rPr>
                <w:color w:val="auto"/>
                <w:szCs w:val="21"/>
                <w:highlight w:val="none"/>
              </w:rPr>
            </w:pPr>
            <w:r>
              <w:rPr>
                <w:rFonts w:hint="default" w:ascii="Times New Roman" w:hAnsi="Times New Roman" w:eastAsia="宋体" w:cs="Times New Roman"/>
                <w:color w:val="auto"/>
                <w:sz w:val="21"/>
                <w:szCs w:val="21"/>
                <w:highlight w:val="none"/>
                <w:lang w:bidi="ar"/>
              </w:rPr>
              <w:t>餐饮废水经油水分离器处理后，同生活污水一起排入厂区化粪池</w:t>
            </w:r>
            <w:r>
              <w:rPr>
                <w:rFonts w:hint="eastAsia" w:ascii="Times New Roman" w:hAnsi="Times New Roman" w:eastAsia="宋体" w:cs="Times New Roman"/>
                <w:color w:val="auto"/>
                <w:sz w:val="21"/>
                <w:szCs w:val="21"/>
                <w:highlight w:val="none"/>
                <w:lang w:eastAsia="zh-CN" w:bidi="ar"/>
              </w:rPr>
              <w:t>（</w:t>
            </w:r>
            <w:r>
              <w:rPr>
                <w:rFonts w:hint="eastAsia" w:ascii="Times New Roman" w:hAnsi="Times New Roman" w:eastAsia="宋体" w:cs="Times New Roman"/>
                <w:color w:val="auto"/>
                <w:sz w:val="21"/>
                <w:szCs w:val="21"/>
                <w:highlight w:val="none"/>
                <w:lang w:val="en-US" w:eastAsia="zh-CN" w:bidi="ar"/>
              </w:rPr>
              <w:t>4.5</w:t>
            </w:r>
            <w:r>
              <w:rPr>
                <w:color w:val="auto"/>
                <w:szCs w:val="21"/>
                <w:highlight w:val="none"/>
              </w:rPr>
              <w:t>m</w:t>
            </w:r>
            <w:r>
              <w:rPr>
                <w:color w:val="auto"/>
                <w:szCs w:val="21"/>
                <w:highlight w:val="none"/>
                <w:vertAlign w:val="superscript"/>
              </w:rPr>
              <w:t>3</w:t>
            </w:r>
            <w:r>
              <w:rPr>
                <w:rFonts w:hint="eastAsia"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，处理后用于周边</w:t>
            </w:r>
            <w:r>
              <w:rPr>
                <w:rFonts w:hint="eastAsia" w:cs="Times New Roman"/>
                <w:color w:val="auto"/>
                <w:sz w:val="21"/>
                <w:szCs w:val="21"/>
                <w:highlight w:val="none"/>
                <w:lang w:val="en-US" w:eastAsia="zh-CN" w:bidi="ar"/>
              </w:rPr>
              <w:t>农田施肥。</w:t>
            </w:r>
          </w:p>
        </w:tc>
        <w:tc>
          <w:tcPr>
            <w:tcW w:w="2055" w:type="dxa"/>
            <w:vAlign w:val="center"/>
          </w:tcPr>
          <w:p w14:paraId="56B59572">
            <w:pPr>
              <w:adjustRightInd w:val="0"/>
              <w:snapToGrid w:val="0"/>
              <w:jc w:val="center"/>
              <w:rPr>
                <w:color w:val="auto"/>
                <w:szCs w:val="21"/>
                <w:highlight w:val="none"/>
              </w:rPr>
            </w:pPr>
            <w:r>
              <w:rPr>
                <w:rFonts w:hint="eastAsia"/>
                <w:color w:val="auto"/>
                <w:szCs w:val="21"/>
                <w:highlight w:val="none"/>
              </w:rPr>
              <w:t>综合利用</w:t>
            </w:r>
          </w:p>
          <w:p w14:paraId="5F522E20">
            <w:pPr>
              <w:adjustRightInd w:val="0"/>
              <w:snapToGrid w:val="0"/>
              <w:jc w:val="center"/>
              <w:rPr>
                <w:color w:val="auto"/>
                <w:szCs w:val="21"/>
                <w:highlight w:val="none"/>
              </w:rPr>
            </w:pPr>
            <w:r>
              <w:rPr>
                <w:rFonts w:hint="eastAsia"/>
                <w:color w:val="auto"/>
                <w:szCs w:val="21"/>
                <w:highlight w:val="none"/>
              </w:rPr>
              <w:t>不外排</w:t>
            </w:r>
          </w:p>
        </w:tc>
      </w:tr>
      <w:tr w14:paraId="26CAE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290D1F32">
            <w:pPr>
              <w:adjustRightInd w:val="0"/>
              <w:snapToGrid w:val="0"/>
              <w:jc w:val="center"/>
              <w:rPr>
                <w:color w:val="auto"/>
                <w:szCs w:val="21"/>
                <w:highlight w:val="none"/>
              </w:rPr>
            </w:pPr>
            <w:r>
              <w:rPr>
                <w:rFonts w:hint="eastAsia"/>
                <w:color w:val="auto"/>
                <w:szCs w:val="21"/>
                <w:highlight w:val="none"/>
              </w:rPr>
              <w:t>声环境</w:t>
            </w:r>
          </w:p>
        </w:tc>
        <w:tc>
          <w:tcPr>
            <w:tcW w:w="1575" w:type="dxa"/>
            <w:vAlign w:val="center"/>
          </w:tcPr>
          <w:p w14:paraId="41211A9E">
            <w:pPr>
              <w:adjustRightInd w:val="0"/>
              <w:snapToGrid w:val="0"/>
              <w:jc w:val="center"/>
              <w:rPr>
                <w:color w:val="auto"/>
                <w:szCs w:val="21"/>
                <w:highlight w:val="none"/>
              </w:rPr>
            </w:pPr>
            <w:r>
              <w:rPr>
                <w:rFonts w:hint="eastAsia"/>
                <w:color w:val="auto"/>
                <w:szCs w:val="21"/>
                <w:highlight w:val="none"/>
              </w:rPr>
              <w:t>生产过程</w:t>
            </w:r>
          </w:p>
        </w:tc>
        <w:tc>
          <w:tcPr>
            <w:tcW w:w="1088" w:type="dxa"/>
            <w:vAlign w:val="center"/>
          </w:tcPr>
          <w:p w14:paraId="00A729B3">
            <w:pPr>
              <w:adjustRightInd w:val="0"/>
              <w:snapToGrid w:val="0"/>
              <w:jc w:val="center"/>
              <w:rPr>
                <w:color w:val="auto"/>
                <w:szCs w:val="21"/>
                <w:highlight w:val="none"/>
              </w:rPr>
            </w:pPr>
            <w:r>
              <w:rPr>
                <w:rFonts w:hint="eastAsia"/>
                <w:color w:val="auto"/>
                <w:szCs w:val="21"/>
                <w:highlight w:val="none"/>
              </w:rPr>
              <w:t>生产噪声</w:t>
            </w:r>
          </w:p>
        </w:tc>
        <w:tc>
          <w:tcPr>
            <w:tcW w:w="2895" w:type="dxa"/>
            <w:vAlign w:val="center"/>
          </w:tcPr>
          <w:p w14:paraId="62C60AC0">
            <w:pPr>
              <w:adjustRightInd w:val="0"/>
              <w:snapToGrid w:val="0"/>
              <w:rPr>
                <w:color w:val="auto"/>
                <w:szCs w:val="21"/>
                <w:highlight w:val="none"/>
              </w:rPr>
            </w:pPr>
            <w:r>
              <w:rPr>
                <w:rFonts w:hint="default" w:ascii="Times New Roman" w:hAnsi="Times New Roman" w:eastAsia="宋体" w:cs="Times New Roman"/>
                <w:color w:val="auto"/>
                <w:sz w:val="21"/>
                <w:szCs w:val="21"/>
                <w:highlight w:val="none"/>
                <w:lang w:bidi="ar"/>
              </w:rPr>
              <w:t>采用低噪声设备，</w:t>
            </w:r>
            <w:r>
              <w:rPr>
                <w:rFonts w:hint="eastAsia" w:cs="Times New Roman"/>
                <w:color w:val="auto"/>
                <w:sz w:val="21"/>
                <w:szCs w:val="21"/>
                <w:highlight w:val="none"/>
                <w:lang w:eastAsia="zh-CN" w:bidi="ar"/>
              </w:rPr>
              <w:t>并</w:t>
            </w:r>
            <w:r>
              <w:rPr>
                <w:rFonts w:hint="default" w:ascii="Times New Roman" w:hAnsi="Times New Roman" w:eastAsia="宋体" w:cs="Times New Roman"/>
                <w:color w:val="auto"/>
                <w:sz w:val="21"/>
                <w:szCs w:val="21"/>
                <w:highlight w:val="none"/>
                <w:lang w:bidi="ar"/>
              </w:rPr>
              <w:t>合理安排运行时间，</w:t>
            </w:r>
            <w:r>
              <w:rPr>
                <w:rFonts w:hint="eastAsia" w:ascii="Times New Roman" w:hAnsi="Times New Roman" w:eastAsia="宋体" w:cs="Times New Roman"/>
                <w:color w:val="auto"/>
                <w:sz w:val="21"/>
                <w:szCs w:val="21"/>
                <w:highlight w:val="none"/>
                <w:lang w:eastAsia="zh-CN" w:bidi="ar"/>
              </w:rPr>
              <w:t>设备置于封闭车间内等</w:t>
            </w:r>
            <w:r>
              <w:rPr>
                <w:rFonts w:hint="eastAsia" w:cs="Times New Roman"/>
                <w:color w:val="auto"/>
                <w:sz w:val="21"/>
                <w:szCs w:val="21"/>
                <w:highlight w:val="none"/>
                <w:lang w:eastAsia="zh-CN" w:bidi="ar"/>
              </w:rPr>
              <w:t>针对性</w:t>
            </w:r>
            <w:r>
              <w:rPr>
                <w:rFonts w:hint="default" w:ascii="Times New Roman" w:hAnsi="Times New Roman" w:eastAsia="宋体" w:cs="Times New Roman"/>
                <w:color w:val="auto"/>
                <w:sz w:val="21"/>
                <w:szCs w:val="21"/>
                <w:highlight w:val="none"/>
                <w:lang w:bidi="ar"/>
              </w:rPr>
              <w:t>隔声减</w:t>
            </w:r>
            <w:r>
              <w:rPr>
                <w:rFonts w:hint="default" w:ascii="Times New Roman" w:hAnsi="Times New Roman" w:eastAsia="宋体" w:cs="Times New Roman"/>
                <w:color w:val="auto"/>
                <w:sz w:val="21"/>
                <w:szCs w:val="21"/>
                <w:highlight w:val="none"/>
                <w:lang w:eastAsia="zh-CN" w:bidi="ar"/>
              </w:rPr>
              <w:t>振</w:t>
            </w:r>
            <w:r>
              <w:rPr>
                <w:rFonts w:hint="default" w:ascii="Times New Roman" w:hAnsi="Times New Roman" w:eastAsia="宋体" w:cs="Times New Roman"/>
                <w:color w:val="auto"/>
                <w:sz w:val="21"/>
                <w:szCs w:val="21"/>
                <w:highlight w:val="none"/>
                <w:lang w:bidi="ar"/>
              </w:rPr>
              <w:t>措施</w:t>
            </w:r>
            <w:r>
              <w:rPr>
                <w:rFonts w:hint="eastAsia"/>
                <w:color w:val="auto"/>
                <w:szCs w:val="21"/>
                <w:highlight w:val="none"/>
              </w:rPr>
              <w:t>。</w:t>
            </w:r>
          </w:p>
        </w:tc>
        <w:tc>
          <w:tcPr>
            <w:tcW w:w="2055" w:type="dxa"/>
            <w:vAlign w:val="center"/>
          </w:tcPr>
          <w:p w14:paraId="3A92E2C6">
            <w:pPr>
              <w:adjustRightInd w:val="0"/>
              <w:snapToGrid w:val="0"/>
              <w:jc w:val="center"/>
              <w:rPr>
                <w:color w:val="auto"/>
                <w:szCs w:val="21"/>
                <w:highlight w:val="none"/>
              </w:rPr>
            </w:pPr>
            <w:r>
              <w:rPr>
                <w:rFonts w:hint="eastAsia"/>
                <w:color w:val="auto"/>
                <w:szCs w:val="21"/>
                <w:highlight w:val="none"/>
              </w:rPr>
              <w:t>执行</w:t>
            </w:r>
            <w:r>
              <w:rPr>
                <w:color w:val="auto"/>
                <w:szCs w:val="21"/>
                <w:highlight w:val="none"/>
              </w:rPr>
              <w:t>《工业企业厂界环境噪声排放标准》</w:t>
            </w:r>
            <w:r>
              <w:rPr>
                <w:rFonts w:hint="eastAsia"/>
                <w:color w:val="auto"/>
                <w:szCs w:val="21"/>
                <w:highlight w:val="none"/>
                <w:lang w:eastAsia="zh-CN"/>
              </w:rPr>
              <w:t>（</w:t>
            </w:r>
            <w:r>
              <w:rPr>
                <w:color w:val="auto"/>
                <w:szCs w:val="21"/>
                <w:highlight w:val="none"/>
              </w:rPr>
              <w:t>GB12348-2008</w:t>
            </w:r>
            <w:r>
              <w:rPr>
                <w:rFonts w:hint="eastAsia"/>
                <w:color w:val="auto"/>
                <w:szCs w:val="21"/>
                <w:highlight w:val="none"/>
                <w:lang w:eastAsia="zh-CN"/>
              </w:rPr>
              <w:t>）</w:t>
            </w:r>
            <w:r>
              <w:rPr>
                <w:color w:val="auto"/>
                <w:szCs w:val="21"/>
                <w:highlight w:val="none"/>
              </w:rPr>
              <w:t>中</w:t>
            </w:r>
            <w:r>
              <w:rPr>
                <w:rFonts w:hint="eastAsia"/>
                <w:color w:val="auto"/>
                <w:szCs w:val="21"/>
                <w:highlight w:val="none"/>
                <w:lang w:val="en-US" w:eastAsia="zh-CN"/>
              </w:rPr>
              <w:t>3</w:t>
            </w:r>
            <w:r>
              <w:rPr>
                <w:color w:val="auto"/>
                <w:szCs w:val="21"/>
                <w:highlight w:val="none"/>
              </w:rPr>
              <w:t>类标准</w:t>
            </w:r>
          </w:p>
        </w:tc>
      </w:tr>
      <w:tr w14:paraId="41F49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3E67F41E">
            <w:pPr>
              <w:adjustRightInd w:val="0"/>
              <w:snapToGrid w:val="0"/>
              <w:jc w:val="center"/>
              <w:rPr>
                <w:color w:val="auto"/>
                <w:szCs w:val="21"/>
                <w:highlight w:val="none"/>
              </w:rPr>
            </w:pPr>
            <w:r>
              <w:rPr>
                <w:rFonts w:hint="eastAsia"/>
                <w:color w:val="auto"/>
                <w:szCs w:val="21"/>
                <w:highlight w:val="none"/>
              </w:rPr>
              <w:t>固体废物</w:t>
            </w:r>
          </w:p>
        </w:tc>
        <w:tc>
          <w:tcPr>
            <w:tcW w:w="7613" w:type="dxa"/>
            <w:gridSpan w:val="4"/>
            <w:vAlign w:val="center"/>
          </w:tcPr>
          <w:p w14:paraId="1A2940D1">
            <w:pPr>
              <w:rPr>
                <w:rFonts w:hint="default" w:ascii="Times New Roman" w:hAnsi="Times New Roman" w:eastAsia="宋体" w:cs="Times New Roman"/>
                <w:color w:val="auto"/>
                <w:sz w:val="21"/>
                <w:szCs w:val="21"/>
                <w:highlight w:val="none"/>
                <w:lang w:bidi="ar"/>
              </w:rPr>
            </w:pPr>
            <w:r>
              <w:rPr>
                <w:rFonts w:hint="eastAsia" w:ascii="宋体" w:hAnsi="宋体" w:eastAsia="宋体" w:cs="宋体"/>
                <w:color w:val="auto"/>
                <w:sz w:val="21"/>
                <w:szCs w:val="21"/>
                <w:highlight w:val="none"/>
                <w:lang w:bidi="ar"/>
              </w:rPr>
              <w:t>①</w:t>
            </w:r>
            <w:r>
              <w:rPr>
                <w:rFonts w:hint="eastAsia" w:ascii="宋体" w:hAnsi="宋体"/>
                <w:bCs/>
                <w:color w:val="auto"/>
                <w:kern w:val="0"/>
                <w:szCs w:val="21"/>
                <w:highlight w:val="none"/>
              </w:rPr>
              <w:t>生活垃圾经垃圾桶收集后与收集尘一同交由环卫部门处置</w:t>
            </w:r>
            <w:r>
              <w:rPr>
                <w:rFonts w:hint="default" w:ascii="Times New Roman" w:hAnsi="Times New Roman" w:eastAsia="宋体" w:cs="Times New Roman"/>
                <w:color w:val="auto"/>
                <w:sz w:val="21"/>
                <w:szCs w:val="21"/>
                <w:highlight w:val="none"/>
                <w:lang w:bidi="ar"/>
              </w:rPr>
              <w:t>；</w:t>
            </w:r>
          </w:p>
          <w:p w14:paraId="2C2712F3">
            <w:pPr>
              <w:rPr>
                <w:rFonts w:hint="default" w:ascii="Times New Roman" w:hAnsi="Times New Roman" w:eastAsia="宋体" w:cs="Times New Roman"/>
                <w:color w:val="auto"/>
                <w:sz w:val="21"/>
                <w:szCs w:val="21"/>
                <w:highlight w:val="none"/>
                <w:lang w:bidi="ar"/>
              </w:rPr>
            </w:pPr>
            <w:r>
              <w:rPr>
                <w:rFonts w:hint="eastAsia" w:ascii="宋体" w:hAnsi="宋体" w:eastAsia="宋体" w:cs="宋体"/>
                <w:color w:val="auto"/>
                <w:sz w:val="21"/>
                <w:szCs w:val="21"/>
                <w:highlight w:val="none"/>
                <w:lang w:bidi="ar"/>
              </w:rPr>
              <w:t>②</w:t>
            </w:r>
            <w:r>
              <w:rPr>
                <w:rFonts w:hint="default" w:ascii="Times New Roman" w:hAnsi="Times New Roman" w:eastAsia="宋体" w:cs="Times New Roman"/>
                <w:color w:val="auto"/>
                <w:sz w:val="21"/>
                <w:szCs w:val="21"/>
                <w:highlight w:val="none"/>
                <w:lang w:bidi="ar"/>
              </w:rPr>
              <w:t>废</w:t>
            </w:r>
            <w:r>
              <w:rPr>
                <w:rFonts w:hint="eastAsia" w:cs="Times New Roman"/>
                <w:color w:val="auto"/>
                <w:sz w:val="21"/>
                <w:szCs w:val="21"/>
                <w:highlight w:val="none"/>
                <w:lang w:eastAsia="zh-CN" w:bidi="ar"/>
              </w:rPr>
              <w:t>润滑油、废油桶、含油手套和棉纱等</w:t>
            </w:r>
            <w:r>
              <w:rPr>
                <w:rFonts w:hint="default" w:ascii="Times New Roman" w:hAnsi="Times New Roman" w:eastAsia="宋体" w:cs="Times New Roman"/>
                <w:color w:val="auto"/>
                <w:sz w:val="21"/>
                <w:szCs w:val="21"/>
                <w:highlight w:val="none"/>
                <w:lang w:bidi="ar"/>
              </w:rPr>
              <w:t>经专用容器收集后</w:t>
            </w:r>
            <w:r>
              <w:rPr>
                <w:rFonts w:hint="eastAsia"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定期交由有资质单位处理；</w:t>
            </w:r>
          </w:p>
          <w:p w14:paraId="66BD2E03">
            <w:pPr>
              <w:rPr>
                <w:rFonts w:hint="eastAsia" w:cs="Times New Roman"/>
                <w:color w:val="auto"/>
                <w:sz w:val="21"/>
                <w:szCs w:val="21"/>
                <w:highlight w:val="none"/>
                <w:lang w:eastAsia="zh-CN" w:bidi="ar"/>
              </w:rPr>
            </w:pPr>
            <w:r>
              <w:rPr>
                <w:rFonts w:hint="eastAsia" w:ascii="宋体" w:hAnsi="宋体" w:eastAsia="宋体" w:cs="宋体"/>
                <w:color w:val="auto"/>
                <w:sz w:val="21"/>
                <w:szCs w:val="21"/>
                <w:highlight w:val="none"/>
                <w:lang w:bidi="ar"/>
              </w:rPr>
              <w:t>③</w:t>
            </w:r>
            <w:r>
              <w:rPr>
                <w:rFonts w:hint="default" w:ascii="Times New Roman" w:hAnsi="Times New Roman" w:eastAsia="宋体" w:cs="Times New Roman"/>
                <w:color w:val="auto"/>
                <w:sz w:val="21"/>
                <w:szCs w:val="21"/>
                <w:highlight w:val="none"/>
                <w:lang w:bidi="ar"/>
              </w:rPr>
              <w:t>餐厨</w:t>
            </w:r>
            <w:r>
              <w:rPr>
                <w:rFonts w:hint="eastAsia" w:cs="Times New Roman"/>
                <w:color w:val="auto"/>
                <w:sz w:val="21"/>
                <w:szCs w:val="21"/>
                <w:highlight w:val="none"/>
                <w:lang w:eastAsia="zh-CN" w:bidi="ar"/>
              </w:rPr>
              <w:t>废弃物桶装收集后，交由附近村民用于家禽养殖；</w:t>
            </w:r>
            <w:r>
              <w:rPr>
                <w:rFonts w:hint="default" w:ascii="Times New Roman" w:hAnsi="Times New Roman" w:eastAsia="宋体" w:cs="Times New Roman"/>
                <w:color w:val="auto"/>
                <w:sz w:val="21"/>
                <w:szCs w:val="21"/>
                <w:highlight w:val="none"/>
                <w:lang w:bidi="ar"/>
              </w:rPr>
              <w:t>废油脂收集后交由</w:t>
            </w:r>
            <w:r>
              <w:rPr>
                <w:rFonts w:hint="eastAsia" w:cs="Times New Roman"/>
                <w:color w:val="auto"/>
                <w:sz w:val="21"/>
                <w:szCs w:val="21"/>
                <w:highlight w:val="none"/>
                <w:lang w:eastAsia="zh-CN" w:bidi="ar"/>
              </w:rPr>
              <w:t>具有</w:t>
            </w:r>
            <w:r>
              <w:rPr>
                <w:rFonts w:hint="default" w:ascii="Times New Roman" w:hAnsi="Times New Roman" w:eastAsia="宋体" w:cs="Times New Roman"/>
                <w:color w:val="auto"/>
                <w:sz w:val="21"/>
                <w:szCs w:val="21"/>
                <w:highlight w:val="none"/>
                <w:lang w:bidi="ar"/>
              </w:rPr>
              <w:t>回收资质单位处置</w:t>
            </w:r>
            <w:r>
              <w:rPr>
                <w:rFonts w:hint="eastAsia" w:cs="Times New Roman"/>
                <w:color w:val="auto"/>
                <w:sz w:val="21"/>
                <w:szCs w:val="21"/>
                <w:highlight w:val="none"/>
                <w:lang w:eastAsia="zh-CN" w:bidi="ar"/>
              </w:rPr>
              <w:t>；</w:t>
            </w:r>
          </w:p>
          <w:p w14:paraId="32B493FB">
            <w:pPr>
              <w:rPr>
                <w:color w:val="auto"/>
                <w:szCs w:val="21"/>
                <w:highlight w:val="none"/>
              </w:rPr>
            </w:pPr>
            <w:r>
              <w:rPr>
                <w:rFonts w:hint="default" w:ascii="Times New Roman" w:hAnsi="Times New Roman" w:eastAsia="宋体" w:cs="Times New Roman"/>
                <w:color w:val="auto"/>
                <w:sz w:val="21"/>
                <w:szCs w:val="21"/>
                <w:highlight w:val="none"/>
                <w:lang w:eastAsia="zh-CN"/>
              </w:rPr>
              <w:t>④</w:t>
            </w:r>
            <w:r>
              <w:rPr>
                <w:rFonts w:hint="default" w:ascii="Times New Roman" w:hAnsi="Times New Roman" w:cs="Times New Roman"/>
                <w:color w:val="auto"/>
                <w:sz w:val="21"/>
                <w:szCs w:val="21"/>
                <w:highlight w:val="none"/>
                <w:lang w:eastAsia="zh-CN" w:bidi="ar"/>
              </w:rPr>
              <w:t>废编织袋交由当地废品回收站处置</w:t>
            </w:r>
            <w:r>
              <w:rPr>
                <w:rFonts w:hint="eastAsia" w:cs="Times New Roman"/>
                <w:color w:val="auto"/>
                <w:sz w:val="21"/>
                <w:szCs w:val="21"/>
                <w:highlight w:val="none"/>
                <w:lang w:eastAsia="zh-CN" w:bidi="ar"/>
              </w:rPr>
              <w:t>。</w:t>
            </w:r>
          </w:p>
        </w:tc>
      </w:tr>
      <w:tr w14:paraId="24494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2A07481A">
            <w:pPr>
              <w:adjustRightInd w:val="0"/>
              <w:snapToGrid w:val="0"/>
              <w:jc w:val="center"/>
              <w:rPr>
                <w:color w:val="auto"/>
                <w:szCs w:val="21"/>
                <w:highlight w:val="none"/>
              </w:rPr>
            </w:pPr>
            <w:r>
              <w:rPr>
                <w:rFonts w:hint="eastAsia"/>
                <w:color w:val="auto"/>
                <w:szCs w:val="21"/>
                <w:highlight w:val="none"/>
              </w:rPr>
              <w:t>土壤及地下水</w:t>
            </w:r>
          </w:p>
          <w:p w14:paraId="7F1531D4">
            <w:pPr>
              <w:adjustRightInd w:val="0"/>
              <w:snapToGrid w:val="0"/>
              <w:jc w:val="center"/>
              <w:rPr>
                <w:color w:val="auto"/>
                <w:szCs w:val="21"/>
                <w:highlight w:val="none"/>
              </w:rPr>
            </w:pPr>
            <w:r>
              <w:rPr>
                <w:rFonts w:hint="eastAsia"/>
                <w:color w:val="auto"/>
                <w:szCs w:val="21"/>
                <w:highlight w:val="none"/>
              </w:rPr>
              <w:t>污染防治措施</w:t>
            </w:r>
          </w:p>
        </w:tc>
        <w:tc>
          <w:tcPr>
            <w:tcW w:w="7613" w:type="dxa"/>
            <w:gridSpan w:val="4"/>
            <w:vAlign w:val="center"/>
          </w:tcPr>
          <w:p w14:paraId="3FF23922">
            <w:pPr>
              <w:adjustRightInd w:val="0"/>
              <w:snapToGrid w:val="0"/>
              <w:rPr>
                <w:color w:val="auto"/>
                <w:szCs w:val="21"/>
                <w:highlight w:val="none"/>
              </w:rPr>
            </w:pPr>
            <w:r>
              <w:rPr>
                <w:rFonts w:hint="eastAsia"/>
                <w:color w:val="auto"/>
                <w:szCs w:val="21"/>
                <w:highlight w:val="none"/>
                <w:lang w:eastAsia="zh-CN"/>
              </w:rPr>
              <w:t>生产车间（含成品区）、原料区、化粪池及沉淀池等</w:t>
            </w:r>
            <w:r>
              <w:rPr>
                <w:rFonts w:hint="eastAsia"/>
                <w:color w:val="auto"/>
                <w:szCs w:val="21"/>
                <w:highlight w:val="none"/>
              </w:rPr>
              <w:t>均采取一般防渗措施，危废暂存间</w:t>
            </w:r>
            <w:r>
              <w:rPr>
                <w:rFonts w:hint="eastAsia"/>
                <w:color w:val="auto"/>
                <w:szCs w:val="21"/>
                <w:highlight w:val="none"/>
                <w:lang w:eastAsia="zh-CN"/>
              </w:rPr>
              <w:t>采取重点防渗处理，并加强日常管理</w:t>
            </w:r>
            <w:r>
              <w:rPr>
                <w:rFonts w:hint="eastAsia"/>
                <w:color w:val="auto"/>
                <w:szCs w:val="21"/>
                <w:highlight w:val="none"/>
              </w:rPr>
              <w:t>。</w:t>
            </w:r>
          </w:p>
        </w:tc>
      </w:tr>
      <w:tr w14:paraId="620D91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5654F957">
            <w:pPr>
              <w:adjustRightInd w:val="0"/>
              <w:snapToGrid w:val="0"/>
              <w:jc w:val="center"/>
              <w:rPr>
                <w:color w:val="auto"/>
                <w:szCs w:val="21"/>
                <w:highlight w:val="none"/>
              </w:rPr>
            </w:pPr>
            <w:r>
              <w:rPr>
                <w:rFonts w:hint="eastAsia"/>
                <w:color w:val="auto"/>
                <w:szCs w:val="21"/>
                <w:highlight w:val="none"/>
              </w:rPr>
              <w:t>生态保护措施</w:t>
            </w:r>
          </w:p>
        </w:tc>
        <w:tc>
          <w:tcPr>
            <w:tcW w:w="7613" w:type="dxa"/>
            <w:gridSpan w:val="4"/>
            <w:vAlign w:val="center"/>
          </w:tcPr>
          <w:p w14:paraId="5DF8A4AB">
            <w:pPr>
              <w:pStyle w:val="2"/>
              <w:jc w:val="center"/>
              <w:rPr>
                <w:color w:val="auto"/>
                <w:highlight w:val="none"/>
              </w:rPr>
            </w:pPr>
            <w:r>
              <w:rPr>
                <w:rFonts w:ascii="Times New Roman" w:hAnsi="Times New Roman" w:cs="Times New Roman"/>
                <w:color w:val="auto"/>
                <w:highlight w:val="none"/>
              </w:rPr>
              <w:t>/</w:t>
            </w:r>
          </w:p>
        </w:tc>
      </w:tr>
      <w:tr w14:paraId="7DCC7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0860BBDA">
            <w:pPr>
              <w:adjustRightInd w:val="0"/>
              <w:snapToGrid w:val="0"/>
              <w:jc w:val="center"/>
              <w:rPr>
                <w:color w:val="auto"/>
                <w:szCs w:val="21"/>
                <w:highlight w:val="none"/>
              </w:rPr>
            </w:pPr>
            <w:r>
              <w:rPr>
                <w:rFonts w:hint="eastAsia"/>
                <w:color w:val="auto"/>
                <w:szCs w:val="21"/>
                <w:highlight w:val="none"/>
              </w:rPr>
              <w:t>环境风险</w:t>
            </w:r>
          </w:p>
          <w:p w14:paraId="459E1D31">
            <w:pPr>
              <w:adjustRightInd w:val="0"/>
              <w:snapToGrid w:val="0"/>
              <w:jc w:val="center"/>
              <w:rPr>
                <w:color w:val="auto"/>
                <w:szCs w:val="21"/>
                <w:highlight w:val="none"/>
              </w:rPr>
            </w:pPr>
            <w:r>
              <w:rPr>
                <w:rFonts w:hint="eastAsia"/>
                <w:color w:val="auto"/>
                <w:szCs w:val="21"/>
                <w:highlight w:val="none"/>
              </w:rPr>
              <w:t>防范措施</w:t>
            </w:r>
          </w:p>
        </w:tc>
        <w:tc>
          <w:tcPr>
            <w:tcW w:w="7613" w:type="dxa"/>
            <w:gridSpan w:val="4"/>
            <w:vAlign w:val="center"/>
          </w:tcPr>
          <w:p w14:paraId="0BC18756">
            <w:pPr>
              <w:adjustRightInd w:val="0"/>
              <w:snapToGrid w:val="0"/>
              <w:jc w:val="center"/>
              <w:rPr>
                <w:color w:val="auto"/>
                <w:szCs w:val="21"/>
                <w:highlight w:val="none"/>
              </w:rPr>
            </w:pPr>
            <w:r>
              <w:rPr>
                <w:color w:val="auto"/>
                <w:szCs w:val="21"/>
                <w:highlight w:val="none"/>
              </w:rPr>
              <w:t>加强风险物质</w:t>
            </w:r>
            <w:r>
              <w:rPr>
                <w:rFonts w:hint="eastAsia"/>
                <w:color w:val="auto"/>
                <w:szCs w:val="21"/>
                <w:highlight w:val="none"/>
              </w:rPr>
              <w:t>（废润滑油）</w:t>
            </w:r>
            <w:r>
              <w:rPr>
                <w:color w:val="auto"/>
                <w:szCs w:val="21"/>
                <w:highlight w:val="none"/>
              </w:rPr>
              <w:t>管理，安全操作</w:t>
            </w:r>
            <w:r>
              <w:rPr>
                <w:rFonts w:hint="eastAsia"/>
                <w:color w:val="auto"/>
                <w:szCs w:val="21"/>
                <w:highlight w:val="none"/>
              </w:rPr>
              <w:t>。</w:t>
            </w:r>
          </w:p>
        </w:tc>
      </w:tr>
      <w:tr w14:paraId="005BF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5EE51F13">
            <w:pPr>
              <w:adjustRightInd w:val="0"/>
              <w:snapToGrid w:val="0"/>
              <w:jc w:val="center"/>
              <w:rPr>
                <w:color w:val="auto"/>
                <w:szCs w:val="21"/>
                <w:highlight w:val="none"/>
              </w:rPr>
            </w:pPr>
            <w:r>
              <w:rPr>
                <w:rFonts w:hint="eastAsia"/>
                <w:color w:val="auto"/>
                <w:szCs w:val="21"/>
                <w:highlight w:val="none"/>
              </w:rPr>
              <w:t>其他环境</w:t>
            </w:r>
          </w:p>
          <w:p w14:paraId="16B356C0">
            <w:pPr>
              <w:adjustRightInd w:val="0"/>
              <w:snapToGrid w:val="0"/>
              <w:jc w:val="center"/>
              <w:rPr>
                <w:color w:val="auto"/>
                <w:szCs w:val="21"/>
                <w:highlight w:val="none"/>
              </w:rPr>
            </w:pPr>
            <w:r>
              <w:rPr>
                <w:rFonts w:hint="eastAsia"/>
                <w:color w:val="auto"/>
                <w:szCs w:val="21"/>
                <w:highlight w:val="none"/>
              </w:rPr>
              <w:t>管理要求</w:t>
            </w:r>
          </w:p>
        </w:tc>
        <w:tc>
          <w:tcPr>
            <w:tcW w:w="7613" w:type="dxa"/>
            <w:gridSpan w:val="4"/>
            <w:vAlign w:val="center"/>
          </w:tcPr>
          <w:p w14:paraId="46842E93">
            <w:pPr>
              <w:adjustRightInd w:val="0"/>
              <w:snapToGrid w:val="0"/>
              <w:rPr>
                <w:color w:val="auto"/>
                <w:szCs w:val="21"/>
                <w:highlight w:val="none"/>
              </w:rPr>
            </w:pPr>
            <w:r>
              <w:rPr>
                <w:rFonts w:hint="eastAsia"/>
                <w:color w:val="auto"/>
                <w:highlight w:val="none"/>
              </w:rPr>
              <w:t>项目建成后</w:t>
            </w:r>
            <w:r>
              <w:rPr>
                <w:rFonts w:hint="eastAsia"/>
                <w:color w:val="auto"/>
                <w:szCs w:val="21"/>
                <w:highlight w:val="none"/>
              </w:rPr>
              <w:t>要求开展竣工环保验收</w:t>
            </w:r>
            <w:r>
              <w:rPr>
                <w:rFonts w:hint="eastAsia"/>
                <w:color w:val="auto"/>
                <w:szCs w:val="21"/>
                <w:highlight w:val="none"/>
                <w:lang w:eastAsia="zh-CN"/>
              </w:rPr>
              <w:t>并申请</w:t>
            </w:r>
            <w:r>
              <w:rPr>
                <w:rFonts w:hint="eastAsia"/>
                <w:color w:val="auto"/>
                <w:szCs w:val="21"/>
                <w:highlight w:val="none"/>
              </w:rPr>
              <w:t>排污许可手续，按照废气污染源监测要求和噪声排放监测要求，组织开展自行监测工作，监测工作可委托第三方具有检测认证资质的专业机构。</w:t>
            </w:r>
          </w:p>
        </w:tc>
      </w:tr>
    </w:tbl>
    <w:p w14:paraId="7A44B65B">
      <w:pPr>
        <w:pStyle w:val="30"/>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55C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7" w:hRule="atLeast"/>
          <w:jc w:val="center"/>
        </w:trPr>
        <w:tc>
          <w:tcPr>
            <w:tcW w:w="8865" w:type="dxa"/>
          </w:tcPr>
          <w:p w14:paraId="30ED1167">
            <w:pPr>
              <w:pStyle w:val="13"/>
              <w:spacing w:line="360" w:lineRule="auto"/>
              <w:ind w:firstLine="480" w:firstLineChars="200"/>
              <w:rPr>
                <w:rFonts w:ascii="宋体" w:hAnsi="宋体" w:cs="宋体"/>
                <w:color w:val="auto"/>
                <w:highlight w:val="none"/>
              </w:rPr>
            </w:pPr>
            <w:r>
              <w:rPr>
                <w:rFonts w:hint="eastAsia"/>
                <w:color w:val="auto"/>
                <w:highlight w:val="none"/>
              </w:rPr>
              <w:t>汉中金塔矿业开发有限公司开展的金塔矿业新型建筑材料生产线建设项目</w:t>
            </w:r>
            <w:r>
              <w:rPr>
                <w:rFonts w:hint="eastAsia" w:ascii="宋体" w:hAnsi="宋体" w:cs="宋体"/>
                <w:color w:val="auto"/>
                <w:highlight w:val="none"/>
              </w:rPr>
              <w:t>符合相关的生态环境保护法律法规要求，各污染源采取的环保措施合理有效，技术可行。</w:t>
            </w:r>
            <w:r>
              <w:rPr>
                <w:rFonts w:hint="eastAsia"/>
                <w:color w:val="auto"/>
                <w:highlight w:val="none"/>
              </w:rPr>
              <w:t>建设方在落实本环评提出的各项污染防治措施后，</w:t>
            </w:r>
            <w:r>
              <w:rPr>
                <w:rFonts w:hint="eastAsia" w:ascii="宋体" w:hAnsi="宋体" w:cs="宋体"/>
                <w:color w:val="auto"/>
                <w:highlight w:val="none"/>
              </w:rPr>
              <w:t>废气能实现达标排放；</w:t>
            </w:r>
            <w:r>
              <w:rPr>
                <w:rFonts w:hint="eastAsia" w:ascii="宋体" w:hAnsi="宋体" w:cs="宋体"/>
                <w:color w:val="auto"/>
                <w:highlight w:val="none"/>
                <w:lang w:val="en-US" w:eastAsia="zh-CN"/>
              </w:rPr>
              <w:t>洗车废水经配套沉淀池处理后回用，不外排</w:t>
            </w:r>
            <w:r>
              <w:rPr>
                <w:rFonts w:hint="eastAsia" w:ascii="宋体" w:hAnsi="宋体" w:cs="宋体"/>
                <w:color w:val="auto"/>
                <w:highlight w:val="none"/>
              </w:rPr>
              <w:t>；生活污水依托现有化粪池处理后，用于周边农田施肥；噪声可达标排放；固废均能实现资源化或无害化处置，对评价区域环境质量的影响较小。</w:t>
            </w:r>
          </w:p>
          <w:p w14:paraId="2339C17C">
            <w:pPr>
              <w:widowControl/>
              <w:spacing w:line="360" w:lineRule="auto"/>
              <w:ind w:firstLine="480" w:firstLineChars="200"/>
              <w:rPr>
                <w:color w:val="auto"/>
                <w:highlight w:val="none"/>
              </w:rPr>
            </w:pPr>
            <w:r>
              <w:rPr>
                <w:rFonts w:hint="eastAsia" w:ascii="宋体" w:hAnsi="宋体" w:cs="宋体"/>
                <w:color w:val="auto"/>
                <w:kern w:val="0"/>
                <w:sz w:val="24"/>
                <w:highlight w:val="none"/>
              </w:rPr>
              <w:t>综上，从环境保护角度分析，本</w:t>
            </w:r>
            <w:r>
              <w:rPr>
                <w:rFonts w:hint="eastAsia" w:ascii="宋体" w:hAnsi="宋体" w:cs="宋体"/>
                <w:color w:val="auto"/>
                <w:kern w:val="0"/>
                <w:sz w:val="24"/>
                <w:highlight w:val="none"/>
                <w:lang w:eastAsia="zh-CN"/>
              </w:rPr>
              <w:t>次变动</w:t>
            </w:r>
            <w:r>
              <w:rPr>
                <w:rFonts w:hint="eastAsia" w:ascii="宋体" w:hAnsi="宋体" w:cs="宋体"/>
                <w:color w:val="auto"/>
                <w:kern w:val="0"/>
                <w:sz w:val="24"/>
                <w:highlight w:val="none"/>
              </w:rPr>
              <w:t>可行。</w:t>
            </w:r>
          </w:p>
          <w:p w14:paraId="5D47B83B">
            <w:pPr>
              <w:pStyle w:val="45"/>
              <w:spacing w:line="360" w:lineRule="auto"/>
              <w:ind w:firstLine="480"/>
              <w:rPr>
                <w:color w:val="auto"/>
                <w:highlight w:val="none"/>
              </w:rPr>
            </w:pPr>
          </w:p>
        </w:tc>
      </w:tr>
    </w:tbl>
    <w:p w14:paraId="3D782C9E">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F52A787">
      <w:pPr>
        <w:pStyle w:val="30"/>
        <w:adjustRightInd w:val="0"/>
        <w:snapToGrid w:val="0"/>
        <w:spacing w:before="0" w:beforeAutospacing="0" w:after="0" w:afterAutospacing="0" w:line="480"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7CFBBCFA">
      <w:pPr>
        <w:pStyle w:val="30"/>
        <w:adjustRightInd w:val="0"/>
        <w:snapToGrid w:val="0"/>
        <w:spacing w:before="0" w:beforeAutospacing="0" w:after="0" w:afterAutospacing="0" w:line="276" w:lineRule="auto"/>
        <w:jc w:val="center"/>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322"/>
        <w:gridCol w:w="1486"/>
        <w:gridCol w:w="1446"/>
        <w:gridCol w:w="1405"/>
        <w:gridCol w:w="1827"/>
        <w:gridCol w:w="1701"/>
        <w:gridCol w:w="1427"/>
      </w:tblGrid>
      <w:tr w14:paraId="7A1C8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04CAB344">
            <w:pPr>
              <w:pStyle w:val="87"/>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51A17793">
            <w:pPr>
              <w:pStyle w:val="87"/>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586" w:type="dxa"/>
            <w:tcMar>
              <w:left w:w="28" w:type="dxa"/>
              <w:right w:w="28" w:type="dxa"/>
            </w:tcMar>
            <w:vAlign w:val="center"/>
          </w:tcPr>
          <w:p w14:paraId="595654B0">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322" w:type="dxa"/>
            <w:tcMar>
              <w:left w:w="28" w:type="dxa"/>
              <w:right w:w="28" w:type="dxa"/>
            </w:tcMar>
            <w:vAlign w:val="center"/>
          </w:tcPr>
          <w:p w14:paraId="48A4652B">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774FEB13">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486" w:type="dxa"/>
            <w:tcMar>
              <w:left w:w="28" w:type="dxa"/>
              <w:right w:w="28" w:type="dxa"/>
            </w:tcMar>
            <w:vAlign w:val="center"/>
          </w:tcPr>
          <w:p w14:paraId="3A4C8FC3">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50358F14">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446" w:type="dxa"/>
            <w:tcMar>
              <w:left w:w="28" w:type="dxa"/>
              <w:right w:w="28" w:type="dxa"/>
            </w:tcMar>
            <w:vAlign w:val="center"/>
          </w:tcPr>
          <w:p w14:paraId="29CFC4BB">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25D97583">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405" w:type="dxa"/>
            <w:tcMar>
              <w:left w:w="28" w:type="dxa"/>
              <w:right w:w="28" w:type="dxa"/>
            </w:tcMar>
            <w:vAlign w:val="center"/>
          </w:tcPr>
          <w:p w14:paraId="4708A5ED">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3AF636E0">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827" w:type="dxa"/>
            <w:tcMar>
              <w:left w:w="28" w:type="dxa"/>
              <w:right w:w="28" w:type="dxa"/>
            </w:tcMar>
            <w:vAlign w:val="center"/>
          </w:tcPr>
          <w:p w14:paraId="2070C340">
            <w:pPr>
              <w:pStyle w:val="87"/>
              <w:spacing w:beforeLines="0" w:afterLines="0" w:line="240" w:lineRule="auto"/>
              <w:jc w:val="center"/>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1C8C9E09">
            <w:pPr>
              <w:pStyle w:val="87"/>
              <w:spacing w:beforeLines="0" w:afterLines="0" w:line="240" w:lineRule="auto"/>
              <w:jc w:val="center"/>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701" w:type="dxa"/>
            <w:tcMar>
              <w:left w:w="28" w:type="dxa"/>
              <w:right w:w="28" w:type="dxa"/>
            </w:tcMar>
            <w:vAlign w:val="center"/>
          </w:tcPr>
          <w:p w14:paraId="21EF54E1">
            <w:pPr>
              <w:pStyle w:val="87"/>
              <w:spacing w:beforeLines="0" w:afterLines="0" w:line="240" w:lineRule="auto"/>
              <w:jc w:val="center"/>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70649A99">
            <w:pPr>
              <w:pStyle w:val="87"/>
              <w:spacing w:beforeLines="0" w:afterLines="0" w:line="240" w:lineRule="auto"/>
              <w:jc w:val="center"/>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427" w:type="dxa"/>
            <w:tcMar>
              <w:left w:w="28" w:type="dxa"/>
              <w:right w:w="28" w:type="dxa"/>
            </w:tcMar>
            <w:vAlign w:val="center"/>
          </w:tcPr>
          <w:p w14:paraId="69EDE946">
            <w:pPr>
              <w:pStyle w:val="87"/>
              <w:spacing w:beforeLines="0" w:afterLines="0" w:line="240" w:lineRule="auto"/>
              <w:jc w:val="center"/>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3A7CF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06A60DC3">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586" w:type="dxa"/>
            <w:vAlign w:val="center"/>
          </w:tcPr>
          <w:p w14:paraId="1B24003E">
            <w:pPr>
              <w:pStyle w:val="45"/>
              <w:autoSpaceDE/>
              <w:autoSpaceDN/>
              <w:jc w:val="center"/>
              <w:rPr>
                <w:rFonts w:ascii="Times New Roman"/>
                <w:snapToGrid w:val="0"/>
                <w:color w:val="auto"/>
                <w:kern w:val="21"/>
                <w:szCs w:val="21"/>
                <w:highlight w:val="none"/>
              </w:rPr>
            </w:pPr>
            <w:r>
              <w:rPr>
                <w:rFonts w:hint="eastAsia" w:ascii="Times New Roman" w:cs="Times New Roman"/>
                <w:color w:val="auto"/>
                <w:sz w:val="21"/>
                <w:szCs w:val="21"/>
                <w:highlight w:val="none"/>
              </w:rPr>
              <w:t>颗粒物</w:t>
            </w:r>
          </w:p>
        </w:tc>
        <w:tc>
          <w:tcPr>
            <w:tcW w:w="1322" w:type="dxa"/>
            <w:vAlign w:val="center"/>
          </w:tcPr>
          <w:p w14:paraId="3D6C7E86">
            <w:pPr>
              <w:pStyle w:val="87"/>
              <w:spacing w:beforeLines="0" w:afterLines="0" w:line="240" w:lineRule="auto"/>
              <w:rPr>
                <w:snapToGrid w:val="0"/>
                <w:color w:val="auto"/>
                <w:kern w:val="21"/>
                <w:szCs w:val="21"/>
                <w:highlight w:val="none"/>
              </w:rPr>
            </w:pPr>
            <w:r>
              <w:rPr>
                <w:rFonts w:hint="eastAsia" w:ascii="Times New Roman" w:eastAsia="等线"/>
                <w:bCs/>
                <w:color w:val="auto"/>
                <w:szCs w:val="21"/>
                <w:highlight w:val="none"/>
                <w:lang w:val="en-US" w:eastAsia="zh-CN"/>
              </w:rPr>
              <w:t>1.67</w:t>
            </w:r>
            <w:r>
              <w:rPr>
                <w:rFonts w:hint="eastAsia" w:ascii="Times New Roman" w:eastAsia="等线"/>
                <w:bCs/>
                <w:color w:val="auto"/>
                <w:szCs w:val="21"/>
                <w:highlight w:val="none"/>
              </w:rPr>
              <w:t>t</w:t>
            </w:r>
            <w:r>
              <w:rPr>
                <w:rFonts w:ascii="Times New Roman" w:eastAsia="等线"/>
                <w:bCs/>
                <w:color w:val="auto"/>
                <w:szCs w:val="21"/>
                <w:highlight w:val="none"/>
              </w:rPr>
              <w:t>/a</w:t>
            </w:r>
          </w:p>
        </w:tc>
        <w:tc>
          <w:tcPr>
            <w:tcW w:w="1486" w:type="dxa"/>
            <w:vAlign w:val="center"/>
          </w:tcPr>
          <w:p w14:paraId="0F5F2067">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05C9DB01">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04AD6AA">
            <w:pPr>
              <w:pStyle w:val="87"/>
              <w:spacing w:beforeLines="0" w:afterLines="0" w:line="240" w:lineRule="auto"/>
              <w:rPr>
                <w:rFonts w:ascii="Times New Roman"/>
                <w:snapToGrid w:val="0"/>
                <w:color w:val="auto"/>
                <w:kern w:val="21"/>
                <w:szCs w:val="21"/>
                <w:highlight w:val="none"/>
              </w:rPr>
            </w:pPr>
            <w:r>
              <w:rPr>
                <w:rFonts w:hint="eastAsia" w:ascii="Times New Roman" w:eastAsia="等线"/>
                <w:bCs/>
                <w:color w:val="auto"/>
                <w:szCs w:val="21"/>
                <w:highlight w:val="none"/>
                <w:lang w:val="en-US" w:eastAsia="zh-CN"/>
              </w:rPr>
              <w:t>4.0</w:t>
            </w:r>
            <w:r>
              <w:rPr>
                <w:rFonts w:ascii="Times New Roman" w:eastAsia="等线"/>
                <w:bCs/>
                <w:color w:val="auto"/>
                <w:szCs w:val="21"/>
                <w:highlight w:val="none"/>
              </w:rPr>
              <w:t>t/a</w:t>
            </w:r>
          </w:p>
        </w:tc>
        <w:tc>
          <w:tcPr>
            <w:tcW w:w="1827" w:type="dxa"/>
            <w:vAlign w:val="center"/>
          </w:tcPr>
          <w:p w14:paraId="79BCB503">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14:paraId="3E9361AA">
            <w:pPr>
              <w:jc w:val="center"/>
              <w:rPr>
                <w:snapToGrid w:val="0"/>
                <w:color w:val="auto"/>
                <w:kern w:val="21"/>
                <w:szCs w:val="21"/>
                <w:highlight w:val="none"/>
              </w:rPr>
            </w:pPr>
            <w:r>
              <w:rPr>
                <w:rFonts w:hint="eastAsia" w:eastAsia="等线"/>
                <w:bCs/>
                <w:color w:val="auto"/>
                <w:szCs w:val="21"/>
                <w:highlight w:val="none"/>
                <w:lang w:val="en-US" w:eastAsia="zh-CN"/>
              </w:rPr>
              <w:t>5.67</w:t>
            </w:r>
            <w:r>
              <w:rPr>
                <w:rFonts w:hint="eastAsia" w:eastAsia="等线"/>
                <w:bCs/>
                <w:color w:val="auto"/>
                <w:szCs w:val="21"/>
                <w:highlight w:val="none"/>
              </w:rPr>
              <w:t>t</w:t>
            </w:r>
            <w:r>
              <w:rPr>
                <w:rFonts w:eastAsia="等线"/>
                <w:bCs/>
                <w:color w:val="auto"/>
                <w:szCs w:val="21"/>
                <w:highlight w:val="none"/>
              </w:rPr>
              <w:t>/a</w:t>
            </w:r>
          </w:p>
        </w:tc>
        <w:tc>
          <w:tcPr>
            <w:tcW w:w="1427" w:type="dxa"/>
            <w:vAlign w:val="center"/>
          </w:tcPr>
          <w:p w14:paraId="3CCC3ABA">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w:t>
            </w:r>
            <w:r>
              <w:rPr>
                <w:rFonts w:hint="eastAsia" w:ascii="Times New Roman"/>
                <w:snapToGrid w:val="0"/>
                <w:color w:val="auto"/>
                <w:kern w:val="21"/>
                <w:szCs w:val="21"/>
                <w:highlight w:val="none"/>
                <w:lang w:val="en-US" w:eastAsia="zh-CN"/>
              </w:rPr>
              <w:t>4.0</w:t>
            </w:r>
            <w:r>
              <w:rPr>
                <w:rFonts w:hint="eastAsia" w:ascii="Times New Roman"/>
                <w:snapToGrid w:val="0"/>
                <w:color w:val="auto"/>
                <w:kern w:val="21"/>
                <w:szCs w:val="21"/>
                <w:highlight w:val="none"/>
              </w:rPr>
              <w:t>t/a</w:t>
            </w:r>
          </w:p>
        </w:tc>
      </w:tr>
      <w:tr w14:paraId="0DE84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4847C00C">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1FAE901D">
            <w:pPr>
              <w:pStyle w:val="45"/>
              <w:autoSpaceDE/>
              <w:autoSpaceDN/>
              <w:jc w:val="center"/>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eastAsia="zh-CN"/>
              </w:rPr>
              <w:t>食堂</w:t>
            </w:r>
          </w:p>
        </w:tc>
        <w:tc>
          <w:tcPr>
            <w:tcW w:w="1322" w:type="dxa"/>
            <w:vAlign w:val="center"/>
          </w:tcPr>
          <w:p w14:paraId="0D494D7B">
            <w:pPr>
              <w:pStyle w:val="87"/>
              <w:spacing w:beforeLines="0" w:afterLines="0" w:line="240" w:lineRule="auto"/>
              <w:rPr>
                <w:rFonts w:hint="default" w:ascii="Times New Roman" w:eastAsia="等线"/>
                <w:bCs/>
                <w:color w:val="auto"/>
                <w:szCs w:val="21"/>
                <w:highlight w:val="none"/>
                <w:lang w:val="en-US" w:eastAsia="zh-CN"/>
              </w:rPr>
            </w:pPr>
            <w:r>
              <w:rPr>
                <w:rFonts w:hint="eastAsia" w:ascii="Times New Roman" w:eastAsia="等线"/>
                <w:bCs/>
                <w:color w:val="auto"/>
                <w:szCs w:val="21"/>
                <w:highlight w:val="none"/>
                <w:lang w:val="en-US" w:eastAsia="zh-CN"/>
              </w:rPr>
              <w:t>2.16kg/h</w:t>
            </w:r>
          </w:p>
        </w:tc>
        <w:tc>
          <w:tcPr>
            <w:tcW w:w="1486" w:type="dxa"/>
            <w:vAlign w:val="center"/>
          </w:tcPr>
          <w:p w14:paraId="1C11840D">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694DB5E5">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AD2980D">
            <w:pPr>
              <w:pStyle w:val="87"/>
              <w:spacing w:beforeLines="0" w:afterLines="0" w:line="240" w:lineRule="auto"/>
              <w:rPr>
                <w:rFonts w:hint="default" w:ascii="Times New Roman" w:eastAsia="等线"/>
                <w:bCs/>
                <w:color w:val="auto"/>
                <w:szCs w:val="21"/>
                <w:highlight w:val="none"/>
                <w:lang w:val="en-US" w:eastAsia="zh-CN"/>
              </w:rPr>
            </w:pPr>
            <w:r>
              <w:rPr>
                <w:rFonts w:hint="eastAsia" w:ascii="Times New Roman" w:eastAsia="等线"/>
                <w:bCs/>
                <w:color w:val="auto"/>
                <w:szCs w:val="21"/>
                <w:highlight w:val="none"/>
                <w:lang w:val="en-US" w:eastAsia="zh-CN"/>
              </w:rPr>
              <w:t>1.08kg/h</w:t>
            </w:r>
          </w:p>
        </w:tc>
        <w:tc>
          <w:tcPr>
            <w:tcW w:w="1827" w:type="dxa"/>
            <w:vAlign w:val="center"/>
          </w:tcPr>
          <w:p w14:paraId="15D27BB4">
            <w:pPr>
              <w:jc w:val="center"/>
              <w:rPr>
                <w:rFonts w:hint="eastAsia"/>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14:paraId="6C204C56">
            <w:pPr>
              <w:jc w:val="center"/>
              <w:rPr>
                <w:rFonts w:hint="default" w:eastAsia="等线"/>
                <w:bCs/>
                <w:color w:val="auto"/>
                <w:szCs w:val="21"/>
                <w:highlight w:val="none"/>
                <w:lang w:val="en-US" w:eastAsia="zh-CN"/>
              </w:rPr>
            </w:pPr>
            <w:r>
              <w:rPr>
                <w:rFonts w:hint="eastAsia" w:eastAsia="等线"/>
                <w:bCs/>
                <w:color w:val="auto"/>
                <w:szCs w:val="21"/>
                <w:highlight w:val="none"/>
                <w:lang w:val="en-US" w:eastAsia="zh-CN"/>
              </w:rPr>
              <w:t>3.24</w:t>
            </w:r>
            <w:r>
              <w:rPr>
                <w:rFonts w:hint="eastAsia" w:ascii="Times New Roman" w:eastAsia="等线"/>
                <w:bCs/>
                <w:color w:val="auto"/>
                <w:szCs w:val="21"/>
                <w:highlight w:val="none"/>
                <w:lang w:val="en-US" w:eastAsia="zh-CN"/>
              </w:rPr>
              <w:t>kg/h</w:t>
            </w:r>
          </w:p>
        </w:tc>
        <w:tc>
          <w:tcPr>
            <w:tcW w:w="1427" w:type="dxa"/>
            <w:vAlign w:val="center"/>
          </w:tcPr>
          <w:p w14:paraId="0F49392E">
            <w:pPr>
              <w:pStyle w:val="87"/>
              <w:spacing w:beforeLines="0" w:afterLines="0" w:line="240" w:lineRule="auto"/>
              <w:rPr>
                <w:rFonts w:hint="eastAsia" w:ascii="Times New Roman"/>
                <w:snapToGrid w:val="0"/>
                <w:color w:val="auto"/>
                <w:kern w:val="21"/>
                <w:szCs w:val="21"/>
                <w:highlight w:val="none"/>
              </w:rPr>
            </w:pPr>
            <w:r>
              <w:rPr>
                <w:rFonts w:hint="eastAsia" w:ascii="Times New Roman" w:eastAsia="等线"/>
                <w:bCs/>
                <w:color w:val="auto"/>
                <w:szCs w:val="21"/>
                <w:highlight w:val="none"/>
                <w:lang w:val="en-US" w:eastAsia="zh-CN"/>
              </w:rPr>
              <w:t>+1.08kg/h</w:t>
            </w:r>
          </w:p>
        </w:tc>
      </w:tr>
      <w:tr w14:paraId="21265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4A58384F">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586" w:type="dxa"/>
            <w:vAlign w:val="center"/>
          </w:tcPr>
          <w:p w14:paraId="492CB7EA">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生产废水</w:t>
            </w:r>
          </w:p>
        </w:tc>
        <w:tc>
          <w:tcPr>
            <w:tcW w:w="1322" w:type="dxa"/>
            <w:vAlign w:val="center"/>
          </w:tcPr>
          <w:p w14:paraId="44C4A418">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1486" w:type="dxa"/>
            <w:vAlign w:val="center"/>
          </w:tcPr>
          <w:p w14:paraId="6DBFB758">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2F7FE7AE">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C0D2AC2">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827" w:type="dxa"/>
            <w:vAlign w:val="center"/>
          </w:tcPr>
          <w:p w14:paraId="5B93410E">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1701" w:type="dxa"/>
            <w:vAlign w:val="center"/>
          </w:tcPr>
          <w:p w14:paraId="26F6E0D4">
            <w:pPr>
              <w:jc w:val="center"/>
              <w:rPr>
                <w:snapToGrid w:val="0"/>
                <w:color w:val="auto"/>
                <w:kern w:val="21"/>
                <w:szCs w:val="21"/>
                <w:highlight w:val="none"/>
              </w:rPr>
            </w:pPr>
            <w:r>
              <w:rPr>
                <w:rFonts w:hint="eastAsia" w:eastAsia="等线"/>
                <w:bCs/>
                <w:color w:val="auto"/>
                <w:szCs w:val="21"/>
                <w:highlight w:val="none"/>
              </w:rPr>
              <w:t>0</w:t>
            </w:r>
          </w:p>
        </w:tc>
        <w:tc>
          <w:tcPr>
            <w:tcW w:w="1427" w:type="dxa"/>
            <w:vAlign w:val="center"/>
          </w:tcPr>
          <w:p w14:paraId="7AFA58E5">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r>
      <w:tr w14:paraId="14F4E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7DF17654">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3F448113">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生活废水</w:t>
            </w:r>
          </w:p>
        </w:tc>
        <w:tc>
          <w:tcPr>
            <w:tcW w:w="1322" w:type="dxa"/>
            <w:vAlign w:val="center"/>
          </w:tcPr>
          <w:p w14:paraId="0EF5CF90">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1486" w:type="dxa"/>
            <w:vAlign w:val="center"/>
          </w:tcPr>
          <w:p w14:paraId="60C6FCE2">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0C275F6A">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28BD666D">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827" w:type="dxa"/>
            <w:vAlign w:val="center"/>
          </w:tcPr>
          <w:p w14:paraId="660A54B4">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1701" w:type="dxa"/>
            <w:vAlign w:val="center"/>
          </w:tcPr>
          <w:p w14:paraId="7EEE963A">
            <w:pPr>
              <w:jc w:val="center"/>
              <w:rPr>
                <w:snapToGrid w:val="0"/>
                <w:color w:val="auto"/>
                <w:kern w:val="21"/>
                <w:szCs w:val="21"/>
                <w:highlight w:val="none"/>
              </w:rPr>
            </w:pPr>
            <w:r>
              <w:rPr>
                <w:rFonts w:hint="eastAsia" w:eastAsia="等线"/>
                <w:bCs/>
                <w:color w:val="auto"/>
                <w:szCs w:val="21"/>
                <w:highlight w:val="none"/>
              </w:rPr>
              <w:t>0</w:t>
            </w:r>
          </w:p>
        </w:tc>
        <w:tc>
          <w:tcPr>
            <w:tcW w:w="1427" w:type="dxa"/>
            <w:vAlign w:val="center"/>
          </w:tcPr>
          <w:p w14:paraId="6C258217">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r>
      <w:tr w14:paraId="02F73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15D77837">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员工生活</w:t>
            </w:r>
          </w:p>
        </w:tc>
        <w:tc>
          <w:tcPr>
            <w:tcW w:w="1586" w:type="dxa"/>
            <w:vAlign w:val="center"/>
          </w:tcPr>
          <w:p w14:paraId="728A51C3">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322" w:type="dxa"/>
            <w:vAlign w:val="center"/>
          </w:tcPr>
          <w:p w14:paraId="6F3874F9">
            <w:pPr>
              <w:pStyle w:val="87"/>
              <w:spacing w:beforeLines="0" w:afterLines="0" w:line="240" w:lineRule="auto"/>
              <w:rPr>
                <w:rFonts w:ascii="Times New Roman"/>
                <w:snapToGrid w:val="0"/>
                <w:color w:val="auto"/>
                <w:kern w:val="21"/>
                <w:szCs w:val="21"/>
                <w:highlight w:val="none"/>
              </w:rPr>
            </w:pPr>
            <w:r>
              <w:rPr>
                <w:rFonts w:hint="eastAsia" w:ascii="Times New Roman" w:eastAsia="等线"/>
                <w:bCs/>
                <w:color w:val="auto"/>
                <w:szCs w:val="21"/>
                <w:highlight w:val="none"/>
                <w:lang w:val="en-US" w:eastAsia="zh-CN"/>
              </w:rPr>
              <w:t>0.912</w:t>
            </w:r>
            <w:r>
              <w:rPr>
                <w:rFonts w:hint="eastAsia" w:ascii="Times New Roman" w:eastAsia="等线"/>
                <w:bCs/>
                <w:color w:val="auto"/>
                <w:szCs w:val="21"/>
                <w:highlight w:val="none"/>
              </w:rPr>
              <w:t>t</w:t>
            </w:r>
            <w:r>
              <w:rPr>
                <w:rFonts w:ascii="Times New Roman" w:eastAsia="等线"/>
                <w:bCs/>
                <w:color w:val="auto"/>
                <w:szCs w:val="21"/>
                <w:highlight w:val="none"/>
              </w:rPr>
              <w:t>/a</w:t>
            </w:r>
          </w:p>
        </w:tc>
        <w:tc>
          <w:tcPr>
            <w:tcW w:w="1486" w:type="dxa"/>
            <w:vAlign w:val="center"/>
          </w:tcPr>
          <w:p w14:paraId="72C53022">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1506E485">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19B9394E">
            <w:pPr>
              <w:pStyle w:val="87"/>
              <w:spacing w:beforeLines="0" w:afterLines="0" w:line="240" w:lineRule="auto"/>
              <w:rPr>
                <w:rFonts w:ascii="Times New Roman"/>
                <w:snapToGrid w:val="0"/>
                <w:color w:val="auto"/>
                <w:kern w:val="21"/>
                <w:szCs w:val="21"/>
                <w:highlight w:val="none"/>
              </w:rPr>
            </w:pPr>
            <w:r>
              <w:rPr>
                <w:rFonts w:hint="eastAsia" w:ascii="Times New Roman"/>
                <w:color w:val="auto"/>
                <w:szCs w:val="21"/>
                <w:highlight w:val="none"/>
              </w:rPr>
              <w:t>0.</w:t>
            </w:r>
            <w:r>
              <w:rPr>
                <w:rFonts w:hint="eastAsia" w:ascii="Times New Roman"/>
                <w:color w:val="auto"/>
                <w:szCs w:val="21"/>
                <w:highlight w:val="none"/>
                <w:lang w:val="en-US" w:eastAsia="zh-CN"/>
              </w:rPr>
              <w:t>456</w:t>
            </w:r>
            <w:r>
              <w:rPr>
                <w:rFonts w:ascii="Times New Roman"/>
                <w:color w:val="auto"/>
                <w:szCs w:val="21"/>
                <w:highlight w:val="none"/>
              </w:rPr>
              <w:t>t/a</w:t>
            </w:r>
          </w:p>
        </w:tc>
        <w:tc>
          <w:tcPr>
            <w:tcW w:w="1827" w:type="dxa"/>
            <w:vAlign w:val="center"/>
          </w:tcPr>
          <w:p w14:paraId="40D0FCD8">
            <w:pPr>
              <w:pStyle w:val="87"/>
              <w:spacing w:beforeLines="0" w:afterLines="0" w:line="240" w:lineRule="auto"/>
              <w:rPr>
                <w:rFonts w:ascii="Times New Roman"/>
                <w:snapToGrid w:val="0"/>
                <w:color w:val="auto"/>
                <w:kern w:val="21"/>
                <w:szCs w:val="21"/>
                <w:highlight w:val="none"/>
              </w:rPr>
            </w:pPr>
            <w:r>
              <w:rPr>
                <w:rFonts w:ascii="Times New Roman"/>
                <w:bCs/>
                <w:color w:val="auto"/>
                <w:szCs w:val="21"/>
                <w:highlight w:val="none"/>
              </w:rPr>
              <w:t>0</w:t>
            </w:r>
          </w:p>
        </w:tc>
        <w:tc>
          <w:tcPr>
            <w:tcW w:w="1701" w:type="dxa"/>
            <w:vAlign w:val="center"/>
          </w:tcPr>
          <w:p w14:paraId="4FB08FFD">
            <w:pPr>
              <w:jc w:val="center"/>
              <w:rPr>
                <w:snapToGrid w:val="0"/>
                <w:color w:val="auto"/>
                <w:kern w:val="21"/>
                <w:szCs w:val="21"/>
                <w:highlight w:val="none"/>
              </w:rPr>
            </w:pPr>
            <w:r>
              <w:rPr>
                <w:rFonts w:hint="eastAsia" w:eastAsia="等线"/>
                <w:snapToGrid w:val="0"/>
                <w:color w:val="auto"/>
                <w:kern w:val="21"/>
                <w:szCs w:val="21"/>
                <w:highlight w:val="none"/>
                <w:lang w:val="en-US" w:eastAsia="zh-CN"/>
              </w:rPr>
              <w:t>1.368</w:t>
            </w:r>
            <w:r>
              <w:rPr>
                <w:rFonts w:eastAsia="等线"/>
                <w:color w:val="auto"/>
                <w:szCs w:val="21"/>
                <w:highlight w:val="none"/>
              </w:rPr>
              <w:t>t/a</w:t>
            </w:r>
          </w:p>
        </w:tc>
        <w:tc>
          <w:tcPr>
            <w:tcW w:w="1427" w:type="dxa"/>
            <w:vAlign w:val="center"/>
          </w:tcPr>
          <w:p w14:paraId="54A88FEC">
            <w:pPr>
              <w:jc w:val="center"/>
              <w:rPr>
                <w:snapToGrid w:val="0"/>
                <w:color w:val="auto"/>
                <w:kern w:val="21"/>
                <w:szCs w:val="21"/>
                <w:highlight w:val="none"/>
              </w:rPr>
            </w:pPr>
            <w:r>
              <w:rPr>
                <w:rFonts w:hint="eastAsia"/>
                <w:snapToGrid w:val="0"/>
                <w:color w:val="auto"/>
                <w:kern w:val="21"/>
                <w:szCs w:val="21"/>
                <w:highlight w:val="none"/>
              </w:rPr>
              <w:t>+0.</w:t>
            </w:r>
            <w:r>
              <w:rPr>
                <w:rFonts w:hint="eastAsia"/>
                <w:snapToGrid w:val="0"/>
                <w:color w:val="auto"/>
                <w:kern w:val="21"/>
                <w:szCs w:val="21"/>
                <w:highlight w:val="none"/>
                <w:lang w:val="en-US" w:eastAsia="zh-CN"/>
              </w:rPr>
              <w:t>456</w:t>
            </w:r>
            <w:r>
              <w:rPr>
                <w:color w:val="auto"/>
                <w:szCs w:val="21"/>
                <w:highlight w:val="none"/>
              </w:rPr>
              <w:t>t/a</w:t>
            </w:r>
          </w:p>
        </w:tc>
      </w:tr>
      <w:tr w14:paraId="1D887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restart"/>
            <w:vAlign w:val="center"/>
          </w:tcPr>
          <w:p w14:paraId="3FF0151F">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一般工业</w:t>
            </w:r>
          </w:p>
          <w:p w14:paraId="0B30EFEA">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固体废物</w:t>
            </w:r>
          </w:p>
        </w:tc>
        <w:tc>
          <w:tcPr>
            <w:tcW w:w="1586" w:type="dxa"/>
            <w:vAlign w:val="center"/>
          </w:tcPr>
          <w:p w14:paraId="4ABDB435">
            <w:pPr>
              <w:pStyle w:val="87"/>
              <w:spacing w:beforeLines="0" w:afterLines="0" w:line="240" w:lineRule="auto"/>
              <w:rPr>
                <w:rFonts w:ascii="Times New Roman"/>
                <w:snapToGrid w:val="0"/>
                <w:color w:val="auto"/>
                <w:kern w:val="21"/>
                <w:szCs w:val="21"/>
                <w:highlight w:val="none"/>
              </w:rPr>
            </w:pPr>
            <w:r>
              <w:rPr>
                <w:rFonts w:hint="eastAsia" w:ascii="宋体" w:hAnsi="宋体"/>
                <w:bCs/>
                <w:color w:val="auto"/>
                <w:kern w:val="0"/>
                <w:szCs w:val="21"/>
                <w:highlight w:val="none"/>
              </w:rPr>
              <w:t>收集尘</w:t>
            </w:r>
          </w:p>
        </w:tc>
        <w:tc>
          <w:tcPr>
            <w:tcW w:w="1322" w:type="dxa"/>
            <w:vAlign w:val="center"/>
          </w:tcPr>
          <w:p w14:paraId="6C03D466">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11.88</w:t>
            </w:r>
            <w:r>
              <w:rPr>
                <w:rFonts w:ascii="Times New Roman"/>
                <w:snapToGrid w:val="0"/>
                <w:color w:val="auto"/>
                <w:kern w:val="21"/>
                <w:szCs w:val="21"/>
                <w:highlight w:val="none"/>
              </w:rPr>
              <w:t>t/a</w:t>
            </w:r>
          </w:p>
        </w:tc>
        <w:tc>
          <w:tcPr>
            <w:tcW w:w="1486" w:type="dxa"/>
            <w:vAlign w:val="center"/>
          </w:tcPr>
          <w:p w14:paraId="53C6572F">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34EC359B">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3CC30910">
            <w:pPr>
              <w:pStyle w:val="87"/>
              <w:spacing w:beforeLines="0" w:afterLines="0" w:line="240" w:lineRule="auto"/>
              <w:rPr>
                <w:rFonts w:ascii="Times New Roman"/>
                <w:snapToGrid w:val="0"/>
                <w:color w:val="auto"/>
                <w:kern w:val="21"/>
                <w:szCs w:val="21"/>
                <w:highlight w:val="none"/>
              </w:rPr>
            </w:pPr>
            <w:r>
              <w:rPr>
                <w:rFonts w:hint="eastAsia" w:ascii="Times New Roman"/>
                <w:color w:val="auto"/>
                <w:kern w:val="2"/>
                <w:szCs w:val="21"/>
                <w:highlight w:val="none"/>
                <w:lang w:val="en-US" w:eastAsia="zh-CN"/>
              </w:rPr>
              <w:t>31.6</w:t>
            </w:r>
            <w:r>
              <w:rPr>
                <w:rFonts w:hint="eastAsia" w:ascii="Times New Roman"/>
                <w:color w:val="auto"/>
                <w:kern w:val="2"/>
                <w:szCs w:val="21"/>
                <w:highlight w:val="none"/>
              </w:rPr>
              <w:t>t/a</w:t>
            </w:r>
          </w:p>
        </w:tc>
        <w:tc>
          <w:tcPr>
            <w:tcW w:w="1827" w:type="dxa"/>
            <w:vAlign w:val="center"/>
          </w:tcPr>
          <w:p w14:paraId="788C2F6A">
            <w:pPr>
              <w:pStyle w:val="87"/>
              <w:spacing w:beforeLines="0" w:afterLines="0" w:line="240" w:lineRule="auto"/>
              <w:rPr>
                <w:rFonts w:ascii="Times New Roman"/>
                <w:snapToGrid w:val="0"/>
                <w:color w:val="auto"/>
                <w:kern w:val="21"/>
                <w:szCs w:val="21"/>
                <w:highlight w:val="none"/>
              </w:rPr>
            </w:pPr>
            <w:r>
              <w:rPr>
                <w:rFonts w:ascii="Times New Roman"/>
                <w:bCs/>
                <w:color w:val="auto"/>
                <w:szCs w:val="21"/>
                <w:highlight w:val="none"/>
              </w:rPr>
              <w:t>0</w:t>
            </w:r>
          </w:p>
        </w:tc>
        <w:tc>
          <w:tcPr>
            <w:tcW w:w="1701" w:type="dxa"/>
            <w:vAlign w:val="center"/>
          </w:tcPr>
          <w:p w14:paraId="30DB386C">
            <w:pPr>
              <w:jc w:val="center"/>
              <w:rPr>
                <w:snapToGrid w:val="0"/>
                <w:color w:val="auto"/>
                <w:kern w:val="21"/>
                <w:szCs w:val="21"/>
                <w:highlight w:val="none"/>
              </w:rPr>
            </w:pPr>
            <w:r>
              <w:rPr>
                <w:rFonts w:hint="eastAsia"/>
                <w:color w:val="auto"/>
                <w:szCs w:val="21"/>
                <w:highlight w:val="none"/>
                <w:lang w:val="en-US" w:eastAsia="zh-CN"/>
              </w:rPr>
              <w:t>43.48</w:t>
            </w:r>
            <w:r>
              <w:rPr>
                <w:rFonts w:hint="eastAsia"/>
                <w:color w:val="auto"/>
                <w:szCs w:val="21"/>
                <w:highlight w:val="none"/>
              </w:rPr>
              <w:t>t/a</w:t>
            </w:r>
          </w:p>
        </w:tc>
        <w:tc>
          <w:tcPr>
            <w:tcW w:w="1427" w:type="dxa"/>
            <w:vAlign w:val="center"/>
          </w:tcPr>
          <w:p w14:paraId="2A72DF87">
            <w:pPr>
              <w:jc w:val="center"/>
              <w:rPr>
                <w:snapToGrid w:val="0"/>
                <w:color w:val="auto"/>
                <w:kern w:val="21"/>
                <w:szCs w:val="21"/>
                <w:highlight w:val="none"/>
              </w:rPr>
            </w:pPr>
            <w:r>
              <w:rPr>
                <w:rFonts w:hint="eastAsia"/>
                <w:color w:val="auto"/>
                <w:szCs w:val="21"/>
                <w:highlight w:val="none"/>
              </w:rPr>
              <w:t>+</w:t>
            </w:r>
            <w:r>
              <w:rPr>
                <w:rFonts w:hint="eastAsia" w:ascii="Times New Roman"/>
                <w:color w:val="auto"/>
                <w:kern w:val="2"/>
                <w:szCs w:val="21"/>
                <w:highlight w:val="none"/>
                <w:lang w:val="en-US" w:eastAsia="zh-CN"/>
              </w:rPr>
              <w:t>31.6</w:t>
            </w:r>
            <w:r>
              <w:rPr>
                <w:rFonts w:hint="eastAsia"/>
                <w:color w:val="auto"/>
                <w:szCs w:val="21"/>
                <w:highlight w:val="none"/>
              </w:rPr>
              <w:t>t/a</w:t>
            </w:r>
          </w:p>
        </w:tc>
      </w:tr>
      <w:tr w14:paraId="73B21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continue"/>
            <w:vAlign w:val="center"/>
          </w:tcPr>
          <w:p w14:paraId="5F5952A9">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431F5216">
            <w:pPr>
              <w:pStyle w:val="87"/>
              <w:spacing w:beforeLines="0" w:afterLines="0" w:line="240" w:lineRule="auto"/>
              <w:rPr>
                <w:rFonts w:ascii="Times New Roman"/>
                <w:snapToGrid w:val="0"/>
                <w:color w:val="auto"/>
                <w:kern w:val="21"/>
                <w:szCs w:val="21"/>
                <w:highlight w:val="none"/>
              </w:rPr>
            </w:pPr>
            <w:r>
              <w:rPr>
                <w:rFonts w:hint="default" w:ascii="Times New Roman" w:hAnsi="Times New Roman" w:eastAsia="宋体" w:cs="Times New Roman"/>
                <w:color w:val="auto"/>
                <w:sz w:val="21"/>
                <w:szCs w:val="21"/>
                <w:highlight w:val="none"/>
                <w:lang w:bidi="ar"/>
              </w:rPr>
              <w:t>餐厨废弃物</w:t>
            </w:r>
          </w:p>
        </w:tc>
        <w:tc>
          <w:tcPr>
            <w:tcW w:w="1322" w:type="dxa"/>
            <w:vAlign w:val="center"/>
          </w:tcPr>
          <w:p w14:paraId="40CCB9AB">
            <w:pPr>
              <w:pStyle w:val="87"/>
              <w:spacing w:beforeLines="0" w:afterLines="0" w:line="240" w:lineRule="auto"/>
              <w:rPr>
                <w:rFonts w:ascii="Times New Roman"/>
                <w:bCs/>
                <w:color w:val="auto"/>
                <w:szCs w:val="21"/>
                <w:highlight w:val="none"/>
              </w:rPr>
            </w:pPr>
            <w:r>
              <w:rPr>
                <w:rFonts w:hint="eastAsia" w:ascii="Times New Roman"/>
                <w:snapToGrid w:val="0"/>
                <w:color w:val="auto"/>
                <w:kern w:val="21"/>
                <w:szCs w:val="21"/>
                <w:highlight w:val="none"/>
                <w:lang w:val="en-US" w:eastAsia="zh-CN"/>
              </w:rPr>
              <w:t>1.75</w:t>
            </w:r>
            <w:r>
              <w:rPr>
                <w:rFonts w:ascii="Times New Roman"/>
                <w:snapToGrid w:val="0"/>
                <w:color w:val="auto"/>
                <w:kern w:val="21"/>
                <w:szCs w:val="21"/>
                <w:highlight w:val="none"/>
              </w:rPr>
              <w:t>t/a</w:t>
            </w:r>
          </w:p>
        </w:tc>
        <w:tc>
          <w:tcPr>
            <w:tcW w:w="1486" w:type="dxa"/>
            <w:vAlign w:val="center"/>
          </w:tcPr>
          <w:p w14:paraId="5DBA268D">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7DFA627B">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172E6D9E">
            <w:pPr>
              <w:pStyle w:val="87"/>
              <w:spacing w:beforeLines="0" w:afterLines="0" w:line="240" w:lineRule="auto"/>
              <w:rPr>
                <w:rFonts w:ascii="Times New Roman" w:eastAsia="等线"/>
                <w:bCs/>
                <w:color w:val="auto"/>
                <w:szCs w:val="21"/>
                <w:highlight w:val="none"/>
              </w:rPr>
            </w:pPr>
            <w:r>
              <w:rPr>
                <w:rFonts w:hint="eastAsia" w:ascii="Times New Roman"/>
                <w:color w:val="auto"/>
                <w:kern w:val="2"/>
                <w:szCs w:val="21"/>
                <w:highlight w:val="none"/>
                <w:lang w:val="en-US" w:eastAsia="zh-CN"/>
              </w:rPr>
              <w:t>0.8</w:t>
            </w:r>
            <w:r>
              <w:rPr>
                <w:rFonts w:hint="eastAsia" w:ascii="Times New Roman"/>
                <w:color w:val="auto"/>
                <w:kern w:val="2"/>
                <w:szCs w:val="21"/>
                <w:highlight w:val="none"/>
              </w:rPr>
              <w:t>t/a</w:t>
            </w:r>
          </w:p>
        </w:tc>
        <w:tc>
          <w:tcPr>
            <w:tcW w:w="1827" w:type="dxa"/>
            <w:vAlign w:val="center"/>
          </w:tcPr>
          <w:p w14:paraId="74A566A6">
            <w:pPr>
              <w:pStyle w:val="87"/>
              <w:spacing w:beforeLines="0" w:afterLines="0" w:line="240" w:lineRule="auto"/>
              <w:rPr>
                <w:rFonts w:ascii="Times New Roman"/>
                <w:bCs/>
                <w:color w:val="auto"/>
                <w:szCs w:val="21"/>
                <w:highlight w:val="none"/>
              </w:rPr>
            </w:pPr>
            <w:r>
              <w:rPr>
                <w:rFonts w:hint="eastAsia" w:ascii="Times New Roman"/>
                <w:bCs/>
                <w:color w:val="auto"/>
                <w:szCs w:val="21"/>
                <w:highlight w:val="none"/>
              </w:rPr>
              <w:t>0</w:t>
            </w:r>
          </w:p>
        </w:tc>
        <w:tc>
          <w:tcPr>
            <w:tcW w:w="1701" w:type="dxa"/>
            <w:vAlign w:val="center"/>
          </w:tcPr>
          <w:p w14:paraId="027EEB26">
            <w:pPr>
              <w:jc w:val="center"/>
              <w:rPr>
                <w:rFonts w:eastAsia="等线"/>
                <w:bCs/>
                <w:color w:val="auto"/>
                <w:szCs w:val="21"/>
                <w:highlight w:val="none"/>
              </w:rPr>
            </w:pPr>
            <w:r>
              <w:rPr>
                <w:rFonts w:hint="eastAsia"/>
                <w:bCs/>
                <w:color w:val="auto"/>
                <w:szCs w:val="21"/>
                <w:highlight w:val="none"/>
                <w:lang w:val="en-US" w:eastAsia="zh-CN"/>
              </w:rPr>
              <w:t>2.55</w:t>
            </w:r>
            <w:r>
              <w:rPr>
                <w:snapToGrid w:val="0"/>
                <w:color w:val="auto"/>
                <w:kern w:val="21"/>
                <w:szCs w:val="21"/>
                <w:highlight w:val="none"/>
              </w:rPr>
              <w:t>t/a</w:t>
            </w:r>
          </w:p>
        </w:tc>
        <w:tc>
          <w:tcPr>
            <w:tcW w:w="1427" w:type="dxa"/>
            <w:vAlign w:val="center"/>
          </w:tcPr>
          <w:p w14:paraId="19070A17">
            <w:pPr>
              <w:pStyle w:val="87"/>
              <w:spacing w:beforeLines="0" w:afterLines="0" w:line="240" w:lineRule="auto"/>
              <w:rPr>
                <w:snapToGrid w:val="0"/>
                <w:color w:val="auto"/>
                <w:kern w:val="21"/>
                <w:szCs w:val="21"/>
                <w:highlight w:val="none"/>
              </w:rPr>
            </w:pPr>
            <w:r>
              <w:rPr>
                <w:rFonts w:hint="eastAsia"/>
                <w:color w:val="auto"/>
                <w:szCs w:val="21"/>
                <w:highlight w:val="none"/>
              </w:rPr>
              <w:t>+</w:t>
            </w:r>
            <w:r>
              <w:rPr>
                <w:rFonts w:hint="eastAsia" w:ascii="Times New Roman"/>
                <w:color w:val="auto"/>
                <w:kern w:val="2"/>
                <w:szCs w:val="21"/>
                <w:highlight w:val="none"/>
                <w:lang w:val="en-US" w:eastAsia="zh-CN"/>
              </w:rPr>
              <w:t>0.8</w:t>
            </w:r>
            <w:r>
              <w:rPr>
                <w:rFonts w:hint="eastAsia" w:ascii="Times New Roman"/>
                <w:color w:val="auto"/>
                <w:kern w:val="2"/>
                <w:szCs w:val="21"/>
                <w:highlight w:val="none"/>
              </w:rPr>
              <w:t>t/a</w:t>
            </w:r>
          </w:p>
        </w:tc>
      </w:tr>
      <w:tr w14:paraId="53729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continue"/>
            <w:vAlign w:val="center"/>
          </w:tcPr>
          <w:p w14:paraId="1633FD99">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620A32ED">
            <w:pPr>
              <w:pStyle w:val="87"/>
              <w:spacing w:beforeLines="0" w:afterLines="0" w:line="240" w:lineRule="auto"/>
              <w:rPr>
                <w:rFonts w:ascii="Times New Roman"/>
                <w:bCs/>
                <w:color w:val="auto"/>
                <w:szCs w:val="21"/>
                <w:highlight w:val="none"/>
              </w:rPr>
            </w:pPr>
            <w:r>
              <w:rPr>
                <w:rFonts w:hint="default" w:ascii="Times New Roman" w:hAnsi="Times New Roman" w:eastAsia="宋体" w:cs="Times New Roman"/>
                <w:color w:val="auto"/>
                <w:sz w:val="21"/>
                <w:szCs w:val="21"/>
                <w:highlight w:val="none"/>
                <w:lang w:bidi="ar"/>
              </w:rPr>
              <w:t>废油脂</w:t>
            </w:r>
          </w:p>
        </w:tc>
        <w:tc>
          <w:tcPr>
            <w:tcW w:w="1322" w:type="dxa"/>
            <w:vAlign w:val="center"/>
          </w:tcPr>
          <w:p w14:paraId="338C25B3">
            <w:pPr>
              <w:pStyle w:val="87"/>
              <w:spacing w:beforeLines="0" w:afterLines="0" w:line="240" w:lineRule="auto"/>
              <w:rPr>
                <w:rFonts w:hint="eastAsia" w:ascii="Times New Roman"/>
                <w:bCs/>
                <w:color w:val="auto"/>
                <w:szCs w:val="21"/>
                <w:highlight w:val="none"/>
              </w:rPr>
            </w:pPr>
            <w:r>
              <w:rPr>
                <w:rFonts w:hint="eastAsia" w:ascii="Times New Roman"/>
                <w:snapToGrid w:val="0"/>
                <w:color w:val="auto"/>
                <w:kern w:val="21"/>
                <w:szCs w:val="21"/>
                <w:highlight w:val="none"/>
                <w:lang w:val="en-US" w:eastAsia="zh-CN"/>
              </w:rPr>
              <w:t>0.22</w:t>
            </w:r>
            <w:r>
              <w:rPr>
                <w:rFonts w:ascii="Times New Roman"/>
                <w:snapToGrid w:val="0"/>
                <w:color w:val="auto"/>
                <w:kern w:val="21"/>
                <w:szCs w:val="21"/>
                <w:highlight w:val="none"/>
              </w:rPr>
              <w:t>t/a</w:t>
            </w:r>
          </w:p>
        </w:tc>
        <w:tc>
          <w:tcPr>
            <w:tcW w:w="1486" w:type="dxa"/>
            <w:vAlign w:val="center"/>
          </w:tcPr>
          <w:p w14:paraId="5DB1E0D6">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25E5AE05">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92BDEE6">
            <w:pPr>
              <w:pStyle w:val="87"/>
              <w:spacing w:beforeLines="0" w:afterLines="0" w:line="240" w:lineRule="auto"/>
              <w:rPr>
                <w:rFonts w:hint="eastAsia" w:ascii="Times New Roman" w:eastAsia="等线"/>
                <w:bCs/>
                <w:color w:val="auto"/>
                <w:szCs w:val="21"/>
                <w:highlight w:val="none"/>
              </w:rPr>
            </w:pPr>
            <w:r>
              <w:rPr>
                <w:rFonts w:hint="eastAsia" w:ascii="Times New Roman"/>
                <w:color w:val="auto"/>
                <w:kern w:val="2"/>
                <w:szCs w:val="21"/>
                <w:highlight w:val="none"/>
                <w:lang w:val="en-US" w:eastAsia="zh-CN"/>
              </w:rPr>
              <w:t>0.1</w:t>
            </w:r>
            <w:r>
              <w:rPr>
                <w:rFonts w:hint="eastAsia" w:ascii="Times New Roman"/>
                <w:color w:val="auto"/>
                <w:kern w:val="2"/>
                <w:szCs w:val="21"/>
                <w:highlight w:val="none"/>
              </w:rPr>
              <w:t>t/a</w:t>
            </w:r>
          </w:p>
        </w:tc>
        <w:tc>
          <w:tcPr>
            <w:tcW w:w="1827" w:type="dxa"/>
            <w:vAlign w:val="center"/>
          </w:tcPr>
          <w:p w14:paraId="5903B854">
            <w:pPr>
              <w:pStyle w:val="87"/>
              <w:spacing w:beforeLines="0" w:afterLines="0" w:line="240" w:lineRule="auto"/>
              <w:rPr>
                <w:rFonts w:hint="eastAsia" w:ascii="Times New Roman" w:eastAsia="宋体"/>
                <w:bCs/>
                <w:color w:val="auto"/>
                <w:szCs w:val="21"/>
                <w:highlight w:val="none"/>
                <w:lang w:val="en-US" w:eastAsia="zh-CN"/>
              </w:rPr>
            </w:pPr>
            <w:r>
              <w:rPr>
                <w:rFonts w:hint="eastAsia" w:ascii="Times New Roman"/>
                <w:bCs/>
                <w:color w:val="auto"/>
                <w:szCs w:val="21"/>
                <w:highlight w:val="none"/>
                <w:lang w:val="en-US" w:eastAsia="zh-CN"/>
              </w:rPr>
              <w:t>0</w:t>
            </w:r>
          </w:p>
        </w:tc>
        <w:tc>
          <w:tcPr>
            <w:tcW w:w="1701" w:type="dxa"/>
            <w:vAlign w:val="center"/>
          </w:tcPr>
          <w:p w14:paraId="42867291">
            <w:pPr>
              <w:jc w:val="center"/>
              <w:rPr>
                <w:rFonts w:hint="default" w:eastAsia="宋体"/>
                <w:bCs/>
                <w:color w:val="auto"/>
                <w:szCs w:val="21"/>
                <w:highlight w:val="none"/>
                <w:lang w:val="en-US" w:eastAsia="zh-CN"/>
              </w:rPr>
            </w:pPr>
            <w:r>
              <w:rPr>
                <w:rFonts w:hint="eastAsia"/>
                <w:bCs/>
                <w:color w:val="auto"/>
                <w:szCs w:val="21"/>
                <w:highlight w:val="none"/>
                <w:lang w:val="en-US" w:eastAsia="zh-CN"/>
              </w:rPr>
              <w:t>0.32</w:t>
            </w:r>
            <w:r>
              <w:rPr>
                <w:rFonts w:hint="eastAsia" w:ascii="Times New Roman"/>
                <w:color w:val="auto"/>
                <w:kern w:val="2"/>
                <w:szCs w:val="21"/>
                <w:highlight w:val="none"/>
              </w:rPr>
              <w:t>t/a</w:t>
            </w:r>
          </w:p>
        </w:tc>
        <w:tc>
          <w:tcPr>
            <w:tcW w:w="1427" w:type="dxa"/>
            <w:vAlign w:val="center"/>
          </w:tcPr>
          <w:p w14:paraId="39D96314">
            <w:pPr>
              <w:pStyle w:val="87"/>
              <w:spacing w:beforeLines="0" w:afterLines="0" w:line="240" w:lineRule="auto"/>
              <w:rPr>
                <w:rFonts w:hint="eastAsia"/>
                <w:snapToGrid w:val="0"/>
                <w:color w:val="auto"/>
                <w:kern w:val="21"/>
                <w:szCs w:val="21"/>
                <w:highlight w:val="none"/>
              </w:rPr>
            </w:pPr>
            <w:r>
              <w:rPr>
                <w:rFonts w:hint="eastAsia"/>
                <w:color w:val="auto"/>
                <w:szCs w:val="21"/>
                <w:highlight w:val="none"/>
              </w:rPr>
              <w:t>+</w:t>
            </w:r>
            <w:r>
              <w:rPr>
                <w:rFonts w:hint="eastAsia" w:ascii="Times New Roman"/>
                <w:color w:val="auto"/>
                <w:kern w:val="2"/>
                <w:szCs w:val="21"/>
                <w:highlight w:val="none"/>
                <w:lang w:val="en-US" w:eastAsia="zh-CN"/>
              </w:rPr>
              <w:t>0.1</w:t>
            </w:r>
            <w:r>
              <w:rPr>
                <w:rFonts w:hint="eastAsia" w:ascii="Times New Roman"/>
                <w:color w:val="auto"/>
                <w:kern w:val="2"/>
                <w:szCs w:val="21"/>
                <w:highlight w:val="none"/>
              </w:rPr>
              <w:t>t/a</w:t>
            </w:r>
          </w:p>
        </w:tc>
      </w:tr>
      <w:tr w14:paraId="65CDE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continue"/>
            <w:vAlign w:val="center"/>
          </w:tcPr>
          <w:p w14:paraId="19A80F0B">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5211FB1F">
            <w:pPr>
              <w:pStyle w:val="87"/>
              <w:spacing w:beforeLines="0" w:afterLines="0" w:line="240" w:lineRule="auto"/>
              <w:rPr>
                <w:rFonts w:ascii="Times New Roman"/>
                <w:bCs/>
                <w:color w:val="auto"/>
                <w:szCs w:val="21"/>
                <w:highlight w:val="none"/>
              </w:rPr>
            </w:pPr>
            <w:r>
              <w:rPr>
                <w:rFonts w:hint="default" w:ascii="Times New Roman" w:hAnsi="Times New Roman" w:cs="Times New Roman"/>
                <w:color w:val="auto"/>
                <w:sz w:val="21"/>
                <w:szCs w:val="21"/>
                <w:highlight w:val="none"/>
                <w:lang w:eastAsia="zh-CN" w:bidi="ar"/>
              </w:rPr>
              <w:t>废编织袋</w:t>
            </w:r>
          </w:p>
        </w:tc>
        <w:tc>
          <w:tcPr>
            <w:tcW w:w="1322" w:type="dxa"/>
            <w:vAlign w:val="center"/>
          </w:tcPr>
          <w:p w14:paraId="078AE668">
            <w:pPr>
              <w:pStyle w:val="87"/>
              <w:spacing w:beforeLines="0" w:afterLines="0" w:line="240" w:lineRule="auto"/>
              <w:rPr>
                <w:rFonts w:hint="eastAsia" w:ascii="Times New Roman"/>
                <w:bCs/>
                <w:color w:val="auto"/>
                <w:szCs w:val="21"/>
                <w:highlight w:val="none"/>
              </w:rPr>
            </w:pPr>
            <w:r>
              <w:rPr>
                <w:rFonts w:hint="eastAsia" w:ascii="Times New Roman"/>
                <w:snapToGrid w:val="0"/>
                <w:color w:val="auto"/>
                <w:kern w:val="21"/>
                <w:szCs w:val="21"/>
                <w:highlight w:val="none"/>
                <w:lang w:val="en-US" w:eastAsia="zh-CN"/>
              </w:rPr>
              <w:t>10kg/a</w:t>
            </w:r>
          </w:p>
        </w:tc>
        <w:tc>
          <w:tcPr>
            <w:tcW w:w="1486" w:type="dxa"/>
            <w:vAlign w:val="center"/>
          </w:tcPr>
          <w:p w14:paraId="52341DD9">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2BD021AA">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B443427">
            <w:pPr>
              <w:pStyle w:val="87"/>
              <w:spacing w:beforeLines="0" w:afterLines="0" w:line="240" w:lineRule="auto"/>
              <w:rPr>
                <w:rFonts w:hint="eastAsia" w:ascii="Times New Roman" w:eastAsia="等线"/>
                <w:bCs/>
                <w:color w:val="auto"/>
                <w:szCs w:val="21"/>
                <w:highlight w:val="none"/>
              </w:rPr>
            </w:pPr>
            <w:r>
              <w:rPr>
                <w:rFonts w:hint="eastAsia" w:ascii="Times New Roman"/>
                <w:color w:val="auto"/>
                <w:kern w:val="2"/>
                <w:szCs w:val="21"/>
                <w:highlight w:val="none"/>
                <w:lang w:val="en-US" w:eastAsia="zh-CN"/>
              </w:rPr>
              <w:t>15kg</w:t>
            </w:r>
            <w:r>
              <w:rPr>
                <w:rFonts w:hint="eastAsia" w:ascii="Times New Roman"/>
                <w:color w:val="auto"/>
                <w:kern w:val="2"/>
                <w:szCs w:val="21"/>
                <w:highlight w:val="none"/>
              </w:rPr>
              <w:t>/a</w:t>
            </w:r>
          </w:p>
        </w:tc>
        <w:tc>
          <w:tcPr>
            <w:tcW w:w="1827" w:type="dxa"/>
            <w:vAlign w:val="center"/>
          </w:tcPr>
          <w:p w14:paraId="4D3EBEE1">
            <w:pPr>
              <w:pStyle w:val="87"/>
              <w:spacing w:beforeLines="0" w:afterLines="0" w:line="240" w:lineRule="auto"/>
              <w:rPr>
                <w:rFonts w:hint="eastAsia" w:ascii="Times New Roman" w:eastAsia="宋体"/>
                <w:bCs/>
                <w:color w:val="auto"/>
                <w:szCs w:val="21"/>
                <w:highlight w:val="none"/>
                <w:lang w:val="en-US" w:eastAsia="zh-CN"/>
              </w:rPr>
            </w:pPr>
            <w:r>
              <w:rPr>
                <w:rFonts w:hint="eastAsia" w:ascii="Times New Roman"/>
                <w:bCs/>
                <w:color w:val="auto"/>
                <w:szCs w:val="21"/>
                <w:highlight w:val="none"/>
                <w:lang w:val="en-US" w:eastAsia="zh-CN"/>
              </w:rPr>
              <w:t>0</w:t>
            </w:r>
          </w:p>
        </w:tc>
        <w:tc>
          <w:tcPr>
            <w:tcW w:w="1701" w:type="dxa"/>
            <w:vAlign w:val="center"/>
          </w:tcPr>
          <w:p w14:paraId="2812C142">
            <w:pPr>
              <w:jc w:val="center"/>
              <w:rPr>
                <w:rFonts w:hint="default" w:eastAsia="宋体"/>
                <w:bCs/>
                <w:color w:val="auto"/>
                <w:szCs w:val="21"/>
                <w:highlight w:val="none"/>
                <w:lang w:val="en-US" w:eastAsia="zh-CN"/>
              </w:rPr>
            </w:pPr>
            <w:r>
              <w:rPr>
                <w:rFonts w:hint="eastAsia"/>
                <w:bCs/>
                <w:color w:val="auto"/>
                <w:szCs w:val="21"/>
                <w:highlight w:val="none"/>
                <w:lang w:val="en-US" w:eastAsia="zh-CN"/>
              </w:rPr>
              <w:t>25</w:t>
            </w:r>
            <w:r>
              <w:rPr>
                <w:rFonts w:hint="eastAsia" w:ascii="Times New Roman"/>
                <w:color w:val="auto"/>
                <w:kern w:val="2"/>
                <w:szCs w:val="21"/>
                <w:highlight w:val="none"/>
                <w:lang w:val="en-US" w:eastAsia="zh-CN"/>
              </w:rPr>
              <w:t>kg</w:t>
            </w:r>
            <w:r>
              <w:rPr>
                <w:rFonts w:hint="eastAsia" w:ascii="Times New Roman"/>
                <w:color w:val="auto"/>
                <w:kern w:val="2"/>
                <w:szCs w:val="21"/>
                <w:highlight w:val="none"/>
              </w:rPr>
              <w:t>/a</w:t>
            </w:r>
          </w:p>
        </w:tc>
        <w:tc>
          <w:tcPr>
            <w:tcW w:w="1427" w:type="dxa"/>
            <w:vAlign w:val="center"/>
          </w:tcPr>
          <w:p w14:paraId="16D9D7CC">
            <w:pPr>
              <w:pStyle w:val="87"/>
              <w:spacing w:beforeLines="0" w:afterLines="0" w:line="240" w:lineRule="auto"/>
              <w:rPr>
                <w:rFonts w:hint="eastAsia"/>
                <w:snapToGrid w:val="0"/>
                <w:color w:val="auto"/>
                <w:kern w:val="21"/>
                <w:szCs w:val="21"/>
                <w:highlight w:val="none"/>
              </w:rPr>
            </w:pPr>
            <w:r>
              <w:rPr>
                <w:rFonts w:hint="eastAsia"/>
                <w:color w:val="auto"/>
                <w:szCs w:val="21"/>
                <w:highlight w:val="none"/>
              </w:rPr>
              <w:t>+</w:t>
            </w:r>
            <w:r>
              <w:rPr>
                <w:rFonts w:hint="eastAsia" w:ascii="Times New Roman"/>
                <w:color w:val="auto"/>
                <w:kern w:val="2"/>
                <w:szCs w:val="21"/>
                <w:highlight w:val="none"/>
                <w:lang w:val="en-US" w:eastAsia="zh-CN"/>
              </w:rPr>
              <w:t>15kg</w:t>
            </w:r>
            <w:r>
              <w:rPr>
                <w:rFonts w:hint="eastAsia" w:ascii="Times New Roman"/>
                <w:color w:val="auto"/>
                <w:kern w:val="2"/>
                <w:szCs w:val="21"/>
                <w:highlight w:val="none"/>
              </w:rPr>
              <w:t>/a</w:t>
            </w:r>
          </w:p>
        </w:tc>
      </w:tr>
      <w:tr w14:paraId="13EEF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236B7DB4">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1586" w:type="dxa"/>
            <w:vAlign w:val="center"/>
          </w:tcPr>
          <w:p w14:paraId="22C46394">
            <w:pPr>
              <w:pStyle w:val="87"/>
              <w:spacing w:beforeLines="0" w:afterLines="0" w:line="240" w:lineRule="auto"/>
              <w:rPr>
                <w:rFonts w:ascii="Times New Roman"/>
                <w:color w:val="auto"/>
                <w:szCs w:val="28"/>
                <w:highlight w:val="none"/>
              </w:rPr>
            </w:pPr>
            <w:r>
              <w:rPr>
                <w:rFonts w:ascii="Times New Roman"/>
                <w:color w:val="auto"/>
                <w:szCs w:val="28"/>
                <w:highlight w:val="none"/>
              </w:rPr>
              <w:t>废</w:t>
            </w:r>
            <w:r>
              <w:rPr>
                <w:rFonts w:hint="eastAsia" w:ascii="Times New Roman"/>
                <w:color w:val="auto"/>
                <w:szCs w:val="28"/>
                <w:highlight w:val="none"/>
              </w:rPr>
              <w:t>润滑</w:t>
            </w:r>
            <w:r>
              <w:rPr>
                <w:rFonts w:ascii="Times New Roman"/>
                <w:color w:val="auto"/>
                <w:szCs w:val="28"/>
                <w:highlight w:val="none"/>
              </w:rPr>
              <w:t>油</w:t>
            </w:r>
          </w:p>
          <w:p w14:paraId="3C48C029">
            <w:pPr>
              <w:pStyle w:val="87"/>
              <w:spacing w:beforeLines="0" w:afterLines="0" w:line="240" w:lineRule="auto"/>
              <w:rPr>
                <w:rFonts w:ascii="Times New Roman"/>
                <w:color w:val="auto"/>
                <w:szCs w:val="28"/>
                <w:highlight w:val="none"/>
              </w:rPr>
            </w:pPr>
            <w:r>
              <w:rPr>
                <w:rFonts w:hint="eastAsia" w:ascii="Times New Roman"/>
                <w:color w:val="auto"/>
                <w:szCs w:val="28"/>
                <w:highlight w:val="none"/>
              </w:rPr>
              <w:t>、</w:t>
            </w:r>
            <w:r>
              <w:rPr>
                <w:rFonts w:ascii="Times New Roman"/>
                <w:color w:val="auto"/>
                <w:szCs w:val="28"/>
                <w:highlight w:val="none"/>
              </w:rPr>
              <w:t>含油手套</w:t>
            </w:r>
          </w:p>
          <w:p w14:paraId="0CABD6A8">
            <w:pPr>
              <w:pStyle w:val="87"/>
              <w:spacing w:beforeLines="0" w:afterLines="0" w:line="240" w:lineRule="auto"/>
              <w:rPr>
                <w:rFonts w:ascii="Times New Roman"/>
                <w:snapToGrid w:val="0"/>
                <w:color w:val="auto"/>
                <w:kern w:val="21"/>
                <w:szCs w:val="21"/>
                <w:highlight w:val="none"/>
              </w:rPr>
            </w:pPr>
            <w:r>
              <w:rPr>
                <w:rFonts w:hint="eastAsia" w:ascii="Times New Roman"/>
                <w:color w:val="auto"/>
                <w:szCs w:val="28"/>
                <w:highlight w:val="none"/>
              </w:rPr>
              <w:t>及</w:t>
            </w:r>
            <w:r>
              <w:rPr>
                <w:rFonts w:ascii="Times New Roman"/>
                <w:color w:val="auto"/>
                <w:szCs w:val="28"/>
                <w:highlight w:val="none"/>
              </w:rPr>
              <w:t>棉纱</w:t>
            </w:r>
            <w:r>
              <w:rPr>
                <w:rFonts w:hint="eastAsia" w:ascii="Times New Roman"/>
                <w:color w:val="auto"/>
                <w:szCs w:val="28"/>
                <w:highlight w:val="none"/>
              </w:rPr>
              <w:t>、</w:t>
            </w:r>
            <w:r>
              <w:rPr>
                <w:rFonts w:ascii="Times New Roman"/>
                <w:color w:val="auto"/>
                <w:szCs w:val="28"/>
                <w:highlight w:val="none"/>
              </w:rPr>
              <w:t>废油桶</w:t>
            </w:r>
          </w:p>
        </w:tc>
        <w:tc>
          <w:tcPr>
            <w:tcW w:w="1322" w:type="dxa"/>
            <w:vAlign w:val="center"/>
          </w:tcPr>
          <w:p w14:paraId="773C433D">
            <w:pPr>
              <w:jc w:val="center"/>
              <w:rPr>
                <w:snapToGrid w:val="0"/>
                <w:color w:val="auto"/>
                <w:kern w:val="21"/>
                <w:szCs w:val="21"/>
                <w:highlight w:val="none"/>
              </w:rPr>
            </w:pPr>
            <w:r>
              <w:rPr>
                <w:rFonts w:hint="eastAsia" w:eastAsia="等线"/>
                <w:snapToGrid w:val="0"/>
                <w:color w:val="auto"/>
                <w:kern w:val="21"/>
                <w:szCs w:val="21"/>
                <w:highlight w:val="none"/>
                <w:lang w:val="en-US" w:eastAsia="zh-CN"/>
              </w:rPr>
              <w:t>0.04</w:t>
            </w:r>
            <w:r>
              <w:rPr>
                <w:rFonts w:eastAsia="等线"/>
                <w:color w:val="auto"/>
                <w:szCs w:val="21"/>
                <w:highlight w:val="none"/>
              </w:rPr>
              <w:t>t</w:t>
            </w:r>
            <w:r>
              <w:rPr>
                <w:rFonts w:eastAsia="等线"/>
                <w:bCs/>
                <w:color w:val="auto"/>
                <w:szCs w:val="21"/>
                <w:highlight w:val="none"/>
              </w:rPr>
              <w:t>/a</w:t>
            </w:r>
          </w:p>
        </w:tc>
        <w:tc>
          <w:tcPr>
            <w:tcW w:w="1486" w:type="dxa"/>
            <w:vAlign w:val="center"/>
          </w:tcPr>
          <w:p w14:paraId="4AE68A48">
            <w:pPr>
              <w:jc w:val="center"/>
              <w:rPr>
                <w:snapToGrid w:val="0"/>
                <w:color w:val="auto"/>
                <w:kern w:val="21"/>
                <w:szCs w:val="21"/>
                <w:highlight w:val="none"/>
              </w:rPr>
            </w:pPr>
          </w:p>
        </w:tc>
        <w:tc>
          <w:tcPr>
            <w:tcW w:w="1446" w:type="dxa"/>
            <w:vAlign w:val="center"/>
          </w:tcPr>
          <w:p w14:paraId="60F27C2E">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46315A93">
            <w:pPr>
              <w:pStyle w:val="87"/>
              <w:spacing w:beforeLines="0" w:afterLines="0" w:line="240" w:lineRule="auto"/>
              <w:rPr>
                <w:rFonts w:ascii="Times New Roman"/>
                <w:snapToGrid w:val="0"/>
                <w:color w:val="auto"/>
                <w:kern w:val="21"/>
                <w:szCs w:val="21"/>
                <w:highlight w:val="none"/>
              </w:rPr>
            </w:pPr>
            <w:r>
              <w:rPr>
                <w:rFonts w:hint="eastAsia" w:ascii="Times New Roman"/>
                <w:color w:val="auto"/>
                <w:szCs w:val="21"/>
                <w:highlight w:val="none"/>
              </w:rPr>
              <w:t>0.0</w:t>
            </w:r>
            <w:r>
              <w:rPr>
                <w:rFonts w:hint="eastAsia" w:ascii="Times New Roman"/>
                <w:color w:val="auto"/>
                <w:szCs w:val="21"/>
                <w:highlight w:val="none"/>
                <w:lang w:val="en-US" w:eastAsia="zh-CN"/>
              </w:rPr>
              <w:t>5</w:t>
            </w:r>
            <w:r>
              <w:rPr>
                <w:rFonts w:ascii="Times New Roman"/>
                <w:color w:val="auto"/>
                <w:szCs w:val="21"/>
                <w:highlight w:val="none"/>
              </w:rPr>
              <w:t>t/a</w:t>
            </w:r>
          </w:p>
        </w:tc>
        <w:tc>
          <w:tcPr>
            <w:tcW w:w="1827" w:type="dxa"/>
            <w:vAlign w:val="center"/>
          </w:tcPr>
          <w:p w14:paraId="35FA58B0">
            <w:pPr>
              <w:pStyle w:val="87"/>
              <w:spacing w:beforeLines="0" w:afterLines="0" w:line="240" w:lineRule="auto"/>
              <w:rPr>
                <w:rFonts w:ascii="Times New Roman"/>
                <w:snapToGrid w:val="0"/>
                <w:color w:val="auto"/>
                <w:kern w:val="21"/>
                <w:szCs w:val="21"/>
                <w:highlight w:val="none"/>
              </w:rPr>
            </w:pPr>
            <w:r>
              <w:rPr>
                <w:rFonts w:ascii="Times New Roman"/>
                <w:bCs/>
                <w:color w:val="auto"/>
                <w:sz w:val="22"/>
                <w:szCs w:val="22"/>
                <w:highlight w:val="none"/>
              </w:rPr>
              <w:t>0</w:t>
            </w:r>
          </w:p>
        </w:tc>
        <w:tc>
          <w:tcPr>
            <w:tcW w:w="1701" w:type="dxa"/>
            <w:vAlign w:val="center"/>
          </w:tcPr>
          <w:p w14:paraId="63DC7701">
            <w:pPr>
              <w:jc w:val="center"/>
              <w:rPr>
                <w:snapToGrid w:val="0"/>
                <w:color w:val="auto"/>
                <w:kern w:val="21"/>
                <w:szCs w:val="21"/>
                <w:highlight w:val="none"/>
              </w:rPr>
            </w:pPr>
            <w:r>
              <w:rPr>
                <w:rFonts w:hint="eastAsia" w:eastAsia="等线"/>
                <w:bCs/>
                <w:color w:val="auto"/>
                <w:szCs w:val="21"/>
                <w:highlight w:val="none"/>
              </w:rPr>
              <w:t>0.</w:t>
            </w:r>
            <w:r>
              <w:rPr>
                <w:rFonts w:hint="eastAsia" w:eastAsia="等线"/>
                <w:bCs/>
                <w:color w:val="auto"/>
                <w:szCs w:val="21"/>
                <w:highlight w:val="none"/>
                <w:lang w:val="en-US" w:eastAsia="zh-CN"/>
              </w:rPr>
              <w:t>09</w:t>
            </w:r>
            <w:r>
              <w:rPr>
                <w:snapToGrid w:val="0"/>
                <w:color w:val="auto"/>
                <w:kern w:val="21"/>
                <w:szCs w:val="21"/>
                <w:highlight w:val="none"/>
              </w:rPr>
              <w:t>t/a</w:t>
            </w:r>
          </w:p>
        </w:tc>
        <w:tc>
          <w:tcPr>
            <w:tcW w:w="1427" w:type="dxa"/>
            <w:vAlign w:val="center"/>
          </w:tcPr>
          <w:p w14:paraId="6B4ED338">
            <w:pPr>
              <w:jc w:val="center"/>
              <w:rPr>
                <w:snapToGrid w:val="0"/>
                <w:color w:val="auto"/>
                <w:kern w:val="21"/>
                <w:szCs w:val="21"/>
                <w:highlight w:val="none"/>
              </w:rPr>
            </w:pPr>
            <w:r>
              <w:rPr>
                <w:rFonts w:hint="eastAsia"/>
                <w:snapToGrid w:val="0"/>
                <w:color w:val="auto"/>
                <w:kern w:val="21"/>
                <w:szCs w:val="21"/>
                <w:highlight w:val="none"/>
              </w:rPr>
              <w:t>+0.0</w:t>
            </w:r>
            <w:r>
              <w:rPr>
                <w:rFonts w:hint="eastAsia"/>
                <w:snapToGrid w:val="0"/>
                <w:color w:val="auto"/>
                <w:kern w:val="21"/>
                <w:szCs w:val="21"/>
                <w:highlight w:val="none"/>
                <w:lang w:val="en-US" w:eastAsia="zh-CN"/>
              </w:rPr>
              <w:t>5</w:t>
            </w:r>
            <w:r>
              <w:rPr>
                <w:color w:val="auto"/>
                <w:szCs w:val="21"/>
                <w:highlight w:val="none"/>
              </w:rPr>
              <w:t>t/a</w:t>
            </w:r>
          </w:p>
        </w:tc>
      </w:tr>
    </w:tbl>
    <w:p w14:paraId="2D2AA1C1">
      <w:pPr>
        <w:pStyle w:val="87"/>
        <w:spacing w:beforeLines="80" w:after="24"/>
        <w:jc w:val="left"/>
        <w:rPr>
          <w:rFonts w:hint="eastAsia" w:eastAsia="宋体"/>
          <w:color w:val="auto"/>
          <w:highlight w:val="none"/>
          <w:lang w:eastAsia="zh-CN"/>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lang w:eastAsia="zh-CN"/>
        </w:rPr>
        <w:t>；本项目排放量实为新增工程排放量。</w:t>
      </w:r>
    </w:p>
    <w:p w14:paraId="599287D1">
      <w:pPr>
        <w:jc w:val="left"/>
        <w:rPr>
          <w:color w:val="auto"/>
          <w:highlight w:val="none"/>
        </w:rPr>
      </w:pPr>
    </w:p>
    <w:p w14:paraId="23E74AB9">
      <w:pPr>
        <w:rPr>
          <w:color w:val="auto"/>
          <w:highlight w:val="none"/>
        </w:rPr>
      </w:pPr>
    </w:p>
    <w:p w14:paraId="37CA951D">
      <w:pPr>
        <w:rPr>
          <w:color w:val="auto"/>
          <w:highlight w:val="none"/>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6208C31-237F-4617-AF46-DEE0C9EB6A44}"/>
  </w:font>
  <w:font w:name="黑体">
    <w:panose1 w:val="02010609060101010101"/>
    <w:charset w:val="86"/>
    <w:family w:val="auto"/>
    <w:pitch w:val="default"/>
    <w:sig w:usb0="800002BF" w:usb1="38CF7CFA" w:usb2="00000016" w:usb3="00000000" w:csb0="00040001" w:csb1="00000000"/>
    <w:embedRegular r:id="rId2" w:fontKey="{25C38D11-C08C-4E23-B6A2-FC451F73CB1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A9056703-3AD4-4529-9305-C0D561EA91AE}"/>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4" w:fontKey="{00A6CAC7-1514-496E-9BBB-9CB287FB4204}"/>
  </w:font>
  <w:font w:name="仿宋">
    <w:panose1 w:val="02010609060101010101"/>
    <w:charset w:val="86"/>
    <w:family w:val="modern"/>
    <w:pitch w:val="default"/>
    <w:sig w:usb0="800002BF" w:usb1="38CF7CFA" w:usb2="00000016" w:usb3="00000000" w:csb0="00040001" w:csb1="00000000"/>
    <w:embedRegular r:id="rId5" w:fontKey="{1ED19123-51CF-4026-AAAE-4DBDC7780B0D}"/>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embedRegular r:id="rId6" w:fontKey="{9D6D28A1-169C-4BF1-99C1-62D8E4E730A9}"/>
  </w:font>
  <w:font w:name="Gloucester MT Extra Condensed">
    <w:altName w:val="MT Extra"/>
    <w:panose1 w:val="02030808020601010101"/>
    <w:charset w:val="00"/>
    <w:family w:val="roman"/>
    <w:pitch w:val="default"/>
    <w:sig w:usb0="00000000" w:usb1="00000000" w:usb2="00000000" w:usb3="00000000" w:csb0="20000001" w:csb1="00000000"/>
  </w:font>
  <w:font w:name="MT Extra">
    <w:panose1 w:val="05050102010205020202"/>
    <w:charset w:val="00"/>
    <w:family w:val="auto"/>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embedRegular r:id="rId7" w:fontKey="{2BA9373E-7577-4AF2-8AEE-F677E97EAEDC}"/>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 w:name="方正小标宋_GBK">
    <w:altName w:val="微软雅黑"/>
    <w:panose1 w:val="00000000000000000000"/>
    <w:charset w:val="86"/>
    <w:family w:val="auto"/>
    <w:pitch w:val="default"/>
    <w:sig w:usb0="00000000" w:usb1="00000000" w:usb2="00000000" w:usb3="00000000" w:csb0="00040000" w:csb1="00000000"/>
    <w:embedRegular r:id="rId8" w:fontKey="{C3FE4F81-5EC2-420B-9E1E-5FEEF62C3DB9}"/>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embedRegular r:id="rId9" w:fontKey="{AA335EC3-D921-4907-A399-12EECD39FD32}"/>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10" w:fontKey="{5F0EA6D9-3B8F-4F6B-9D10-56A32A6B557A}"/>
  </w:font>
  <w:font w:name="Wingdings 2">
    <w:panose1 w:val="05020102010507070707"/>
    <w:charset w:val="02"/>
    <w:family w:val="roman"/>
    <w:pitch w:val="default"/>
    <w:sig w:usb0="00000000" w:usb1="00000000" w:usb2="00000000" w:usb3="00000000" w:csb0="80000000" w:csb1="00000000"/>
    <w:embedRegular r:id="rId11" w:fontKey="{82A2D804-FA84-44E3-A8A5-EDFBA604501E}"/>
  </w:font>
  <w:font w:name="Cambria Math">
    <w:panose1 w:val="02040503050406030204"/>
    <w:charset w:val="00"/>
    <w:family w:val="roman"/>
    <w:pitch w:val="default"/>
    <w:sig w:usb0="E00002FF" w:usb1="420024FF" w:usb2="00000000" w:usb3="00000000" w:csb0="2000019F" w:csb1="00000000"/>
    <w:embedRegular r:id="rId12" w:fontKey="{37399884-62AD-4E8F-9D74-94B6B40FA9D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9CC11">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9670">
    <w:pPr>
      <w:pStyle w:val="23"/>
      <w:framePr w:wrap="around" w:vAnchor="text" w:hAnchor="margin" w:xAlign="center" w:y="1"/>
      <w:rPr>
        <w:rStyle w:val="39"/>
      </w:rPr>
    </w:pPr>
    <w:r>
      <w:fldChar w:fldCharType="begin"/>
    </w:r>
    <w:r>
      <w:rPr>
        <w:rStyle w:val="39"/>
      </w:rPr>
      <w:instrText xml:space="preserve">PAGE  </w:instrText>
    </w:r>
    <w:r>
      <w:fldChar w:fldCharType="end"/>
    </w:r>
  </w:p>
  <w:p w14:paraId="371E3746">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7DD9B">
    <w:pPr>
      <w:pStyle w:val="23"/>
      <w:jc w:val="center"/>
    </w:pPr>
    <w:r>
      <w:fldChar w:fldCharType="begin"/>
    </w:r>
    <w:r>
      <w:instrText xml:space="preserve">PAGE   \* MERGEFORMAT</w:instrText>
    </w:r>
    <w:r>
      <w:fldChar w:fldCharType="separate"/>
    </w:r>
    <w:r>
      <w:rPr>
        <w:lang w:val="zh-CN"/>
      </w:rPr>
      <w:t>21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2A10">
    <w:pPr>
      <w:pStyle w:val="23"/>
      <w:jc w:val="center"/>
    </w:pPr>
    <w:r>
      <w:fldChar w:fldCharType="begin"/>
    </w:r>
    <w:r>
      <w:instrText xml:space="preserve">PAGE   \* MERGEFORMAT</w:instrText>
    </w:r>
    <w:r>
      <w:fldChar w:fldCharType="separate"/>
    </w:r>
    <w:r>
      <w:rPr>
        <w:lang w:val="zh-CN"/>
      </w:rPr>
      <w:t>37</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A3F6">
    <w:pPr>
      <w:pStyle w:val="23"/>
      <w:jc w:val="center"/>
    </w:pPr>
    <w:r>
      <w:fldChar w:fldCharType="begin"/>
    </w:r>
    <w:r>
      <w:instrText xml:space="preserve">PAGE   \* MERGEFORMAT</w:instrText>
    </w:r>
    <w:r>
      <w:fldChar w:fldCharType="separate"/>
    </w:r>
    <w:r>
      <w:rPr>
        <w:lang w:val="zh-CN"/>
      </w:rPr>
      <w:t>38</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3E30A"/>
    <w:multiLevelType w:val="singleLevel"/>
    <w:tmpl w:val="BB93E30A"/>
    <w:lvl w:ilvl="0" w:tentative="0">
      <w:start w:val="2"/>
      <w:numFmt w:val="decimal"/>
      <w:suff w:val="nothing"/>
      <w:lvlText w:val="%1、"/>
      <w:lvlJc w:val="left"/>
    </w:lvl>
  </w:abstractNum>
  <w:abstractNum w:abstractNumId="1">
    <w:nsid w:val="08A5DADB"/>
    <w:multiLevelType w:val="singleLevel"/>
    <w:tmpl w:val="08A5DADB"/>
    <w:lvl w:ilvl="0" w:tentative="0">
      <w:start w:val="1"/>
      <w:numFmt w:val="decimal"/>
      <w:suff w:val="nothing"/>
      <w:lvlText w:val="%1、"/>
      <w:lvlJc w:val="left"/>
    </w:lvl>
  </w:abstractNum>
  <w:abstractNum w:abstractNumId="2">
    <w:nsid w:val="4245316C"/>
    <w:multiLevelType w:val="singleLevel"/>
    <w:tmpl w:val="4245316C"/>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wYzEwOWI2Yjc4NDVkNjk2YzU5M2Q5NzRhZTcxNWEifQ=="/>
  </w:docVars>
  <w:rsids>
    <w:rsidRoot w:val="00341DD4"/>
    <w:rsid w:val="00034671"/>
    <w:rsid w:val="000A1431"/>
    <w:rsid w:val="001A2968"/>
    <w:rsid w:val="001B2D45"/>
    <w:rsid w:val="001C4A74"/>
    <w:rsid w:val="00220A90"/>
    <w:rsid w:val="00310AA2"/>
    <w:rsid w:val="00341DD4"/>
    <w:rsid w:val="00454D77"/>
    <w:rsid w:val="00462C41"/>
    <w:rsid w:val="00500138"/>
    <w:rsid w:val="00553601"/>
    <w:rsid w:val="0058541D"/>
    <w:rsid w:val="005C6E8C"/>
    <w:rsid w:val="006E3B9C"/>
    <w:rsid w:val="008579B3"/>
    <w:rsid w:val="00902DE5"/>
    <w:rsid w:val="009E4EB2"/>
    <w:rsid w:val="00A238CC"/>
    <w:rsid w:val="00B27D00"/>
    <w:rsid w:val="00BA61DE"/>
    <w:rsid w:val="00BB03CF"/>
    <w:rsid w:val="00BF3FF1"/>
    <w:rsid w:val="00C71418"/>
    <w:rsid w:val="00E972B6"/>
    <w:rsid w:val="010130B2"/>
    <w:rsid w:val="01213C11"/>
    <w:rsid w:val="01276727"/>
    <w:rsid w:val="013663B1"/>
    <w:rsid w:val="014B07F6"/>
    <w:rsid w:val="01655E65"/>
    <w:rsid w:val="01687703"/>
    <w:rsid w:val="01772A16"/>
    <w:rsid w:val="0193608E"/>
    <w:rsid w:val="01975ACC"/>
    <w:rsid w:val="01987FE8"/>
    <w:rsid w:val="01A36CAD"/>
    <w:rsid w:val="01B97F5E"/>
    <w:rsid w:val="01BF6322"/>
    <w:rsid w:val="01E27317"/>
    <w:rsid w:val="01F30BBC"/>
    <w:rsid w:val="023E2B96"/>
    <w:rsid w:val="023E38D3"/>
    <w:rsid w:val="02433235"/>
    <w:rsid w:val="024A0090"/>
    <w:rsid w:val="025B354B"/>
    <w:rsid w:val="025C6398"/>
    <w:rsid w:val="0281282A"/>
    <w:rsid w:val="02992DA6"/>
    <w:rsid w:val="02B24C55"/>
    <w:rsid w:val="02BA37D8"/>
    <w:rsid w:val="02CD3CC1"/>
    <w:rsid w:val="02D45050"/>
    <w:rsid w:val="02FC7EA1"/>
    <w:rsid w:val="03003336"/>
    <w:rsid w:val="03082CC9"/>
    <w:rsid w:val="030E0896"/>
    <w:rsid w:val="03160F08"/>
    <w:rsid w:val="034B11BF"/>
    <w:rsid w:val="036E68CF"/>
    <w:rsid w:val="03762364"/>
    <w:rsid w:val="037A0E7B"/>
    <w:rsid w:val="037C672A"/>
    <w:rsid w:val="039F0BB6"/>
    <w:rsid w:val="03A67A1B"/>
    <w:rsid w:val="03C2759E"/>
    <w:rsid w:val="03C9092D"/>
    <w:rsid w:val="03D71DDD"/>
    <w:rsid w:val="03DD583A"/>
    <w:rsid w:val="04123E86"/>
    <w:rsid w:val="04166B3C"/>
    <w:rsid w:val="041C3581"/>
    <w:rsid w:val="042D199D"/>
    <w:rsid w:val="04437768"/>
    <w:rsid w:val="045B2258"/>
    <w:rsid w:val="045C354F"/>
    <w:rsid w:val="046039B6"/>
    <w:rsid w:val="04620439"/>
    <w:rsid w:val="04625C1B"/>
    <w:rsid w:val="04777509"/>
    <w:rsid w:val="04C35304"/>
    <w:rsid w:val="04D20441"/>
    <w:rsid w:val="04FC6AE0"/>
    <w:rsid w:val="0510665E"/>
    <w:rsid w:val="051B69A4"/>
    <w:rsid w:val="05212BF6"/>
    <w:rsid w:val="05487A70"/>
    <w:rsid w:val="054E09BE"/>
    <w:rsid w:val="05534A0F"/>
    <w:rsid w:val="056A63E5"/>
    <w:rsid w:val="058A5E9A"/>
    <w:rsid w:val="059138AB"/>
    <w:rsid w:val="05A15C51"/>
    <w:rsid w:val="05AD3936"/>
    <w:rsid w:val="05B3687C"/>
    <w:rsid w:val="05BD0623"/>
    <w:rsid w:val="05D05F97"/>
    <w:rsid w:val="05D977C6"/>
    <w:rsid w:val="06053772"/>
    <w:rsid w:val="06112117"/>
    <w:rsid w:val="06244E71"/>
    <w:rsid w:val="062956B3"/>
    <w:rsid w:val="062C436A"/>
    <w:rsid w:val="06386C91"/>
    <w:rsid w:val="06422A77"/>
    <w:rsid w:val="066071A5"/>
    <w:rsid w:val="067E2CDC"/>
    <w:rsid w:val="06A55BB0"/>
    <w:rsid w:val="06C62F02"/>
    <w:rsid w:val="06D679DB"/>
    <w:rsid w:val="06FF01C2"/>
    <w:rsid w:val="07000B16"/>
    <w:rsid w:val="07163C30"/>
    <w:rsid w:val="071866D7"/>
    <w:rsid w:val="073621AB"/>
    <w:rsid w:val="075E7367"/>
    <w:rsid w:val="078D2CAE"/>
    <w:rsid w:val="078D7271"/>
    <w:rsid w:val="07996296"/>
    <w:rsid w:val="07CC5123"/>
    <w:rsid w:val="07D57174"/>
    <w:rsid w:val="07FD6DF7"/>
    <w:rsid w:val="08061963"/>
    <w:rsid w:val="080816BD"/>
    <w:rsid w:val="08114650"/>
    <w:rsid w:val="084A7B62"/>
    <w:rsid w:val="085E716A"/>
    <w:rsid w:val="087A1BF2"/>
    <w:rsid w:val="08805F77"/>
    <w:rsid w:val="08A26031"/>
    <w:rsid w:val="08B374B6"/>
    <w:rsid w:val="08C031CE"/>
    <w:rsid w:val="08C938CC"/>
    <w:rsid w:val="08E458C1"/>
    <w:rsid w:val="08FD7BF9"/>
    <w:rsid w:val="09111561"/>
    <w:rsid w:val="09303FED"/>
    <w:rsid w:val="094B56AF"/>
    <w:rsid w:val="096156B5"/>
    <w:rsid w:val="09687D86"/>
    <w:rsid w:val="09823FA4"/>
    <w:rsid w:val="09866978"/>
    <w:rsid w:val="09873586"/>
    <w:rsid w:val="09A129E2"/>
    <w:rsid w:val="09A73712"/>
    <w:rsid w:val="09CE4371"/>
    <w:rsid w:val="09D50F2E"/>
    <w:rsid w:val="09D642FE"/>
    <w:rsid w:val="09E07A3D"/>
    <w:rsid w:val="09E518F1"/>
    <w:rsid w:val="09FB5160"/>
    <w:rsid w:val="0A115D4C"/>
    <w:rsid w:val="0A336560"/>
    <w:rsid w:val="0A4A209B"/>
    <w:rsid w:val="0A4C4192"/>
    <w:rsid w:val="0A742C74"/>
    <w:rsid w:val="0A93381B"/>
    <w:rsid w:val="0A974405"/>
    <w:rsid w:val="0ACC1AF3"/>
    <w:rsid w:val="0ACF3DEB"/>
    <w:rsid w:val="0AE1033E"/>
    <w:rsid w:val="0AEC3153"/>
    <w:rsid w:val="0AF72BA2"/>
    <w:rsid w:val="0AF94022"/>
    <w:rsid w:val="0AF97AFD"/>
    <w:rsid w:val="0AFB1BDE"/>
    <w:rsid w:val="0B1F3CE3"/>
    <w:rsid w:val="0B1F4319"/>
    <w:rsid w:val="0B210838"/>
    <w:rsid w:val="0B220A87"/>
    <w:rsid w:val="0B3B6339"/>
    <w:rsid w:val="0B951A25"/>
    <w:rsid w:val="0B9E02A3"/>
    <w:rsid w:val="0BA457DB"/>
    <w:rsid w:val="0BB91287"/>
    <w:rsid w:val="0BBA5F4B"/>
    <w:rsid w:val="0BD50FC3"/>
    <w:rsid w:val="0BEF6A57"/>
    <w:rsid w:val="0BF518FA"/>
    <w:rsid w:val="0C04484A"/>
    <w:rsid w:val="0C1C35C4"/>
    <w:rsid w:val="0C35268A"/>
    <w:rsid w:val="0C3A46E4"/>
    <w:rsid w:val="0C450D6C"/>
    <w:rsid w:val="0C6B3626"/>
    <w:rsid w:val="0C6F6E83"/>
    <w:rsid w:val="0C7D1487"/>
    <w:rsid w:val="0CE51C08"/>
    <w:rsid w:val="0CEC768D"/>
    <w:rsid w:val="0CF431DD"/>
    <w:rsid w:val="0D0C7DC3"/>
    <w:rsid w:val="0D2A1D10"/>
    <w:rsid w:val="0D493385"/>
    <w:rsid w:val="0D4A1048"/>
    <w:rsid w:val="0D722646"/>
    <w:rsid w:val="0D7B1681"/>
    <w:rsid w:val="0DD407C3"/>
    <w:rsid w:val="0DE45DFB"/>
    <w:rsid w:val="0E0152B0"/>
    <w:rsid w:val="0E030B41"/>
    <w:rsid w:val="0E0802A4"/>
    <w:rsid w:val="0E3270CE"/>
    <w:rsid w:val="0E3E79DA"/>
    <w:rsid w:val="0E46217D"/>
    <w:rsid w:val="0E562603"/>
    <w:rsid w:val="0E8A515C"/>
    <w:rsid w:val="0EA30C46"/>
    <w:rsid w:val="0EA92D41"/>
    <w:rsid w:val="0EAE1581"/>
    <w:rsid w:val="0ED8043D"/>
    <w:rsid w:val="0F11271D"/>
    <w:rsid w:val="0F172BED"/>
    <w:rsid w:val="0F184297"/>
    <w:rsid w:val="0F2316C8"/>
    <w:rsid w:val="0F2509E1"/>
    <w:rsid w:val="0F671CCB"/>
    <w:rsid w:val="0F6B3CF4"/>
    <w:rsid w:val="0F737075"/>
    <w:rsid w:val="0F930041"/>
    <w:rsid w:val="0FC548D4"/>
    <w:rsid w:val="0FD9422B"/>
    <w:rsid w:val="10256AF3"/>
    <w:rsid w:val="107517B6"/>
    <w:rsid w:val="107838CD"/>
    <w:rsid w:val="10AF6B3A"/>
    <w:rsid w:val="10C7369F"/>
    <w:rsid w:val="10FE14EA"/>
    <w:rsid w:val="110F7B9B"/>
    <w:rsid w:val="114E117A"/>
    <w:rsid w:val="11643A43"/>
    <w:rsid w:val="11651569"/>
    <w:rsid w:val="118653FD"/>
    <w:rsid w:val="1190478E"/>
    <w:rsid w:val="11980F64"/>
    <w:rsid w:val="11B30526"/>
    <w:rsid w:val="11CE7580"/>
    <w:rsid w:val="11DE6E1F"/>
    <w:rsid w:val="11E15093"/>
    <w:rsid w:val="121710A5"/>
    <w:rsid w:val="12601E40"/>
    <w:rsid w:val="12781E38"/>
    <w:rsid w:val="12B46931"/>
    <w:rsid w:val="12D419D9"/>
    <w:rsid w:val="12FF077C"/>
    <w:rsid w:val="130D399B"/>
    <w:rsid w:val="133920CC"/>
    <w:rsid w:val="133A279F"/>
    <w:rsid w:val="13606F15"/>
    <w:rsid w:val="1362539D"/>
    <w:rsid w:val="13642DDD"/>
    <w:rsid w:val="13693592"/>
    <w:rsid w:val="13743CE5"/>
    <w:rsid w:val="138C4515"/>
    <w:rsid w:val="13A12DDD"/>
    <w:rsid w:val="13B67DBD"/>
    <w:rsid w:val="13BF6C92"/>
    <w:rsid w:val="13CA59F7"/>
    <w:rsid w:val="13CD7229"/>
    <w:rsid w:val="14432784"/>
    <w:rsid w:val="147B6246"/>
    <w:rsid w:val="148F0494"/>
    <w:rsid w:val="149A777C"/>
    <w:rsid w:val="149E479D"/>
    <w:rsid w:val="14BC5944"/>
    <w:rsid w:val="14C64A14"/>
    <w:rsid w:val="14EA104F"/>
    <w:rsid w:val="14F9199B"/>
    <w:rsid w:val="15095E33"/>
    <w:rsid w:val="152E3299"/>
    <w:rsid w:val="15537304"/>
    <w:rsid w:val="156D65B9"/>
    <w:rsid w:val="15B025D8"/>
    <w:rsid w:val="15B45E45"/>
    <w:rsid w:val="15BA1E98"/>
    <w:rsid w:val="15CC4C65"/>
    <w:rsid w:val="15FD0B16"/>
    <w:rsid w:val="16135A37"/>
    <w:rsid w:val="162437A1"/>
    <w:rsid w:val="164E0668"/>
    <w:rsid w:val="166E2C6E"/>
    <w:rsid w:val="16801192"/>
    <w:rsid w:val="168D57EA"/>
    <w:rsid w:val="168E11C7"/>
    <w:rsid w:val="169326D4"/>
    <w:rsid w:val="16B05428"/>
    <w:rsid w:val="16BD3139"/>
    <w:rsid w:val="16C237AB"/>
    <w:rsid w:val="172D4B0D"/>
    <w:rsid w:val="174618F7"/>
    <w:rsid w:val="176F6C9D"/>
    <w:rsid w:val="178321B2"/>
    <w:rsid w:val="178A6DBB"/>
    <w:rsid w:val="17A646CF"/>
    <w:rsid w:val="17D13EE9"/>
    <w:rsid w:val="17D932AC"/>
    <w:rsid w:val="17DF339A"/>
    <w:rsid w:val="17F65611"/>
    <w:rsid w:val="181C294C"/>
    <w:rsid w:val="18277578"/>
    <w:rsid w:val="18544907"/>
    <w:rsid w:val="188E00B6"/>
    <w:rsid w:val="188E75F7"/>
    <w:rsid w:val="189746FE"/>
    <w:rsid w:val="189C0CED"/>
    <w:rsid w:val="190478B9"/>
    <w:rsid w:val="19150708"/>
    <w:rsid w:val="19164715"/>
    <w:rsid w:val="191F64A1"/>
    <w:rsid w:val="192170AE"/>
    <w:rsid w:val="1922346A"/>
    <w:rsid w:val="1935389B"/>
    <w:rsid w:val="193C7C72"/>
    <w:rsid w:val="19401195"/>
    <w:rsid w:val="19715320"/>
    <w:rsid w:val="197301DA"/>
    <w:rsid w:val="19A9246D"/>
    <w:rsid w:val="19BD28CA"/>
    <w:rsid w:val="19D16DFD"/>
    <w:rsid w:val="19E41BC5"/>
    <w:rsid w:val="1A0A62AD"/>
    <w:rsid w:val="1A312930"/>
    <w:rsid w:val="1A3C5E56"/>
    <w:rsid w:val="1A473F02"/>
    <w:rsid w:val="1A540930"/>
    <w:rsid w:val="1A613215"/>
    <w:rsid w:val="1AA73898"/>
    <w:rsid w:val="1AAB623F"/>
    <w:rsid w:val="1AB90641"/>
    <w:rsid w:val="1AC10F48"/>
    <w:rsid w:val="1AF20F2C"/>
    <w:rsid w:val="1B0141DA"/>
    <w:rsid w:val="1B12650D"/>
    <w:rsid w:val="1B636B19"/>
    <w:rsid w:val="1B652C55"/>
    <w:rsid w:val="1B9F64EC"/>
    <w:rsid w:val="1BBD091F"/>
    <w:rsid w:val="1BC03F6C"/>
    <w:rsid w:val="1BD6642A"/>
    <w:rsid w:val="1BE27765"/>
    <w:rsid w:val="1BF12377"/>
    <w:rsid w:val="1C524DC1"/>
    <w:rsid w:val="1C5B41FF"/>
    <w:rsid w:val="1C5C1B50"/>
    <w:rsid w:val="1C644713"/>
    <w:rsid w:val="1C7152CE"/>
    <w:rsid w:val="1C7200C2"/>
    <w:rsid w:val="1C7F7983"/>
    <w:rsid w:val="1C8651B5"/>
    <w:rsid w:val="1C907DE2"/>
    <w:rsid w:val="1C9A47BD"/>
    <w:rsid w:val="1CA236C5"/>
    <w:rsid w:val="1CA519FD"/>
    <w:rsid w:val="1CB33715"/>
    <w:rsid w:val="1CB6711D"/>
    <w:rsid w:val="1CD51C99"/>
    <w:rsid w:val="1CF33ECD"/>
    <w:rsid w:val="1CFB407F"/>
    <w:rsid w:val="1D0D1432"/>
    <w:rsid w:val="1D1A7BEF"/>
    <w:rsid w:val="1D61177E"/>
    <w:rsid w:val="1DAC5E21"/>
    <w:rsid w:val="1DB44D83"/>
    <w:rsid w:val="1DC15D79"/>
    <w:rsid w:val="1DD6651A"/>
    <w:rsid w:val="1DDA5067"/>
    <w:rsid w:val="1DED6BA6"/>
    <w:rsid w:val="1E2A5821"/>
    <w:rsid w:val="1E5C100C"/>
    <w:rsid w:val="1E6F53E6"/>
    <w:rsid w:val="1E912BAE"/>
    <w:rsid w:val="1E9A18CE"/>
    <w:rsid w:val="1EB51D82"/>
    <w:rsid w:val="1EB7114B"/>
    <w:rsid w:val="1EBF4921"/>
    <w:rsid w:val="1EC73863"/>
    <w:rsid w:val="1ED40E06"/>
    <w:rsid w:val="1EE95C68"/>
    <w:rsid w:val="1F0F0D80"/>
    <w:rsid w:val="1F271A3E"/>
    <w:rsid w:val="1F872C54"/>
    <w:rsid w:val="1F8852E1"/>
    <w:rsid w:val="1F8D0609"/>
    <w:rsid w:val="1F930BDA"/>
    <w:rsid w:val="1F9C78FB"/>
    <w:rsid w:val="1FB5190D"/>
    <w:rsid w:val="1FB8145E"/>
    <w:rsid w:val="1FCD30FB"/>
    <w:rsid w:val="1FF231B2"/>
    <w:rsid w:val="2000606F"/>
    <w:rsid w:val="200E0DCE"/>
    <w:rsid w:val="201F3A55"/>
    <w:rsid w:val="202B5346"/>
    <w:rsid w:val="204B28C3"/>
    <w:rsid w:val="2051027A"/>
    <w:rsid w:val="205F7254"/>
    <w:rsid w:val="20793F96"/>
    <w:rsid w:val="20B05F63"/>
    <w:rsid w:val="20B83B8F"/>
    <w:rsid w:val="20C20786"/>
    <w:rsid w:val="20C75D9C"/>
    <w:rsid w:val="20D3029D"/>
    <w:rsid w:val="20EB45C9"/>
    <w:rsid w:val="20FB41A6"/>
    <w:rsid w:val="20FC21BE"/>
    <w:rsid w:val="21114778"/>
    <w:rsid w:val="2133559C"/>
    <w:rsid w:val="21723F5A"/>
    <w:rsid w:val="217C601D"/>
    <w:rsid w:val="21932304"/>
    <w:rsid w:val="21AC49DF"/>
    <w:rsid w:val="21B52473"/>
    <w:rsid w:val="21CB262D"/>
    <w:rsid w:val="21E36C06"/>
    <w:rsid w:val="21F030DA"/>
    <w:rsid w:val="223E1367"/>
    <w:rsid w:val="224F66C7"/>
    <w:rsid w:val="22711B4B"/>
    <w:rsid w:val="228A7543"/>
    <w:rsid w:val="22992C61"/>
    <w:rsid w:val="22C1269A"/>
    <w:rsid w:val="22CE60AA"/>
    <w:rsid w:val="22D55D68"/>
    <w:rsid w:val="22D742E9"/>
    <w:rsid w:val="23045086"/>
    <w:rsid w:val="23300078"/>
    <w:rsid w:val="235755DB"/>
    <w:rsid w:val="23585603"/>
    <w:rsid w:val="23597DC2"/>
    <w:rsid w:val="23600090"/>
    <w:rsid w:val="23BD5235"/>
    <w:rsid w:val="23C44815"/>
    <w:rsid w:val="23C95987"/>
    <w:rsid w:val="23EB66CA"/>
    <w:rsid w:val="241F0742"/>
    <w:rsid w:val="242D636A"/>
    <w:rsid w:val="2443573A"/>
    <w:rsid w:val="244871F4"/>
    <w:rsid w:val="244D65B8"/>
    <w:rsid w:val="244F6828"/>
    <w:rsid w:val="24576D8A"/>
    <w:rsid w:val="247A3549"/>
    <w:rsid w:val="24896F9C"/>
    <w:rsid w:val="24904744"/>
    <w:rsid w:val="24945F95"/>
    <w:rsid w:val="24A863B5"/>
    <w:rsid w:val="24AC0E86"/>
    <w:rsid w:val="24AC7783"/>
    <w:rsid w:val="24B14A96"/>
    <w:rsid w:val="24B57FE4"/>
    <w:rsid w:val="24B85FE4"/>
    <w:rsid w:val="24C543A1"/>
    <w:rsid w:val="24C9098F"/>
    <w:rsid w:val="24ED56A6"/>
    <w:rsid w:val="24F15196"/>
    <w:rsid w:val="24F42ED8"/>
    <w:rsid w:val="25095901"/>
    <w:rsid w:val="25234B3C"/>
    <w:rsid w:val="254A115E"/>
    <w:rsid w:val="255C6A87"/>
    <w:rsid w:val="25861774"/>
    <w:rsid w:val="25890B16"/>
    <w:rsid w:val="258C1362"/>
    <w:rsid w:val="25A0196B"/>
    <w:rsid w:val="25A53B96"/>
    <w:rsid w:val="25B82157"/>
    <w:rsid w:val="25B9557E"/>
    <w:rsid w:val="25BF518E"/>
    <w:rsid w:val="25E122A6"/>
    <w:rsid w:val="25E707F7"/>
    <w:rsid w:val="25E876E0"/>
    <w:rsid w:val="25F3318F"/>
    <w:rsid w:val="26116CE7"/>
    <w:rsid w:val="26193812"/>
    <w:rsid w:val="26431A21"/>
    <w:rsid w:val="26672348"/>
    <w:rsid w:val="266D7546"/>
    <w:rsid w:val="26840989"/>
    <w:rsid w:val="26B64030"/>
    <w:rsid w:val="26C012C4"/>
    <w:rsid w:val="26C708A4"/>
    <w:rsid w:val="26CA47CE"/>
    <w:rsid w:val="26CB4321"/>
    <w:rsid w:val="2705317A"/>
    <w:rsid w:val="27103A7F"/>
    <w:rsid w:val="27636E07"/>
    <w:rsid w:val="276738C3"/>
    <w:rsid w:val="27677991"/>
    <w:rsid w:val="276A122F"/>
    <w:rsid w:val="276D6723"/>
    <w:rsid w:val="279B763B"/>
    <w:rsid w:val="27C5486C"/>
    <w:rsid w:val="27DD40F7"/>
    <w:rsid w:val="27F42D1C"/>
    <w:rsid w:val="280576EE"/>
    <w:rsid w:val="281F2148"/>
    <w:rsid w:val="282D0BDB"/>
    <w:rsid w:val="284C2515"/>
    <w:rsid w:val="28575C58"/>
    <w:rsid w:val="28593214"/>
    <w:rsid w:val="285A12A4"/>
    <w:rsid w:val="2886653D"/>
    <w:rsid w:val="28943FB7"/>
    <w:rsid w:val="289E3C5D"/>
    <w:rsid w:val="28B0474F"/>
    <w:rsid w:val="28F45255"/>
    <w:rsid w:val="28FB3492"/>
    <w:rsid w:val="29121B7F"/>
    <w:rsid w:val="292377D9"/>
    <w:rsid w:val="298A4F2C"/>
    <w:rsid w:val="298B2C60"/>
    <w:rsid w:val="29944EF7"/>
    <w:rsid w:val="29B11398"/>
    <w:rsid w:val="29B52B83"/>
    <w:rsid w:val="29BB1E01"/>
    <w:rsid w:val="29BD4E21"/>
    <w:rsid w:val="29C24A4B"/>
    <w:rsid w:val="29DE3ED0"/>
    <w:rsid w:val="29EB48A9"/>
    <w:rsid w:val="2A0C2586"/>
    <w:rsid w:val="2A135BAE"/>
    <w:rsid w:val="2A3049B2"/>
    <w:rsid w:val="2A355B25"/>
    <w:rsid w:val="2A6033D4"/>
    <w:rsid w:val="2A73664D"/>
    <w:rsid w:val="2A764428"/>
    <w:rsid w:val="2A8457A8"/>
    <w:rsid w:val="2ABE0808"/>
    <w:rsid w:val="2AD30526"/>
    <w:rsid w:val="2B33475A"/>
    <w:rsid w:val="2B5C6E81"/>
    <w:rsid w:val="2B7D17BD"/>
    <w:rsid w:val="2B8013BB"/>
    <w:rsid w:val="2B865616"/>
    <w:rsid w:val="2B924CE2"/>
    <w:rsid w:val="2B9E7CCD"/>
    <w:rsid w:val="2BA52AAD"/>
    <w:rsid w:val="2BC17995"/>
    <w:rsid w:val="2BD0157B"/>
    <w:rsid w:val="2BD25785"/>
    <w:rsid w:val="2BE8029E"/>
    <w:rsid w:val="2BF855D4"/>
    <w:rsid w:val="2C376872"/>
    <w:rsid w:val="2C4627F2"/>
    <w:rsid w:val="2C574478"/>
    <w:rsid w:val="2C7C300F"/>
    <w:rsid w:val="2C8E3C12"/>
    <w:rsid w:val="2C904DE9"/>
    <w:rsid w:val="2C9B11E6"/>
    <w:rsid w:val="2C9C067B"/>
    <w:rsid w:val="2CAC346C"/>
    <w:rsid w:val="2CB17563"/>
    <w:rsid w:val="2CBC14CC"/>
    <w:rsid w:val="2D3C35B2"/>
    <w:rsid w:val="2D3C3AD3"/>
    <w:rsid w:val="2D4A5D8B"/>
    <w:rsid w:val="2D764C9B"/>
    <w:rsid w:val="2D984ECD"/>
    <w:rsid w:val="2D9A2065"/>
    <w:rsid w:val="2DA105FB"/>
    <w:rsid w:val="2DA32DF9"/>
    <w:rsid w:val="2DC02D6E"/>
    <w:rsid w:val="2DCF44E2"/>
    <w:rsid w:val="2DDB4C35"/>
    <w:rsid w:val="2E074505"/>
    <w:rsid w:val="2E083C79"/>
    <w:rsid w:val="2E35102B"/>
    <w:rsid w:val="2E5D564A"/>
    <w:rsid w:val="2E7C696F"/>
    <w:rsid w:val="2E7E2B5A"/>
    <w:rsid w:val="2EA724C3"/>
    <w:rsid w:val="2EB8596B"/>
    <w:rsid w:val="2EE326EF"/>
    <w:rsid w:val="2EED6FE4"/>
    <w:rsid w:val="2F040286"/>
    <w:rsid w:val="2F0568D7"/>
    <w:rsid w:val="2F1C03BA"/>
    <w:rsid w:val="2F1D0548"/>
    <w:rsid w:val="2F213B63"/>
    <w:rsid w:val="2F2D708F"/>
    <w:rsid w:val="2F8758D1"/>
    <w:rsid w:val="2F91042A"/>
    <w:rsid w:val="2FA5334A"/>
    <w:rsid w:val="2FBD631A"/>
    <w:rsid w:val="2FD84912"/>
    <w:rsid w:val="2FE977B3"/>
    <w:rsid w:val="308A26FB"/>
    <w:rsid w:val="308C7191"/>
    <w:rsid w:val="308E5894"/>
    <w:rsid w:val="30C85183"/>
    <w:rsid w:val="30F74D2A"/>
    <w:rsid w:val="3110753A"/>
    <w:rsid w:val="31203028"/>
    <w:rsid w:val="31DF77E5"/>
    <w:rsid w:val="31FE0EF2"/>
    <w:rsid w:val="32083055"/>
    <w:rsid w:val="32086B94"/>
    <w:rsid w:val="322428EE"/>
    <w:rsid w:val="325F5934"/>
    <w:rsid w:val="327B13B3"/>
    <w:rsid w:val="328F57BC"/>
    <w:rsid w:val="3290011F"/>
    <w:rsid w:val="32990C1B"/>
    <w:rsid w:val="329A1838"/>
    <w:rsid w:val="32A530C3"/>
    <w:rsid w:val="32F04CDF"/>
    <w:rsid w:val="3351256F"/>
    <w:rsid w:val="335F3F1B"/>
    <w:rsid w:val="33611E58"/>
    <w:rsid w:val="33615B8B"/>
    <w:rsid w:val="33641229"/>
    <w:rsid w:val="339744FD"/>
    <w:rsid w:val="3398339F"/>
    <w:rsid w:val="33A4500D"/>
    <w:rsid w:val="33DF6B01"/>
    <w:rsid w:val="33E72BFB"/>
    <w:rsid w:val="33F31A49"/>
    <w:rsid w:val="33FC22EA"/>
    <w:rsid w:val="34176CF9"/>
    <w:rsid w:val="342310E4"/>
    <w:rsid w:val="342D4AAC"/>
    <w:rsid w:val="342E0C37"/>
    <w:rsid w:val="345E722D"/>
    <w:rsid w:val="349A1906"/>
    <w:rsid w:val="349C73ED"/>
    <w:rsid w:val="34CB7C0B"/>
    <w:rsid w:val="35005ECF"/>
    <w:rsid w:val="350502A9"/>
    <w:rsid w:val="350C70EE"/>
    <w:rsid w:val="351A4885"/>
    <w:rsid w:val="351B704F"/>
    <w:rsid w:val="351D0231"/>
    <w:rsid w:val="35260E8C"/>
    <w:rsid w:val="3529272A"/>
    <w:rsid w:val="353A5FA1"/>
    <w:rsid w:val="353D22BD"/>
    <w:rsid w:val="35496928"/>
    <w:rsid w:val="355359F9"/>
    <w:rsid w:val="356979BD"/>
    <w:rsid w:val="35831E3A"/>
    <w:rsid w:val="3587563F"/>
    <w:rsid w:val="35885E60"/>
    <w:rsid w:val="35C45C00"/>
    <w:rsid w:val="35C91817"/>
    <w:rsid w:val="35E03AC1"/>
    <w:rsid w:val="35E41B3B"/>
    <w:rsid w:val="35E84393"/>
    <w:rsid w:val="36721EAF"/>
    <w:rsid w:val="367A7A7C"/>
    <w:rsid w:val="36BD5820"/>
    <w:rsid w:val="36CA3A99"/>
    <w:rsid w:val="36E27AE8"/>
    <w:rsid w:val="36FD34CA"/>
    <w:rsid w:val="37184804"/>
    <w:rsid w:val="372F07D3"/>
    <w:rsid w:val="37661591"/>
    <w:rsid w:val="376E6505"/>
    <w:rsid w:val="37E4576F"/>
    <w:rsid w:val="37F65BD2"/>
    <w:rsid w:val="38251DE4"/>
    <w:rsid w:val="382E3A24"/>
    <w:rsid w:val="38327B47"/>
    <w:rsid w:val="383513E6"/>
    <w:rsid w:val="38432462"/>
    <w:rsid w:val="384412E5"/>
    <w:rsid w:val="386175C1"/>
    <w:rsid w:val="386E4498"/>
    <w:rsid w:val="38AC5B9E"/>
    <w:rsid w:val="38B16CBE"/>
    <w:rsid w:val="38C764E2"/>
    <w:rsid w:val="38F7748A"/>
    <w:rsid w:val="390F482E"/>
    <w:rsid w:val="392179D8"/>
    <w:rsid w:val="392A4E38"/>
    <w:rsid w:val="3945106A"/>
    <w:rsid w:val="39557F91"/>
    <w:rsid w:val="399D1235"/>
    <w:rsid w:val="39C600D4"/>
    <w:rsid w:val="39C944DB"/>
    <w:rsid w:val="39F22C55"/>
    <w:rsid w:val="3A127681"/>
    <w:rsid w:val="3A2D05C6"/>
    <w:rsid w:val="3A30455A"/>
    <w:rsid w:val="3A3057C7"/>
    <w:rsid w:val="3A575643"/>
    <w:rsid w:val="3AC21C48"/>
    <w:rsid w:val="3AC3316C"/>
    <w:rsid w:val="3ACD0645"/>
    <w:rsid w:val="3AE02BAB"/>
    <w:rsid w:val="3AFF6407"/>
    <w:rsid w:val="3B7A1B25"/>
    <w:rsid w:val="3B86406C"/>
    <w:rsid w:val="3B866FF0"/>
    <w:rsid w:val="3BAD594C"/>
    <w:rsid w:val="3BD50B7B"/>
    <w:rsid w:val="3BEC76EA"/>
    <w:rsid w:val="3C125CC6"/>
    <w:rsid w:val="3C2033DF"/>
    <w:rsid w:val="3C3B434F"/>
    <w:rsid w:val="3C3C08E3"/>
    <w:rsid w:val="3C5B2F97"/>
    <w:rsid w:val="3C5D0A77"/>
    <w:rsid w:val="3C61109A"/>
    <w:rsid w:val="3C722C08"/>
    <w:rsid w:val="3C7A386B"/>
    <w:rsid w:val="3C85541D"/>
    <w:rsid w:val="3CD155B4"/>
    <w:rsid w:val="3D080C3E"/>
    <w:rsid w:val="3D1E60DF"/>
    <w:rsid w:val="3D343881"/>
    <w:rsid w:val="3D416706"/>
    <w:rsid w:val="3D567FA2"/>
    <w:rsid w:val="3D5E764C"/>
    <w:rsid w:val="3D7C3859"/>
    <w:rsid w:val="3D9168F3"/>
    <w:rsid w:val="3D95451F"/>
    <w:rsid w:val="3DA167F8"/>
    <w:rsid w:val="3DC70D32"/>
    <w:rsid w:val="3DE364E4"/>
    <w:rsid w:val="3DF1402B"/>
    <w:rsid w:val="3E1F320A"/>
    <w:rsid w:val="3E481E73"/>
    <w:rsid w:val="3E5A1BA6"/>
    <w:rsid w:val="3E6B3412"/>
    <w:rsid w:val="3E6E73FF"/>
    <w:rsid w:val="3E7D5847"/>
    <w:rsid w:val="3E890375"/>
    <w:rsid w:val="3E9440FA"/>
    <w:rsid w:val="3E9B7303"/>
    <w:rsid w:val="3EAE391C"/>
    <w:rsid w:val="3EC71707"/>
    <w:rsid w:val="3ED119A3"/>
    <w:rsid w:val="3EF36B45"/>
    <w:rsid w:val="3F2261CC"/>
    <w:rsid w:val="3F2266ED"/>
    <w:rsid w:val="3F3013EB"/>
    <w:rsid w:val="3F327A47"/>
    <w:rsid w:val="3F430443"/>
    <w:rsid w:val="3F4C4E24"/>
    <w:rsid w:val="3F5C04AC"/>
    <w:rsid w:val="3F8F1F95"/>
    <w:rsid w:val="3F945626"/>
    <w:rsid w:val="3FC2032D"/>
    <w:rsid w:val="40147FD7"/>
    <w:rsid w:val="403536BB"/>
    <w:rsid w:val="40445B2C"/>
    <w:rsid w:val="40640ABA"/>
    <w:rsid w:val="40A030D6"/>
    <w:rsid w:val="40AF3B40"/>
    <w:rsid w:val="40F57964"/>
    <w:rsid w:val="40FD796C"/>
    <w:rsid w:val="41182D1A"/>
    <w:rsid w:val="413D7725"/>
    <w:rsid w:val="4157061F"/>
    <w:rsid w:val="41726934"/>
    <w:rsid w:val="4181131A"/>
    <w:rsid w:val="41856C50"/>
    <w:rsid w:val="41A339E2"/>
    <w:rsid w:val="41A46E67"/>
    <w:rsid w:val="41C61933"/>
    <w:rsid w:val="41E579D9"/>
    <w:rsid w:val="421F113C"/>
    <w:rsid w:val="422C4AC9"/>
    <w:rsid w:val="42976F25"/>
    <w:rsid w:val="42A955DC"/>
    <w:rsid w:val="42B20202"/>
    <w:rsid w:val="42B25272"/>
    <w:rsid w:val="42B44C9C"/>
    <w:rsid w:val="42FC1070"/>
    <w:rsid w:val="42FF4354"/>
    <w:rsid w:val="430D4E13"/>
    <w:rsid w:val="431E568F"/>
    <w:rsid w:val="4357581E"/>
    <w:rsid w:val="436D43F2"/>
    <w:rsid w:val="43A0005B"/>
    <w:rsid w:val="43A63197"/>
    <w:rsid w:val="43D04FBC"/>
    <w:rsid w:val="440C7D39"/>
    <w:rsid w:val="44232DA7"/>
    <w:rsid w:val="44472BCC"/>
    <w:rsid w:val="444D2855"/>
    <w:rsid w:val="44803601"/>
    <w:rsid w:val="44C24001"/>
    <w:rsid w:val="44EC44AD"/>
    <w:rsid w:val="450335E5"/>
    <w:rsid w:val="45176708"/>
    <w:rsid w:val="452847AC"/>
    <w:rsid w:val="45361227"/>
    <w:rsid w:val="45473C9B"/>
    <w:rsid w:val="45474F11"/>
    <w:rsid w:val="45592BB7"/>
    <w:rsid w:val="455F7AA2"/>
    <w:rsid w:val="45672343"/>
    <w:rsid w:val="458227A7"/>
    <w:rsid w:val="45A11732"/>
    <w:rsid w:val="45B42155"/>
    <w:rsid w:val="45C76E25"/>
    <w:rsid w:val="45EF224F"/>
    <w:rsid w:val="46031BBC"/>
    <w:rsid w:val="460F2CAD"/>
    <w:rsid w:val="46BF51B8"/>
    <w:rsid w:val="46D15C73"/>
    <w:rsid w:val="46E6047B"/>
    <w:rsid w:val="47021D0D"/>
    <w:rsid w:val="47496783"/>
    <w:rsid w:val="474B29D4"/>
    <w:rsid w:val="47723ABC"/>
    <w:rsid w:val="47A75CCD"/>
    <w:rsid w:val="4817119C"/>
    <w:rsid w:val="482570AD"/>
    <w:rsid w:val="482F2E61"/>
    <w:rsid w:val="48367BDF"/>
    <w:rsid w:val="487675DC"/>
    <w:rsid w:val="48777D12"/>
    <w:rsid w:val="48BC5937"/>
    <w:rsid w:val="48FD1AAC"/>
    <w:rsid w:val="49077AC4"/>
    <w:rsid w:val="4912417D"/>
    <w:rsid w:val="49581D9D"/>
    <w:rsid w:val="49935E47"/>
    <w:rsid w:val="49987B1F"/>
    <w:rsid w:val="49CB3958"/>
    <w:rsid w:val="49F869B9"/>
    <w:rsid w:val="4A196469"/>
    <w:rsid w:val="4A4C1A86"/>
    <w:rsid w:val="4A4D4C02"/>
    <w:rsid w:val="4A566DF3"/>
    <w:rsid w:val="4A6F21D0"/>
    <w:rsid w:val="4A71615B"/>
    <w:rsid w:val="4A961FD0"/>
    <w:rsid w:val="4AC72C8D"/>
    <w:rsid w:val="4AEA4ACB"/>
    <w:rsid w:val="4B2C595F"/>
    <w:rsid w:val="4B3B15B8"/>
    <w:rsid w:val="4B8169C4"/>
    <w:rsid w:val="4B9F152D"/>
    <w:rsid w:val="4BA44460"/>
    <w:rsid w:val="4BD34386"/>
    <w:rsid w:val="4BD62EC5"/>
    <w:rsid w:val="4BE8663F"/>
    <w:rsid w:val="4BF52F0E"/>
    <w:rsid w:val="4C0D64AA"/>
    <w:rsid w:val="4C0F4D8B"/>
    <w:rsid w:val="4C357DD9"/>
    <w:rsid w:val="4C4B0D80"/>
    <w:rsid w:val="4C5365B2"/>
    <w:rsid w:val="4C543187"/>
    <w:rsid w:val="4C7744FC"/>
    <w:rsid w:val="4C856040"/>
    <w:rsid w:val="4C86342A"/>
    <w:rsid w:val="4C9038B4"/>
    <w:rsid w:val="4CD16197"/>
    <w:rsid w:val="4D021A66"/>
    <w:rsid w:val="4D5D25DB"/>
    <w:rsid w:val="4D9F4C40"/>
    <w:rsid w:val="4DCD2983"/>
    <w:rsid w:val="4DD37A60"/>
    <w:rsid w:val="4E225FDF"/>
    <w:rsid w:val="4E263853"/>
    <w:rsid w:val="4E5C23AE"/>
    <w:rsid w:val="4E66521C"/>
    <w:rsid w:val="4E8428CC"/>
    <w:rsid w:val="4E872D28"/>
    <w:rsid w:val="4E914EAA"/>
    <w:rsid w:val="4EA41F28"/>
    <w:rsid w:val="4EAD13BA"/>
    <w:rsid w:val="4ED10111"/>
    <w:rsid w:val="4EF82D51"/>
    <w:rsid w:val="4F0B065C"/>
    <w:rsid w:val="4F3B1644"/>
    <w:rsid w:val="4F77184F"/>
    <w:rsid w:val="4FE42699"/>
    <w:rsid w:val="4FE62A53"/>
    <w:rsid w:val="4FFA6DD9"/>
    <w:rsid w:val="501124D1"/>
    <w:rsid w:val="50127344"/>
    <w:rsid w:val="501B7CEE"/>
    <w:rsid w:val="50350ED7"/>
    <w:rsid w:val="50593A6B"/>
    <w:rsid w:val="50861C6B"/>
    <w:rsid w:val="50887115"/>
    <w:rsid w:val="50903205"/>
    <w:rsid w:val="509C377A"/>
    <w:rsid w:val="50B04608"/>
    <w:rsid w:val="50C75CD0"/>
    <w:rsid w:val="50CE7C1E"/>
    <w:rsid w:val="50E340AF"/>
    <w:rsid w:val="51153049"/>
    <w:rsid w:val="511C6DB6"/>
    <w:rsid w:val="51204589"/>
    <w:rsid w:val="512562C1"/>
    <w:rsid w:val="514324CE"/>
    <w:rsid w:val="51595CED"/>
    <w:rsid w:val="516721B8"/>
    <w:rsid w:val="517D63EF"/>
    <w:rsid w:val="51CB5192"/>
    <w:rsid w:val="51D079BF"/>
    <w:rsid w:val="52007CE1"/>
    <w:rsid w:val="520C480A"/>
    <w:rsid w:val="523A1AA0"/>
    <w:rsid w:val="523A7A72"/>
    <w:rsid w:val="52554706"/>
    <w:rsid w:val="529010A5"/>
    <w:rsid w:val="52BE30EA"/>
    <w:rsid w:val="52DF683D"/>
    <w:rsid w:val="5305283D"/>
    <w:rsid w:val="531537CC"/>
    <w:rsid w:val="5329076C"/>
    <w:rsid w:val="533F78B1"/>
    <w:rsid w:val="534C7EF0"/>
    <w:rsid w:val="534D66DE"/>
    <w:rsid w:val="53714220"/>
    <w:rsid w:val="53C0057F"/>
    <w:rsid w:val="53C11487"/>
    <w:rsid w:val="53D06524"/>
    <w:rsid w:val="53D14070"/>
    <w:rsid w:val="53D76061"/>
    <w:rsid w:val="5414351A"/>
    <w:rsid w:val="5415414D"/>
    <w:rsid w:val="541F6D7A"/>
    <w:rsid w:val="54446DFB"/>
    <w:rsid w:val="54B706EB"/>
    <w:rsid w:val="54C824D5"/>
    <w:rsid w:val="54F232A5"/>
    <w:rsid w:val="550C4BFD"/>
    <w:rsid w:val="552C4622"/>
    <w:rsid w:val="554C3B9F"/>
    <w:rsid w:val="55572544"/>
    <w:rsid w:val="556A671B"/>
    <w:rsid w:val="55894DF3"/>
    <w:rsid w:val="559F49C7"/>
    <w:rsid w:val="55FC1EE9"/>
    <w:rsid w:val="56024CB6"/>
    <w:rsid w:val="560922C6"/>
    <w:rsid w:val="56222B52"/>
    <w:rsid w:val="562B4DF0"/>
    <w:rsid w:val="563424F2"/>
    <w:rsid w:val="56371B23"/>
    <w:rsid w:val="56395591"/>
    <w:rsid w:val="56546007"/>
    <w:rsid w:val="565F3CA3"/>
    <w:rsid w:val="56682256"/>
    <w:rsid w:val="567B7416"/>
    <w:rsid w:val="56BA2859"/>
    <w:rsid w:val="56D057DA"/>
    <w:rsid w:val="56D4639E"/>
    <w:rsid w:val="56E55706"/>
    <w:rsid w:val="56F12E37"/>
    <w:rsid w:val="56FC4931"/>
    <w:rsid w:val="56FD1137"/>
    <w:rsid w:val="57821E15"/>
    <w:rsid w:val="578C4726"/>
    <w:rsid w:val="57923845"/>
    <w:rsid w:val="57A37CC2"/>
    <w:rsid w:val="57CA524F"/>
    <w:rsid w:val="57CC2DDA"/>
    <w:rsid w:val="57E9601D"/>
    <w:rsid w:val="58065D6B"/>
    <w:rsid w:val="58090610"/>
    <w:rsid w:val="58154F81"/>
    <w:rsid w:val="581F37ED"/>
    <w:rsid w:val="58242BB1"/>
    <w:rsid w:val="58390F39"/>
    <w:rsid w:val="58813143"/>
    <w:rsid w:val="58883BC4"/>
    <w:rsid w:val="588E2720"/>
    <w:rsid w:val="589715D5"/>
    <w:rsid w:val="589A7317"/>
    <w:rsid w:val="58A23BD7"/>
    <w:rsid w:val="58A50CE3"/>
    <w:rsid w:val="58A65D5A"/>
    <w:rsid w:val="58B32FF0"/>
    <w:rsid w:val="58DB73AF"/>
    <w:rsid w:val="590C55AB"/>
    <w:rsid w:val="59202A65"/>
    <w:rsid w:val="59540A16"/>
    <w:rsid w:val="599C0E6D"/>
    <w:rsid w:val="59CA3C2C"/>
    <w:rsid w:val="59CB7611"/>
    <w:rsid w:val="59ED3759"/>
    <w:rsid w:val="59F86AC0"/>
    <w:rsid w:val="5A0957F1"/>
    <w:rsid w:val="5A0B6D64"/>
    <w:rsid w:val="5A3B68D8"/>
    <w:rsid w:val="5A41687A"/>
    <w:rsid w:val="5A59170E"/>
    <w:rsid w:val="5ADA39FB"/>
    <w:rsid w:val="5ADC2D5B"/>
    <w:rsid w:val="5AED7BD2"/>
    <w:rsid w:val="5AF251E8"/>
    <w:rsid w:val="5AF27774"/>
    <w:rsid w:val="5AF57C21"/>
    <w:rsid w:val="5B1D0603"/>
    <w:rsid w:val="5B2846A4"/>
    <w:rsid w:val="5B3937FA"/>
    <w:rsid w:val="5B4147D2"/>
    <w:rsid w:val="5B9C6F02"/>
    <w:rsid w:val="5BB04C2C"/>
    <w:rsid w:val="5BB75BFE"/>
    <w:rsid w:val="5BBC5EDA"/>
    <w:rsid w:val="5BC87CF7"/>
    <w:rsid w:val="5BE55984"/>
    <w:rsid w:val="5BEC6AB5"/>
    <w:rsid w:val="5BEF34D6"/>
    <w:rsid w:val="5C2B35EA"/>
    <w:rsid w:val="5C327B4C"/>
    <w:rsid w:val="5C392AD6"/>
    <w:rsid w:val="5C4750C0"/>
    <w:rsid w:val="5C484BDD"/>
    <w:rsid w:val="5C517EEF"/>
    <w:rsid w:val="5C552B13"/>
    <w:rsid w:val="5C9B540C"/>
    <w:rsid w:val="5CAC13C7"/>
    <w:rsid w:val="5CAD47A2"/>
    <w:rsid w:val="5CB564CD"/>
    <w:rsid w:val="5CED210B"/>
    <w:rsid w:val="5D0E5BDE"/>
    <w:rsid w:val="5D153410"/>
    <w:rsid w:val="5D160859"/>
    <w:rsid w:val="5D4A5E95"/>
    <w:rsid w:val="5D4D485E"/>
    <w:rsid w:val="5D5B27A1"/>
    <w:rsid w:val="5D7243BE"/>
    <w:rsid w:val="5D8C6892"/>
    <w:rsid w:val="5DA165FC"/>
    <w:rsid w:val="5DB05952"/>
    <w:rsid w:val="5DBF512A"/>
    <w:rsid w:val="5DCD57F8"/>
    <w:rsid w:val="5DDB1F64"/>
    <w:rsid w:val="5DE132F2"/>
    <w:rsid w:val="5DF9773E"/>
    <w:rsid w:val="5E272270"/>
    <w:rsid w:val="5E505E3C"/>
    <w:rsid w:val="5E684804"/>
    <w:rsid w:val="5E7029E5"/>
    <w:rsid w:val="5E710B1A"/>
    <w:rsid w:val="5E8878D3"/>
    <w:rsid w:val="5E8E1C6D"/>
    <w:rsid w:val="5E9A19B1"/>
    <w:rsid w:val="5EAA549F"/>
    <w:rsid w:val="5ED343FC"/>
    <w:rsid w:val="5EE27405"/>
    <w:rsid w:val="5EE45084"/>
    <w:rsid w:val="5EF74E44"/>
    <w:rsid w:val="5F000796"/>
    <w:rsid w:val="5F0157EA"/>
    <w:rsid w:val="5F06732B"/>
    <w:rsid w:val="5F926F9A"/>
    <w:rsid w:val="5F970311"/>
    <w:rsid w:val="5F9F5720"/>
    <w:rsid w:val="5FB07420"/>
    <w:rsid w:val="5FC2644A"/>
    <w:rsid w:val="5FE94095"/>
    <w:rsid w:val="600A6B30"/>
    <w:rsid w:val="60362253"/>
    <w:rsid w:val="60631B06"/>
    <w:rsid w:val="606B20AB"/>
    <w:rsid w:val="60791AEB"/>
    <w:rsid w:val="607E56B2"/>
    <w:rsid w:val="60844B35"/>
    <w:rsid w:val="609A52AA"/>
    <w:rsid w:val="60C018E5"/>
    <w:rsid w:val="60E21325"/>
    <w:rsid w:val="60FB5BB9"/>
    <w:rsid w:val="60FD3BA3"/>
    <w:rsid w:val="612B3202"/>
    <w:rsid w:val="6179345E"/>
    <w:rsid w:val="617A7266"/>
    <w:rsid w:val="617B4ECB"/>
    <w:rsid w:val="61895260"/>
    <w:rsid w:val="61B06987"/>
    <w:rsid w:val="61D00205"/>
    <w:rsid w:val="61F359F2"/>
    <w:rsid w:val="61FA02C2"/>
    <w:rsid w:val="620D3E17"/>
    <w:rsid w:val="620D6760"/>
    <w:rsid w:val="62143A89"/>
    <w:rsid w:val="621C1871"/>
    <w:rsid w:val="621E4F3C"/>
    <w:rsid w:val="624A37B7"/>
    <w:rsid w:val="624E68D5"/>
    <w:rsid w:val="62527693"/>
    <w:rsid w:val="62632983"/>
    <w:rsid w:val="62705956"/>
    <w:rsid w:val="62791D4B"/>
    <w:rsid w:val="628A3F58"/>
    <w:rsid w:val="629D12CA"/>
    <w:rsid w:val="62A31718"/>
    <w:rsid w:val="62AD115F"/>
    <w:rsid w:val="62B9483E"/>
    <w:rsid w:val="62C2367E"/>
    <w:rsid w:val="630C60A6"/>
    <w:rsid w:val="63175732"/>
    <w:rsid w:val="631B2E02"/>
    <w:rsid w:val="632919C3"/>
    <w:rsid w:val="6338795A"/>
    <w:rsid w:val="634B514E"/>
    <w:rsid w:val="636874DE"/>
    <w:rsid w:val="639B20E8"/>
    <w:rsid w:val="63AF4018"/>
    <w:rsid w:val="63BB0E85"/>
    <w:rsid w:val="63C34831"/>
    <w:rsid w:val="63CC5849"/>
    <w:rsid w:val="63E76553"/>
    <w:rsid w:val="63FD78E3"/>
    <w:rsid w:val="64025D70"/>
    <w:rsid w:val="642C2FFF"/>
    <w:rsid w:val="642D7DF9"/>
    <w:rsid w:val="643A375C"/>
    <w:rsid w:val="64405EC1"/>
    <w:rsid w:val="644B1C02"/>
    <w:rsid w:val="645934B8"/>
    <w:rsid w:val="648D270F"/>
    <w:rsid w:val="64990F49"/>
    <w:rsid w:val="64B953BB"/>
    <w:rsid w:val="64CE1ADF"/>
    <w:rsid w:val="64DA57C2"/>
    <w:rsid w:val="64DD55CE"/>
    <w:rsid w:val="64FD2EA1"/>
    <w:rsid w:val="6502122D"/>
    <w:rsid w:val="651F62A0"/>
    <w:rsid w:val="65336821"/>
    <w:rsid w:val="654666FA"/>
    <w:rsid w:val="65551596"/>
    <w:rsid w:val="655C6080"/>
    <w:rsid w:val="656715F7"/>
    <w:rsid w:val="65792400"/>
    <w:rsid w:val="658B2578"/>
    <w:rsid w:val="65B13FDF"/>
    <w:rsid w:val="65C51CA9"/>
    <w:rsid w:val="65DF55FB"/>
    <w:rsid w:val="65EE0A11"/>
    <w:rsid w:val="65F8526B"/>
    <w:rsid w:val="660C5B63"/>
    <w:rsid w:val="66110D10"/>
    <w:rsid w:val="66363A30"/>
    <w:rsid w:val="664C15AB"/>
    <w:rsid w:val="6660394E"/>
    <w:rsid w:val="66682803"/>
    <w:rsid w:val="66716C77"/>
    <w:rsid w:val="66787717"/>
    <w:rsid w:val="668A157A"/>
    <w:rsid w:val="6696527A"/>
    <w:rsid w:val="669D65D7"/>
    <w:rsid w:val="66E520A5"/>
    <w:rsid w:val="66F83B86"/>
    <w:rsid w:val="67330B4D"/>
    <w:rsid w:val="673F5705"/>
    <w:rsid w:val="674212A6"/>
    <w:rsid w:val="675133D8"/>
    <w:rsid w:val="67535261"/>
    <w:rsid w:val="6759126B"/>
    <w:rsid w:val="67634DBC"/>
    <w:rsid w:val="678626E3"/>
    <w:rsid w:val="67875AB5"/>
    <w:rsid w:val="67CF7936"/>
    <w:rsid w:val="67E062C9"/>
    <w:rsid w:val="67FB209D"/>
    <w:rsid w:val="6817628E"/>
    <w:rsid w:val="681C1AF7"/>
    <w:rsid w:val="683809A6"/>
    <w:rsid w:val="68686AEA"/>
    <w:rsid w:val="68726AB9"/>
    <w:rsid w:val="687E1273"/>
    <w:rsid w:val="68A22F22"/>
    <w:rsid w:val="68B12AC7"/>
    <w:rsid w:val="68B6208E"/>
    <w:rsid w:val="68BE670A"/>
    <w:rsid w:val="68C2564E"/>
    <w:rsid w:val="68C741D6"/>
    <w:rsid w:val="694C01BA"/>
    <w:rsid w:val="6958153E"/>
    <w:rsid w:val="696A37BE"/>
    <w:rsid w:val="69906A78"/>
    <w:rsid w:val="69A2465A"/>
    <w:rsid w:val="69A26D0E"/>
    <w:rsid w:val="69A94906"/>
    <w:rsid w:val="69AA1A66"/>
    <w:rsid w:val="69AB5C99"/>
    <w:rsid w:val="69B83AA1"/>
    <w:rsid w:val="69C01C85"/>
    <w:rsid w:val="69F119F4"/>
    <w:rsid w:val="6A0665BA"/>
    <w:rsid w:val="6A0868C0"/>
    <w:rsid w:val="6A402F3A"/>
    <w:rsid w:val="6A470981"/>
    <w:rsid w:val="6A495025"/>
    <w:rsid w:val="6A6634FD"/>
    <w:rsid w:val="6A7379C8"/>
    <w:rsid w:val="6AAA68BF"/>
    <w:rsid w:val="6ABC311D"/>
    <w:rsid w:val="6AC00592"/>
    <w:rsid w:val="6ACD70D8"/>
    <w:rsid w:val="6B0C5E52"/>
    <w:rsid w:val="6B3929BF"/>
    <w:rsid w:val="6B397730"/>
    <w:rsid w:val="6B8712C5"/>
    <w:rsid w:val="6BC90CE4"/>
    <w:rsid w:val="6BCB6BB1"/>
    <w:rsid w:val="6BD56D88"/>
    <w:rsid w:val="6BDA09CA"/>
    <w:rsid w:val="6BEE057C"/>
    <w:rsid w:val="6BEE2725"/>
    <w:rsid w:val="6BF219F0"/>
    <w:rsid w:val="6BFE44B6"/>
    <w:rsid w:val="6C1331CB"/>
    <w:rsid w:val="6C1C4E12"/>
    <w:rsid w:val="6C580C23"/>
    <w:rsid w:val="6C6104C5"/>
    <w:rsid w:val="6C6972D4"/>
    <w:rsid w:val="6C6A2B35"/>
    <w:rsid w:val="6C7C0FBC"/>
    <w:rsid w:val="6C7D068A"/>
    <w:rsid w:val="6C8B724B"/>
    <w:rsid w:val="6CB247D7"/>
    <w:rsid w:val="6CDD04AE"/>
    <w:rsid w:val="6D18035A"/>
    <w:rsid w:val="6D194017"/>
    <w:rsid w:val="6D1B530F"/>
    <w:rsid w:val="6D1C0120"/>
    <w:rsid w:val="6D2A25C0"/>
    <w:rsid w:val="6D364707"/>
    <w:rsid w:val="6D447771"/>
    <w:rsid w:val="6D4573FA"/>
    <w:rsid w:val="6D47309D"/>
    <w:rsid w:val="6D596693"/>
    <w:rsid w:val="6D673814"/>
    <w:rsid w:val="6D8F68C7"/>
    <w:rsid w:val="6DA106DD"/>
    <w:rsid w:val="6DA700B4"/>
    <w:rsid w:val="6DAC4B73"/>
    <w:rsid w:val="6DB81631"/>
    <w:rsid w:val="6DC74A88"/>
    <w:rsid w:val="6DFB0400"/>
    <w:rsid w:val="6E35746E"/>
    <w:rsid w:val="6E5F7FBC"/>
    <w:rsid w:val="6E8827BD"/>
    <w:rsid w:val="6EB33900"/>
    <w:rsid w:val="6EC3650B"/>
    <w:rsid w:val="6ECB1154"/>
    <w:rsid w:val="6ECD6F03"/>
    <w:rsid w:val="6ED76777"/>
    <w:rsid w:val="6EDA6521"/>
    <w:rsid w:val="6F285B39"/>
    <w:rsid w:val="6F321E6A"/>
    <w:rsid w:val="6F4E211B"/>
    <w:rsid w:val="6F564E7D"/>
    <w:rsid w:val="6F6C08B9"/>
    <w:rsid w:val="6F6D46CD"/>
    <w:rsid w:val="6F8C57B4"/>
    <w:rsid w:val="6F9A449D"/>
    <w:rsid w:val="6FBD57C0"/>
    <w:rsid w:val="6FE423F0"/>
    <w:rsid w:val="6FE45E13"/>
    <w:rsid w:val="6FED7AF5"/>
    <w:rsid w:val="6FEF1874"/>
    <w:rsid w:val="6FFC3047"/>
    <w:rsid w:val="700C0C26"/>
    <w:rsid w:val="700C69E4"/>
    <w:rsid w:val="705C3C8C"/>
    <w:rsid w:val="70726C6C"/>
    <w:rsid w:val="70BF1417"/>
    <w:rsid w:val="70E46F2A"/>
    <w:rsid w:val="711F7F62"/>
    <w:rsid w:val="712678DA"/>
    <w:rsid w:val="71786B43"/>
    <w:rsid w:val="71804559"/>
    <w:rsid w:val="71872123"/>
    <w:rsid w:val="71972B8A"/>
    <w:rsid w:val="71997D14"/>
    <w:rsid w:val="719A7642"/>
    <w:rsid w:val="719E7958"/>
    <w:rsid w:val="71B52674"/>
    <w:rsid w:val="71B763EC"/>
    <w:rsid w:val="71D41ADC"/>
    <w:rsid w:val="71EA6A44"/>
    <w:rsid w:val="71F475E4"/>
    <w:rsid w:val="72014408"/>
    <w:rsid w:val="72022025"/>
    <w:rsid w:val="721879D9"/>
    <w:rsid w:val="722E709D"/>
    <w:rsid w:val="724179B2"/>
    <w:rsid w:val="72505D04"/>
    <w:rsid w:val="72645BFF"/>
    <w:rsid w:val="727B7064"/>
    <w:rsid w:val="727E14FC"/>
    <w:rsid w:val="72851A38"/>
    <w:rsid w:val="728D7209"/>
    <w:rsid w:val="72933FAE"/>
    <w:rsid w:val="729B372D"/>
    <w:rsid w:val="72A42E14"/>
    <w:rsid w:val="72C83F3E"/>
    <w:rsid w:val="72F2223B"/>
    <w:rsid w:val="7301621E"/>
    <w:rsid w:val="730A1B38"/>
    <w:rsid w:val="731A30D6"/>
    <w:rsid w:val="733F48EB"/>
    <w:rsid w:val="734844B1"/>
    <w:rsid w:val="73526652"/>
    <w:rsid w:val="7388317E"/>
    <w:rsid w:val="73BE02D8"/>
    <w:rsid w:val="73BF2A78"/>
    <w:rsid w:val="73BF7E01"/>
    <w:rsid w:val="73E86D45"/>
    <w:rsid w:val="73EB2787"/>
    <w:rsid w:val="741E6C86"/>
    <w:rsid w:val="745412CE"/>
    <w:rsid w:val="746E4B9F"/>
    <w:rsid w:val="74712CD4"/>
    <w:rsid w:val="74997316"/>
    <w:rsid w:val="74C0135E"/>
    <w:rsid w:val="74C66D2B"/>
    <w:rsid w:val="74E03A67"/>
    <w:rsid w:val="74F32E9A"/>
    <w:rsid w:val="74FA5107"/>
    <w:rsid w:val="7506570B"/>
    <w:rsid w:val="750D1A10"/>
    <w:rsid w:val="754900EA"/>
    <w:rsid w:val="7592164A"/>
    <w:rsid w:val="75971662"/>
    <w:rsid w:val="75B557CB"/>
    <w:rsid w:val="75CA04F1"/>
    <w:rsid w:val="75D60E9A"/>
    <w:rsid w:val="75DF016E"/>
    <w:rsid w:val="75F35EF7"/>
    <w:rsid w:val="76297AAD"/>
    <w:rsid w:val="76391AC6"/>
    <w:rsid w:val="763C15B6"/>
    <w:rsid w:val="763D3D03"/>
    <w:rsid w:val="763E2880"/>
    <w:rsid w:val="764217E8"/>
    <w:rsid w:val="76642FB2"/>
    <w:rsid w:val="76694E5C"/>
    <w:rsid w:val="768E0063"/>
    <w:rsid w:val="76A21E7B"/>
    <w:rsid w:val="76AC766F"/>
    <w:rsid w:val="76B13D52"/>
    <w:rsid w:val="76DF30D9"/>
    <w:rsid w:val="76FB1C24"/>
    <w:rsid w:val="770B5B3B"/>
    <w:rsid w:val="771A165E"/>
    <w:rsid w:val="7726192C"/>
    <w:rsid w:val="77400C32"/>
    <w:rsid w:val="775549AA"/>
    <w:rsid w:val="7768182A"/>
    <w:rsid w:val="77935205"/>
    <w:rsid w:val="77946252"/>
    <w:rsid w:val="77C15CBD"/>
    <w:rsid w:val="77CC4F9A"/>
    <w:rsid w:val="77CD2DED"/>
    <w:rsid w:val="77DA4423"/>
    <w:rsid w:val="77DF0702"/>
    <w:rsid w:val="77E372E8"/>
    <w:rsid w:val="78072740"/>
    <w:rsid w:val="78100DE3"/>
    <w:rsid w:val="781E7E54"/>
    <w:rsid w:val="784976CA"/>
    <w:rsid w:val="785379BB"/>
    <w:rsid w:val="785C2AD0"/>
    <w:rsid w:val="786F46F8"/>
    <w:rsid w:val="78774B27"/>
    <w:rsid w:val="78776B2A"/>
    <w:rsid w:val="788060C0"/>
    <w:rsid w:val="78897940"/>
    <w:rsid w:val="78C31426"/>
    <w:rsid w:val="78CC3B41"/>
    <w:rsid w:val="78DC4459"/>
    <w:rsid w:val="792F0DD0"/>
    <w:rsid w:val="79752E15"/>
    <w:rsid w:val="79773031"/>
    <w:rsid w:val="797A789A"/>
    <w:rsid w:val="797B75B8"/>
    <w:rsid w:val="79A11E5C"/>
    <w:rsid w:val="79B85F2C"/>
    <w:rsid w:val="79D57D57"/>
    <w:rsid w:val="79E67179"/>
    <w:rsid w:val="79F0674B"/>
    <w:rsid w:val="7A0737BF"/>
    <w:rsid w:val="7A3E0DA9"/>
    <w:rsid w:val="7A490202"/>
    <w:rsid w:val="7A566F50"/>
    <w:rsid w:val="7A607905"/>
    <w:rsid w:val="7A8E473B"/>
    <w:rsid w:val="7AD26961"/>
    <w:rsid w:val="7AE33ACE"/>
    <w:rsid w:val="7AF34939"/>
    <w:rsid w:val="7B072192"/>
    <w:rsid w:val="7B0F0765"/>
    <w:rsid w:val="7B1D2D88"/>
    <w:rsid w:val="7B3D3B4B"/>
    <w:rsid w:val="7B3F680F"/>
    <w:rsid w:val="7B407452"/>
    <w:rsid w:val="7B746E0D"/>
    <w:rsid w:val="7B7947AD"/>
    <w:rsid w:val="7B8515EA"/>
    <w:rsid w:val="7B91054B"/>
    <w:rsid w:val="7B911884"/>
    <w:rsid w:val="7B953BCC"/>
    <w:rsid w:val="7BAC2F7A"/>
    <w:rsid w:val="7BAF62EE"/>
    <w:rsid w:val="7BB73BB8"/>
    <w:rsid w:val="7BD56B80"/>
    <w:rsid w:val="7BDE06A1"/>
    <w:rsid w:val="7BEF7922"/>
    <w:rsid w:val="7C0D2EFF"/>
    <w:rsid w:val="7C3968EB"/>
    <w:rsid w:val="7C4B60AF"/>
    <w:rsid w:val="7C741AA9"/>
    <w:rsid w:val="7C7C26FE"/>
    <w:rsid w:val="7C822DDA"/>
    <w:rsid w:val="7C962393"/>
    <w:rsid w:val="7CB9357D"/>
    <w:rsid w:val="7D0C34C4"/>
    <w:rsid w:val="7D100E3A"/>
    <w:rsid w:val="7D1961AD"/>
    <w:rsid w:val="7D2B7A55"/>
    <w:rsid w:val="7D562F5D"/>
    <w:rsid w:val="7D5E727E"/>
    <w:rsid w:val="7D9359A6"/>
    <w:rsid w:val="7DAF33A2"/>
    <w:rsid w:val="7DB12889"/>
    <w:rsid w:val="7DD6242C"/>
    <w:rsid w:val="7DDB1F64"/>
    <w:rsid w:val="7DE64072"/>
    <w:rsid w:val="7DE8059E"/>
    <w:rsid w:val="7E070622"/>
    <w:rsid w:val="7E1F7ED0"/>
    <w:rsid w:val="7E2547CF"/>
    <w:rsid w:val="7E293858"/>
    <w:rsid w:val="7E394D59"/>
    <w:rsid w:val="7E455CCF"/>
    <w:rsid w:val="7E4B6E7F"/>
    <w:rsid w:val="7E6062CA"/>
    <w:rsid w:val="7E645B88"/>
    <w:rsid w:val="7E6C1962"/>
    <w:rsid w:val="7E71277C"/>
    <w:rsid w:val="7E762BF0"/>
    <w:rsid w:val="7E8743F2"/>
    <w:rsid w:val="7EAF501B"/>
    <w:rsid w:val="7EC468E4"/>
    <w:rsid w:val="7EFE4ED7"/>
    <w:rsid w:val="7F160BF6"/>
    <w:rsid w:val="7F196B2B"/>
    <w:rsid w:val="7F24069B"/>
    <w:rsid w:val="7F324AA5"/>
    <w:rsid w:val="7F465167"/>
    <w:rsid w:val="7F473538"/>
    <w:rsid w:val="7F4E2109"/>
    <w:rsid w:val="7F594F87"/>
    <w:rsid w:val="7FC44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iPriority="99"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iPriority="99"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0" w:semiHidden="0" w:name="Body Text Indent 3" w:locked="1"/>
    <w:lsdException w:qFormat="1"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8"/>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49"/>
    <w:autoRedefine/>
    <w:qFormat/>
    <w:locked/>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7"/>
    <w:autoRedefine/>
    <w:qFormat/>
    <w:locked/>
    <w:uiPriority w:val="0"/>
    <w:pPr>
      <w:keepNext/>
      <w:keepLines/>
      <w:spacing w:before="260" w:after="260" w:line="416" w:lineRule="auto"/>
      <w:outlineLvl w:val="2"/>
    </w:pPr>
    <w:rPr>
      <w:b/>
      <w:bCs/>
      <w:sz w:val="32"/>
      <w:szCs w:val="32"/>
    </w:rPr>
  </w:style>
  <w:style w:type="paragraph" w:styleId="7">
    <w:name w:val="heading 4"/>
    <w:basedOn w:val="1"/>
    <w:next w:val="1"/>
    <w:link w:val="50"/>
    <w:autoRedefine/>
    <w:qFormat/>
    <w:locked/>
    <w:uiPriority w:val="0"/>
    <w:pPr>
      <w:jc w:val="left"/>
      <w:outlineLvl w:val="3"/>
    </w:pPr>
    <w:rPr>
      <w:rFonts w:hint="eastAsia" w:ascii="宋体" w:hAnsi="宋体"/>
      <w:kern w:val="0"/>
      <w:sz w:val="18"/>
      <w:szCs w:val="18"/>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autoSpaceDE w:val="0"/>
      <w:autoSpaceDN w:val="0"/>
    </w:pPr>
    <w:rPr>
      <w:rFonts w:ascii="Calibri" w:hAnsi="Calibri" w:cs="Calibri"/>
      <w:color w:val="000000"/>
      <w:sz w:val="24"/>
      <w:szCs w:val="24"/>
    </w:rPr>
  </w:style>
  <w:style w:type="paragraph" w:customStyle="1" w:styleId="3">
    <w:name w:val="纯文本1"/>
    <w:basedOn w:val="1"/>
    <w:autoRedefine/>
    <w:qFormat/>
    <w:uiPriority w:val="0"/>
    <w:pPr>
      <w:adjustRightInd w:val="0"/>
    </w:pPr>
    <w:rPr>
      <w:rFonts w:ascii="宋体" w:hAnsi="Courier New"/>
      <w:szCs w:val="20"/>
    </w:rPr>
  </w:style>
  <w:style w:type="paragraph" w:styleId="8">
    <w:name w:val="List 3"/>
    <w:basedOn w:val="1"/>
    <w:autoRedefine/>
    <w:qFormat/>
    <w:locked/>
    <w:uiPriority w:val="0"/>
    <w:pPr>
      <w:ind w:left="100" w:leftChars="400" w:hanging="200" w:hangingChars="200"/>
    </w:pPr>
  </w:style>
  <w:style w:type="paragraph" w:styleId="9">
    <w:name w:val="table of authorities"/>
    <w:basedOn w:val="1"/>
    <w:next w:val="1"/>
    <w:autoRedefine/>
    <w:qFormat/>
    <w:locked/>
    <w:uiPriority w:val="99"/>
    <w:pPr>
      <w:ind w:left="420" w:leftChars="200"/>
    </w:pPr>
    <w:rPr>
      <w:rFonts w:ascii="Calibri" w:hAnsi="Calibri"/>
    </w:rPr>
  </w:style>
  <w:style w:type="paragraph" w:styleId="10">
    <w:name w:val="Normal Indent"/>
    <w:basedOn w:val="1"/>
    <w:link w:val="51"/>
    <w:autoRedefine/>
    <w:qFormat/>
    <w:locked/>
    <w:uiPriority w:val="0"/>
    <w:pPr>
      <w:adjustRightInd w:val="0"/>
      <w:ind w:firstLine="420"/>
      <w:jc w:val="left"/>
    </w:pPr>
    <w:rPr>
      <w:bCs/>
      <w:sz w:val="24"/>
      <w:szCs w:val="20"/>
    </w:rPr>
  </w:style>
  <w:style w:type="paragraph" w:styleId="11">
    <w:name w:val="caption"/>
    <w:basedOn w:val="1"/>
    <w:next w:val="1"/>
    <w:autoRedefine/>
    <w:qFormat/>
    <w:locked/>
    <w:uiPriority w:val="35"/>
    <w:rPr>
      <w:rFonts w:ascii="等线 Light" w:hAnsi="等线 Light" w:eastAsia="黑体"/>
      <w:sz w:val="20"/>
      <w:szCs w:val="20"/>
    </w:rPr>
  </w:style>
  <w:style w:type="paragraph" w:styleId="12">
    <w:name w:val="Document Map"/>
    <w:basedOn w:val="1"/>
    <w:link w:val="52"/>
    <w:autoRedefine/>
    <w:unhideWhenUsed/>
    <w:qFormat/>
    <w:locked/>
    <w:uiPriority w:val="0"/>
    <w:rPr>
      <w:rFonts w:ascii="宋体"/>
      <w:sz w:val="18"/>
      <w:szCs w:val="18"/>
    </w:rPr>
  </w:style>
  <w:style w:type="paragraph" w:styleId="13">
    <w:name w:val="annotation text"/>
    <w:basedOn w:val="1"/>
    <w:link w:val="53"/>
    <w:autoRedefine/>
    <w:semiHidden/>
    <w:qFormat/>
    <w:uiPriority w:val="0"/>
    <w:pPr>
      <w:jc w:val="left"/>
    </w:pPr>
    <w:rPr>
      <w:kern w:val="0"/>
      <w:sz w:val="24"/>
      <w:szCs w:val="20"/>
    </w:rPr>
  </w:style>
  <w:style w:type="paragraph" w:styleId="14">
    <w:name w:val="Body Text"/>
    <w:basedOn w:val="1"/>
    <w:next w:val="15"/>
    <w:link w:val="54"/>
    <w:autoRedefine/>
    <w:qFormat/>
    <w:uiPriority w:val="99"/>
    <w:pPr>
      <w:widowControl/>
      <w:snapToGrid w:val="0"/>
      <w:spacing w:before="60" w:after="160" w:line="259" w:lineRule="auto"/>
      <w:ind w:right="113"/>
    </w:pPr>
    <w:rPr>
      <w:kern w:val="0"/>
      <w:sz w:val="18"/>
      <w:szCs w:val="20"/>
    </w:rPr>
  </w:style>
  <w:style w:type="paragraph" w:customStyle="1" w:styleId="15">
    <w:name w:val="Normal (Web)1"/>
    <w:basedOn w:val="1"/>
    <w:next w:val="16"/>
    <w:autoRedefine/>
    <w:qFormat/>
    <w:uiPriority w:val="0"/>
    <w:pPr>
      <w:widowControl/>
    </w:pPr>
    <w:rPr>
      <w:rFonts w:ascii="宋体"/>
      <w:sz w:val="24"/>
      <w:szCs w:val="21"/>
    </w:rPr>
  </w:style>
  <w:style w:type="paragraph" w:customStyle="1" w:styleId="16">
    <w:name w:val="Date1"/>
    <w:basedOn w:val="1"/>
    <w:next w:val="1"/>
    <w:autoRedefine/>
    <w:qFormat/>
    <w:uiPriority w:val="0"/>
    <w:pPr>
      <w:ind w:left="2500" w:leftChars="2500"/>
    </w:pPr>
  </w:style>
  <w:style w:type="paragraph" w:styleId="17">
    <w:name w:val="Body Text Indent"/>
    <w:basedOn w:val="1"/>
    <w:link w:val="55"/>
    <w:autoRedefine/>
    <w:qFormat/>
    <w:uiPriority w:val="0"/>
    <w:pPr>
      <w:spacing w:after="120"/>
      <w:ind w:left="420" w:leftChars="200"/>
    </w:pPr>
    <w:rPr>
      <w:kern w:val="0"/>
      <w:sz w:val="24"/>
      <w:szCs w:val="20"/>
    </w:rPr>
  </w:style>
  <w:style w:type="paragraph" w:styleId="18">
    <w:name w:val="Block Text"/>
    <w:basedOn w:val="1"/>
    <w:autoRedefine/>
    <w:qFormat/>
    <w:locked/>
    <w:uiPriority w:val="0"/>
    <w:pPr>
      <w:spacing w:line="240" w:lineRule="exact"/>
      <w:ind w:left="46" w:leftChars="22" w:right="113"/>
    </w:pPr>
    <w:rPr>
      <w:rFonts w:ascii="宋体"/>
      <w:bCs/>
      <w:spacing w:val="-10"/>
      <w:sz w:val="18"/>
      <w:szCs w:val="18"/>
    </w:rPr>
  </w:style>
  <w:style w:type="paragraph" w:styleId="19">
    <w:name w:val="Plain Text"/>
    <w:basedOn w:val="1"/>
    <w:link w:val="56"/>
    <w:autoRedefine/>
    <w:qFormat/>
    <w:locked/>
    <w:uiPriority w:val="0"/>
    <w:rPr>
      <w:rFonts w:ascii="宋体" w:hAnsi="Courier New"/>
      <w:szCs w:val="20"/>
    </w:rPr>
  </w:style>
  <w:style w:type="paragraph" w:styleId="20">
    <w:name w:val="Date"/>
    <w:basedOn w:val="1"/>
    <w:next w:val="1"/>
    <w:link w:val="57"/>
    <w:autoRedefine/>
    <w:qFormat/>
    <w:uiPriority w:val="0"/>
    <w:pPr>
      <w:ind w:left="100" w:leftChars="2500"/>
    </w:pPr>
    <w:rPr>
      <w:kern w:val="0"/>
      <w:sz w:val="24"/>
      <w:szCs w:val="20"/>
    </w:rPr>
  </w:style>
  <w:style w:type="paragraph" w:styleId="21">
    <w:name w:val="Body Text Indent 2"/>
    <w:basedOn w:val="1"/>
    <w:link w:val="58"/>
    <w:autoRedefine/>
    <w:unhideWhenUsed/>
    <w:qFormat/>
    <w:locked/>
    <w:uiPriority w:val="99"/>
    <w:pPr>
      <w:spacing w:after="120" w:line="480" w:lineRule="auto"/>
      <w:ind w:left="420" w:leftChars="200"/>
    </w:pPr>
  </w:style>
  <w:style w:type="paragraph" w:styleId="22">
    <w:name w:val="Balloon Text"/>
    <w:basedOn w:val="1"/>
    <w:link w:val="59"/>
    <w:autoRedefine/>
    <w:qFormat/>
    <w:uiPriority w:val="0"/>
    <w:rPr>
      <w:kern w:val="0"/>
      <w:sz w:val="18"/>
      <w:szCs w:val="20"/>
    </w:rPr>
  </w:style>
  <w:style w:type="paragraph" w:styleId="23">
    <w:name w:val="footer"/>
    <w:basedOn w:val="1"/>
    <w:link w:val="60"/>
    <w:autoRedefine/>
    <w:qFormat/>
    <w:uiPriority w:val="99"/>
    <w:pPr>
      <w:tabs>
        <w:tab w:val="center" w:pos="4153"/>
        <w:tab w:val="right" w:pos="8306"/>
      </w:tabs>
      <w:snapToGrid w:val="0"/>
      <w:jc w:val="left"/>
    </w:pPr>
    <w:rPr>
      <w:kern w:val="0"/>
      <w:sz w:val="18"/>
      <w:szCs w:val="20"/>
    </w:rPr>
  </w:style>
  <w:style w:type="paragraph" w:styleId="24">
    <w:name w:val="header"/>
    <w:basedOn w:val="1"/>
    <w:link w:val="6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autoRedefine/>
    <w:qFormat/>
    <w:locked/>
    <w:uiPriority w:val="39"/>
  </w:style>
  <w:style w:type="paragraph" w:styleId="26">
    <w:name w:val="footnote text"/>
    <w:basedOn w:val="1"/>
    <w:link w:val="62"/>
    <w:autoRedefine/>
    <w:unhideWhenUsed/>
    <w:qFormat/>
    <w:locked/>
    <w:uiPriority w:val="99"/>
    <w:pPr>
      <w:snapToGrid w:val="0"/>
      <w:jc w:val="left"/>
    </w:pPr>
    <w:rPr>
      <w:sz w:val="18"/>
      <w:szCs w:val="18"/>
    </w:rPr>
  </w:style>
  <w:style w:type="paragraph" w:styleId="27">
    <w:name w:val="Body Text Indent 3"/>
    <w:basedOn w:val="1"/>
    <w:link w:val="63"/>
    <w:autoRedefine/>
    <w:unhideWhenUsed/>
    <w:qFormat/>
    <w:locked/>
    <w:uiPriority w:val="0"/>
    <w:pPr>
      <w:spacing w:after="120"/>
      <w:ind w:left="420" w:leftChars="200"/>
    </w:pPr>
    <w:rPr>
      <w:sz w:val="16"/>
      <w:szCs w:val="16"/>
    </w:rPr>
  </w:style>
  <w:style w:type="paragraph" w:styleId="28">
    <w:name w:val="toc 2"/>
    <w:basedOn w:val="1"/>
    <w:next w:val="1"/>
    <w:autoRedefine/>
    <w:unhideWhenUsed/>
    <w:qFormat/>
    <w:locked/>
    <w:uiPriority w:val="39"/>
    <w:pPr>
      <w:ind w:left="420" w:leftChars="200"/>
    </w:pPr>
  </w:style>
  <w:style w:type="paragraph" w:styleId="29">
    <w:name w:val="Body Text 2"/>
    <w:basedOn w:val="1"/>
    <w:link w:val="64"/>
    <w:autoRedefine/>
    <w:qFormat/>
    <w:locked/>
    <w:uiPriority w:val="0"/>
    <w:pPr>
      <w:spacing w:after="120" w:line="480" w:lineRule="auto"/>
    </w:pPr>
  </w:style>
  <w:style w:type="paragraph" w:styleId="30">
    <w:name w:val="Normal (Web)"/>
    <w:basedOn w:val="1"/>
    <w:link w:val="65"/>
    <w:autoRedefine/>
    <w:qFormat/>
    <w:uiPriority w:val="0"/>
    <w:pPr>
      <w:widowControl/>
      <w:spacing w:before="100" w:beforeAutospacing="1" w:after="100" w:afterAutospacing="1"/>
      <w:jc w:val="left"/>
    </w:pPr>
    <w:rPr>
      <w:rFonts w:ascii="宋体" w:hAnsi="宋体"/>
      <w:kern w:val="0"/>
      <w:sz w:val="24"/>
      <w:szCs w:val="20"/>
    </w:rPr>
  </w:style>
  <w:style w:type="paragraph" w:styleId="31">
    <w:name w:val="index 1"/>
    <w:basedOn w:val="1"/>
    <w:next w:val="1"/>
    <w:autoRedefine/>
    <w:qFormat/>
    <w:locked/>
    <w:uiPriority w:val="0"/>
    <w:pPr>
      <w:spacing w:line="280" w:lineRule="exact"/>
    </w:pPr>
    <w:rPr>
      <w:rFonts w:ascii="仿宋_GB2312" w:hAnsi="宋体" w:eastAsia="仿宋_GB2312"/>
      <w:szCs w:val="21"/>
    </w:rPr>
  </w:style>
  <w:style w:type="paragraph" w:styleId="32">
    <w:name w:val="Title"/>
    <w:basedOn w:val="1"/>
    <w:next w:val="1"/>
    <w:link w:val="66"/>
    <w:autoRedefine/>
    <w:qFormat/>
    <w:locked/>
    <w:uiPriority w:val="99"/>
    <w:pPr>
      <w:spacing w:before="240" w:after="60"/>
      <w:jc w:val="center"/>
      <w:outlineLvl w:val="0"/>
    </w:pPr>
    <w:rPr>
      <w:rFonts w:ascii="Cambria" w:hAnsi="Cambria"/>
      <w:b/>
      <w:bCs/>
      <w:sz w:val="32"/>
      <w:szCs w:val="32"/>
    </w:rPr>
  </w:style>
  <w:style w:type="paragraph" w:styleId="33">
    <w:name w:val="annotation subject"/>
    <w:basedOn w:val="13"/>
    <w:next w:val="13"/>
    <w:link w:val="67"/>
    <w:autoRedefine/>
    <w:semiHidden/>
    <w:qFormat/>
    <w:uiPriority w:val="0"/>
    <w:rPr>
      <w:b/>
    </w:rPr>
  </w:style>
  <w:style w:type="paragraph" w:styleId="34">
    <w:name w:val="Body Text First Indent"/>
    <w:basedOn w:val="14"/>
    <w:link w:val="68"/>
    <w:autoRedefine/>
    <w:qFormat/>
    <w:locked/>
    <w:uiPriority w:val="0"/>
    <w:pPr>
      <w:widowControl w:val="0"/>
      <w:snapToGrid/>
      <w:spacing w:before="0" w:after="120" w:line="240" w:lineRule="auto"/>
      <w:ind w:right="0" w:firstLine="420" w:firstLineChars="100"/>
    </w:pPr>
    <w:rPr>
      <w:kern w:val="2"/>
      <w:sz w:val="21"/>
      <w:szCs w:val="24"/>
    </w:rPr>
  </w:style>
  <w:style w:type="paragraph" w:styleId="35">
    <w:name w:val="Body Text First Indent 2"/>
    <w:basedOn w:val="17"/>
    <w:next w:val="1"/>
    <w:link w:val="69"/>
    <w:autoRedefine/>
    <w:unhideWhenUsed/>
    <w:qFormat/>
    <w:locked/>
    <w:uiPriority w:val="0"/>
    <w:pPr>
      <w:ind w:firstLine="420"/>
    </w:pPr>
    <w:rPr>
      <w:rFonts w:eastAsia="仿宋_GB2312"/>
      <w:sz w:val="28"/>
    </w:rPr>
  </w:style>
  <w:style w:type="table" w:styleId="37">
    <w:name w:val="Table Grid"/>
    <w:basedOn w:val="3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page number"/>
    <w:basedOn w:val="38"/>
    <w:autoRedefine/>
    <w:qFormat/>
    <w:locked/>
    <w:uiPriority w:val="0"/>
  </w:style>
  <w:style w:type="character" w:styleId="40">
    <w:name w:val="FollowedHyperlink"/>
    <w:autoRedefine/>
    <w:unhideWhenUsed/>
    <w:qFormat/>
    <w:locked/>
    <w:uiPriority w:val="99"/>
    <w:rPr>
      <w:color w:val="000000"/>
      <w:u w:val="none"/>
    </w:rPr>
  </w:style>
  <w:style w:type="character" w:styleId="41">
    <w:name w:val="Hyperlink"/>
    <w:autoRedefine/>
    <w:qFormat/>
    <w:locked/>
    <w:uiPriority w:val="99"/>
    <w:rPr>
      <w:rFonts w:cs="Times New Roman"/>
      <w:color w:val="0000FF"/>
      <w:u w:val="single"/>
    </w:rPr>
  </w:style>
  <w:style w:type="character" w:styleId="42">
    <w:name w:val="annotation reference"/>
    <w:autoRedefine/>
    <w:qFormat/>
    <w:uiPriority w:val="0"/>
    <w:rPr>
      <w:sz w:val="21"/>
    </w:rPr>
  </w:style>
  <w:style w:type="character" w:styleId="43">
    <w:name w:val="footnote reference"/>
    <w:autoRedefine/>
    <w:unhideWhenUsed/>
    <w:qFormat/>
    <w:locked/>
    <w:uiPriority w:val="99"/>
    <w:rPr>
      <w:vertAlign w:val="superscript"/>
    </w:rPr>
  </w:style>
  <w:style w:type="paragraph" w:customStyle="1" w:styleId="4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0正文"/>
    <w:basedOn w:val="1"/>
    <w:autoRedefine/>
    <w:qFormat/>
    <w:uiPriority w:val="0"/>
    <w:pPr>
      <w:spacing w:line="360" w:lineRule="auto"/>
      <w:ind w:firstLine="480" w:firstLineChars="200"/>
    </w:pPr>
    <w:rPr>
      <w:rFonts w:ascii="Calibri" w:hAnsi="Calibri"/>
      <w:sz w:val="24"/>
      <w:szCs w:val="22"/>
    </w:rPr>
  </w:style>
  <w:style w:type="character" w:customStyle="1" w:styleId="47">
    <w:name w:val="标题 3 Char"/>
    <w:link w:val="6"/>
    <w:autoRedefine/>
    <w:qFormat/>
    <w:uiPriority w:val="0"/>
    <w:rPr>
      <w:b/>
      <w:bCs/>
      <w:kern w:val="2"/>
      <w:sz w:val="32"/>
      <w:szCs w:val="32"/>
    </w:rPr>
  </w:style>
  <w:style w:type="character" w:customStyle="1" w:styleId="48">
    <w:name w:val="标题 1 Char"/>
    <w:link w:val="4"/>
    <w:autoRedefine/>
    <w:qFormat/>
    <w:uiPriority w:val="0"/>
    <w:rPr>
      <w:rFonts w:eastAsia="黑体"/>
      <w:b/>
      <w:bCs/>
      <w:color w:val="000000"/>
      <w:kern w:val="44"/>
      <w:sz w:val="30"/>
      <w:szCs w:val="30"/>
    </w:rPr>
  </w:style>
  <w:style w:type="character" w:customStyle="1" w:styleId="49">
    <w:name w:val="标题 2 Char"/>
    <w:link w:val="5"/>
    <w:autoRedefine/>
    <w:qFormat/>
    <w:uiPriority w:val="0"/>
    <w:rPr>
      <w:rFonts w:ascii="Arial" w:hAnsi="Arial" w:eastAsia="黑体"/>
      <w:b/>
      <w:bCs/>
      <w:kern w:val="2"/>
      <w:sz w:val="32"/>
      <w:szCs w:val="32"/>
    </w:rPr>
  </w:style>
  <w:style w:type="character" w:customStyle="1" w:styleId="50">
    <w:name w:val="标题 4 Char"/>
    <w:link w:val="7"/>
    <w:autoRedefine/>
    <w:semiHidden/>
    <w:qFormat/>
    <w:uiPriority w:val="0"/>
    <w:rPr>
      <w:rFonts w:ascii="宋体" w:hAnsi="宋体"/>
      <w:sz w:val="18"/>
      <w:szCs w:val="18"/>
    </w:rPr>
  </w:style>
  <w:style w:type="character" w:customStyle="1" w:styleId="51">
    <w:name w:val="正文缩进 Char"/>
    <w:link w:val="10"/>
    <w:autoRedefine/>
    <w:qFormat/>
    <w:uiPriority w:val="0"/>
    <w:rPr>
      <w:bCs/>
      <w:kern w:val="2"/>
      <w:sz w:val="24"/>
    </w:rPr>
  </w:style>
  <w:style w:type="character" w:customStyle="1" w:styleId="52">
    <w:name w:val="文档结构图 Char"/>
    <w:link w:val="12"/>
    <w:autoRedefine/>
    <w:qFormat/>
    <w:uiPriority w:val="0"/>
    <w:rPr>
      <w:rFonts w:ascii="宋体"/>
      <w:kern w:val="2"/>
      <w:sz w:val="18"/>
      <w:szCs w:val="18"/>
    </w:rPr>
  </w:style>
  <w:style w:type="character" w:customStyle="1" w:styleId="53">
    <w:name w:val="批注文字 Char"/>
    <w:link w:val="13"/>
    <w:autoRedefine/>
    <w:qFormat/>
    <w:locked/>
    <w:uiPriority w:val="0"/>
    <w:rPr>
      <w:rFonts w:ascii="Times New Roman" w:hAnsi="Times New Roman" w:eastAsia="宋体"/>
      <w:sz w:val="24"/>
    </w:rPr>
  </w:style>
  <w:style w:type="character" w:customStyle="1" w:styleId="54">
    <w:name w:val="正文文本 Char"/>
    <w:link w:val="14"/>
    <w:autoRedefine/>
    <w:qFormat/>
    <w:locked/>
    <w:uiPriority w:val="99"/>
    <w:rPr>
      <w:sz w:val="18"/>
    </w:rPr>
  </w:style>
  <w:style w:type="character" w:customStyle="1" w:styleId="55">
    <w:name w:val="正文文本缩进 Char"/>
    <w:link w:val="17"/>
    <w:autoRedefine/>
    <w:qFormat/>
    <w:locked/>
    <w:uiPriority w:val="0"/>
    <w:rPr>
      <w:rFonts w:ascii="Times New Roman" w:hAnsi="Times New Roman" w:eastAsia="宋体"/>
      <w:sz w:val="24"/>
    </w:rPr>
  </w:style>
  <w:style w:type="character" w:customStyle="1" w:styleId="56">
    <w:name w:val="纯文本 Char"/>
    <w:link w:val="19"/>
    <w:autoRedefine/>
    <w:qFormat/>
    <w:uiPriority w:val="0"/>
    <w:rPr>
      <w:rFonts w:ascii="宋体" w:hAnsi="Courier New"/>
      <w:kern w:val="2"/>
      <w:sz w:val="21"/>
    </w:rPr>
  </w:style>
  <w:style w:type="character" w:customStyle="1" w:styleId="57">
    <w:name w:val="日期 Char"/>
    <w:link w:val="20"/>
    <w:autoRedefine/>
    <w:qFormat/>
    <w:locked/>
    <w:uiPriority w:val="0"/>
    <w:rPr>
      <w:rFonts w:ascii="Times New Roman" w:hAnsi="Times New Roman" w:eastAsia="宋体"/>
      <w:sz w:val="24"/>
    </w:rPr>
  </w:style>
  <w:style w:type="character" w:customStyle="1" w:styleId="58">
    <w:name w:val="正文文本缩进 2 Char"/>
    <w:link w:val="21"/>
    <w:autoRedefine/>
    <w:qFormat/>
    <w:uiPriority w:val="99"/>
    <w:rPr>
      <w:kern w:val="2"/>
      <w:sz w:val="21"/>
      <w:szCs w:val="24"/>
    </w:rPr>
  </w:style>
  <w:style w:type="character" w:customStyle="1" w:styleId="59">
    <w:name w:val="批注框文本 Char"/>
    <w:link w:val="22"/>
    <w:autoRedefine/>
    <w:qFormat/>
    <w:locked/>
    <w:uiPriority w:val="0"/>
    <w:rPr>
      <w:rFonts w:ascii="Times New Roman" w:hAnsi="Times New Roman" w:eastAsia="宋体"/>
      <w:sz w:val="18"/>
    </w:rPr>
  </w:style>
  <w:style w:type="character" w:customStyle="1" w:styleId="60">
    <w:name w:val="页脚 Char"/>
    <w:link w:val="23"/>
    <w:autoRedefine/>
    <w:qFormat/>
    <w:locked/>
    <w:uiPriority w:val="99"/>
    <w:rPr>
      <w:sz w:val="18"/>
    </w:rPr>
  </w:style>
  <w:style w:type="character" w:customStyle="1" w:styleId="61">
    <w:name w:val="页眉 Char"/>
    <w:link w:val="24"/>
    <w:autoRedefine/>
    <w:qFormat/>
    <w:locked/>
    <w:uiPriority w:val="0"/>
    <w:rPr>
      <w:sz w:val="18"/>
    </w:rPr>
  </w:style>
  <w:style w:type="character" w:customStyle="1" w:styleId="62">
    <w:name w:val="脚注文本 Char"/>
    <w:link w:val="26"/>
    <w:autoRedefine/>
    <w:qFormat/>
    <w:uiPriority w:val="99"/>
    <w:rPr>
      <w:kern w:val="2"/>
      <w:sz w:val="18"/>
      <w:szCs w:val="18"/>
    </w:rPr>
  </w:style>
  <w:style w:type="character" w:customStyle="1" w:styleId="63">
    <w:name w:val="正文文本缩进 3 Char"/>
    <w:link w:val="27"/>
    <w:autoRedefine/>
    <w:qFormat/>
    <w:uiPriority w:val="0"/>
    <w:rPr>
      <w:kern w:val="2"/>
      <w:sz w:val="16"/>
      <w:szCs w:val="16"/>
    </w:rPr>
  </w:style>
  <w:style w:type="character" w:customStyle="1" w:styleId="64">
    <w:name w:val="正文文本 2 Char"/>
    <w:link w:val="29"/>
    <w:autoRedefine/>
    <w:qFormat/>
    <w:uiPriority w:val="0"/>
    <w:rPr>
      <w:kern w:val="2"/>
      <w:sz w:val="21"/>
      <w:szCs w:val="24"/>
    </w:rPr>
  </w:style>
  <w:style w:type="character" w:customStyle="1" w:styleId="65">
    <w:name w:val="普通(网站) Char"/>
    <w:link w:val="30"/>
    <w:autoRedefine/>
    <w:qFormat/>
    <w:locked/>
    <w:uiPriority w:val="0"/>
    <w:rPr>
      <w:rFonts w:ascii="宋体" w:hAnsi="宋体" w:eastAsia="宋体"/>
      <w:sz w:val="24"/>
    </w:rPr>
  </w:style>
  <w:style w:type="character" w:customStyle="1" w:styleId="66">
    <w:name w:val="标题 Char"/>
    <w:link w:val="32"/>
    <w:autoRedefine/>
    <w:qFormat/>
    <w:uiPriority w:val="99"/>
    <w:rPr>
      <w:rFonts w:ascii="Cambria" w:hAnsi="Cambria"/>
      <w:b/>
      <w:bCs/>
      <w:kern w:val="2"/>
      <w:sz w:val="32"/>
      <w:szCs w:val="32"/>
    </w:rPr>
  </w:style>
  <w:style w:type="character" w:customStyle="1" w:styleId="67">
    <w:name w:val="批注主题 Char"/>
    <w:link w:val="33"/>
    <w:autoRedefine/>
    <w:semiHidden/>
    <w:qFormat/>
    <w:locked/>
    <w:uiPriority w:val="0"/>
    <w:rPr>
      <w:rFonts w:ascii="Times New Roman" w:hAnsi="Times New Roman" w:eastAsia="宋体"/>
      <w:b/>
      <w:kern w:val="2"/>
      <w:sz w:val="24"/>
    </w:rPr>
  </w:style>
  <w:style w:type="character" w:customStyle="1" w:styleId="68">
    <w:name w:val="正文首行缩进 Char1"/>
    <w:link w:val="34"/>
    <w:autoRedefine/>
    <w:qFormat/>
    <w:uiPriority w:val="0"/>
    <w:rPr>
      <w:kern w:val="2"/>
      <w:sz w:val="21"/>
      <w:szCs w:val="24"/>
    </w:rPr>
  </w:style>
  <w:style w:type="character" w:customStyle="1" w:styleId="69">
    <w:name w:val="正文首行缩进 2 Char"/>
    <w:link w:val="35"/>
    <w:autoRedefine/>
    <w:qFormat/>
    <w:uiPriority w:val="0"/>
    <w:rPr>
      <w:rFonts w:ascii="Times New Roman" w:hAnsi="Times New Roman" w:eastAsia="仿宋_GB2312"/>
      <w:kern w:val="2"/>
      <w:sz w:val="28"/>
      <w:szCs w:val="24"/>
    </w:rPr>
  </w:style>
  <w:style w:type="character" w:customStyle="1" w:styleId="70">
    <w:name w:val="c-gray"/>
    <w:basedOn w:val="38"/>
    <w:autoRedefine/>
    <w:qFormat/>
    <w:uiPriority w:val="0"/>
  </w:style>
  <w:style w:type="character" w:customStyle="1" w:styleId="71">
    <w:name w:val="页脚 字符"/>
    <w:basedOn w:val="38"/>
    <w:autoRedefine/>
    <w:qFormat/>
    <w:uiPriority w:val="99"/>
  </w:style>
  <w:style w:type="character" w:customStyle="1" w:styleId="72">
    <w:name w:val="font21"/>
    <w:autoRedefine/>
    <w:qFormat/>
    <w:uiPriority w:val="99"/>
    <w:rPr>
      <w:rFonts w:ascii="宋体" w:hAnsi="宋体" w:eastAsia="宋体" w:cs="宋体"/>
      <w:color w:val="000000"/>
      <w:sz w:val="18"/>
      <w:szCs w:val="18"/>
      <w:u w:val="none"/>
    </w:rPr>
  </w:style>
  <w:style w:type="character" w:customStyle="1" w:styleId="73">
    <w:name w:val="批注文字 字符1"/>
    <w:autoRedefine/>
    <w:semiHidden/>
    <w:qFormat/>
    <w:uiPriority w:val="0"/>
    <w:rPr>
      <w:rFonts w:ascii="Times New Roman" w:hAnsi="Times New Roman" w:eastAsia="宋体"/>
      <w:sz w:val="24"/>
    </w:rPr>
  </w:style>
  <w:style w:type="character" w:customStyle="1" w:styleId="74">
    <w:name w:val="font01"/>
    <w:autoRedefine/>
    <w:qFormat/>
    <w:uiPriority w:val="99"/>
    <w:rPr>
      <w:rFonts w:ascii="宋体" w:hAnsi="宋体" w:eastAsia="宋体" w:cs="宋体"/>
      <w:color w:val="000000"/>
      <w:sz w:val="18"/>
      <w:szCs w:val="18"/>
      <w:u w:val="none"/>
    </w:rPr>
  </w:style>
  <w:style w:type="character" w:customStyle="1" w:styleId="75">
    <w:name w:val="日期 字符"/>
    <w:autoRedefine/>
    <w:semiHidden/>
    <w:qFormat/>
    <w:uiPriority w:val="0"/>
    <w:rPr>
      <w:rFonts w:ascii="Times New Roman" w:hAnsi="Times New Roman" w:eastAsia="宋体"/>
      <w:sz w:val="24"/>
    </w:rPr>
  </w:style>
  <w:style w:type="character" w:customStyle="1" w:styleId="76">
    <w:name w:val="article1"/>
    <w:autoRedefine/>
    <w:qFormat/>
    <w:uiPriority w:val="0"/>
    <w:rPr>
      <w:b/>
      <w:bCs/>
      <w:smallCaps/>
      <w:color w:val="FF0000"/>
      <w:sz w:val="48"/>
      <w:szCs w:val="48"/>
    </w:rPr>
  </w:style>
  <w:style w:type="character" w:customStyle="1" w:styleId="77">
    <w:name w:val="钢--正文 Char"/>
    <w:link w:val="78"/>
    <w:autoRedefine/>
    <w:qFormat/>
    <w:locked/>
    <w:uiPriority w:val="0"/>
    <w:rPr>
      <w:rFonts w:ascii="宋体" w:hAnsi="宋体"/>
      <w:kern w:val="2"/>
      <w:sz w:val="24"/>
      <w:szCs w:val="24"/>
    </w:rPr>
  </w:style>
  <w:style w:type="paragraph" w:customStyle="1" w:styleId="78">
    <w:name w:val="钢--正文"/>
    <w:basedOn w:val="1"/>
    <w:link w:val="77"/>
    <w:autoRedefine/>
    <w:qFormat/>
    <w:uiPriority w:val="0"/>
    <w:pPr>
      <w:spacing w:line="520" w:lineRule="exact"/>
      <w:ind w:firstLine="480" w:firstLineChars="200"/>
    </w:pPr>
    <w:rPr>
      <w:rFonts w:ascii="宋体" w:hAnsi="宋体"/>
      <w:sz w:val="24"/>
    </w:rPr>
  </w:style>
  <w:style w:type="character" w:customStyle="1" w:styleId="79">
    <w:name w:val="表表表 Char"/>
    <w:link w:val="80"/>
    <w:autoRedefine/>
    <w:qFormat/>
    <w:uiPriority w:val="0"/>
    <w:rPr>
      <w:szCs w:val="21"/>
    </w:rPr>
  </w:style>
  <w:style w:type="paragraph" w:customStyle="1" w:styleId="80">
    <w:name w:val="表表表"/>
    <w:basedOn w:val="1"/>
    <w:link w:val="79"/>
    <w:autoRedefine/>
    <w:qFormat/>
    <w:uiPriority w:val="0"/>
    <w:pPr>
      <w:tabs>
        <w:tab w:val="left" w:pos="3000"/>
      </w:tabs>
      <w:spacing w:line="360" w:lineRule="auto"/>
      <w:jc w:val="center"/>
    </w:pPr>
    <w:rPr>
      <w:kern w:val="0"/>
      <w:sz w:val="20"/>
      <w:szCs w:val="21"/>
    </w:rPr>
  </w:style>
  <w:style w:type="character" w:customStyle="1" w:styleId="81">
    <w:name w:val="ca-1"/>
    <w:basedOn w:val="38"/>
    <w:autoRedefine/>
    <w:qFormat/>
    <w:uiPriority w:val="0"/>
  </w:style>
  <w:style w:type="character" w:customStyle="1" w:styleId="82">
    <w:name w:val="占位符文本1"/>
    <w:autoRedefine/>
    <w:semiHidden/>
    <w:qFormat/>
    <w:uiPriority w:val="99"/>
    <w:rPr>
      <w:color w:val="808080"/>
    </w:rPr>
  </w:style>
  <w:style w:type="character" w:customStyle="1" w:styleId="83">
    <w:name w:val="中文报告书样式 Char1"/>
    <w:link w:val="84"/>
    <w:autoRedefine/>
    <w:qFormat/>
    <w:uiPriority w:val="0"/>
    <w:rPr>
      <w:kern w:val="24"/>
      <w:sz w:val="24"/>
      <w:szCs w:val="24"/>
    </w:rPr>
  </w:style>
  <w:style w:type="paragraph" w:customStyle="1" w:styleId="84">
    <w:name w:val="中文报告书样式"/>
    <w:basedOn w:val="1"/>
    <w:link w:val="83"/>
    <w:autoRedefine/>
    <w:qFormat/>
    <w:uiPriority w:val="0"/>
    <w:pPr>
      <w:adjustRightInd w:val="0"/>
      <w:spacing w:line="480" w:lineRule="atLeast"/>
      <w:ind w:firstLine="482"/>
      <w:textAlignment w:val="baseline"/>
    </w:pPr>
    <w:rPr>
      <w:kern w:val="24"/>
      <w:sz w:val="24"/>
    </w:rPr>
  </w:style>
  <w:style w:type="character" w:customStyle="1" w:styleId="85">
    <w:name w:val="样式 宋体"/>
    <w:autoRedefine/>
    <w:qFormat/>
    <w:uiPriority w:val="0"/>
    <w:rPr>
      <w:rFonts w:ascii="Times New Roman" w:hAnsi="Times New Roman" w:eastAsia="宋体"/>
      <w:sz w:val="24"/>
      <w:vertAlign w:val="baseline"/>
    </w:rPr>
  </w:style>
  <w:style w:type="character" w:customStyle="1" w:styleId="86">
    <w:name w:val="表格 Char"/>
    <w:link w:val="87"/>
    <w:autoRedefine/>
    <w:qFormat/>
    <w:locked/>
    <w:uiPriority w:val="0"/>
    <w:rPr>
      <w:rFonts w:ascii="宋体"/>
      <w:sz w:val="21"/>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kern w:val="0"/>
      <w:szCs w:val="20"/>
    </w:rPr>
  </w:style>
  <w:style w:type="character" w:customStyle="1" w:styleId="88">
    <w:name w:val="未处理的提及"/>
    <w:autoRedefine/>
    <w:unhideWhenUsed/>
    <w:qFormat/>
    <w:uiPriority w:val="99"/>
    <w:rPr>
      <w:color w:val="605E5C"/>
      <w:shd w:val="clear" w:color="auto" w:fill="E1DFDD"/>
    </w:rPr>
  </w:style>
  <w:style w:type="character" w:customStyle="1" w:styleId="89">
    <w:name w:val="正文文本 (2)_"/>
    <w:link w:val="90"/>
    <w:autoRedefine/>
    <w:qFormat/>
    <w:uiPriority w:val="0"/>
    <w:rPr>
      <w:rFonts w:ascii="MingLiU" w:hAnsi="MingLiU" w:eastAsia="MingLiU" w:cs="MingLiU"/>
      <w:sz w:val="26"/>
      <w:szCs w:val="26"/>
      <w:shd w:val="clear" w:color="auto" w:fill="FFFFFF"/>
    </w:rPr>
  </w:style>
  <w:style w:type="paragraph" w:customStyle="1" w:styleId="90">
    <w:name w:val="正文文本 (2)5"/>
    <w:basedOn w:val="1"/>
    <w:link w:val="89"/>
    <w:autoRedefine/>
    <w:qFormat/>
    <w:uiPriority w:val="0"/>
    <w:pPr>
      <w:shd w:val="clear" w:color="auto" w:fill="FFFFFF"/>
      <w:spacing w:line="542" w:lineRule="exact"/>
    </w:pPr>
    <w:rPr>
      <w:rFonts w:ascii="MingLiU" w:hAnsi="MingLiU" w:eastAsia="MingLiU" w:cs="MingLiU"/>
      <w:kern w:val="0"/>
      <w:sz w:val="26"/>
      <w:szCs w:val="26"/>
    </w:rPr>
  </w:style>
  <w:style w:type="character" w:customStyle="1" w:styleId="91">
    <w:name w:val="正文文本 字符1"/>
    <w:autoRedefine/>
    <w:semiHidden/>
    <w:qFormat/>
    <w:uiPriority w:val="0"/>
    <w:rPr>
      <w:rFonts w:ascii="Times New Roman" w:hAnsi="Times New Roman" w:eastAsia="宋体"/>
      <w:sz w:val="24"/>
    </w:rPr>
  </w:style>
  <w:style w:type="character" w:customStyle="1" w:styleId="92">
    <w:name w:val="正文首行缩进 Char"/>
    <w:autoRedefine/>
    <w:semiHidden/>
    <w:qFormat/>
    <w:uiPriority w:val="99"/>
    <w:rPr>
      <w:rFonts w:ascii="Times New Roman" w:hAnsi="Times New Roman" w:eastAsia="宋体" w:cs="Times New Roman"/>
      <w:kern w:val="2"/>
      <w:sz w:val="21"/>
      <w:szCs w:val="24"/>
    </w:rPr>
  </w:style>
  <w:style w:type="character" w:customStyle="1" w:styleId="93">
    <w:name w:val="font61"/>
    <w:autoRedefine/>
    <w:qFormat/>
    <w:uiPriority w:val="99"/>
    <w:rPr>
      <w:rFonts w:ascii="宋体" w:hAnsi="宋体" w:eastAsia="宋体" w:cs="宋体"/>
      <w:color w:val="000000"/>
      <w:sz w:val="18"/>
      <w:szCs w:val="18"/>
      <w:u w:val="none"/>
    </w:rPr>
  </w:style>
  <w:style w:type="character" w:customStyle="1" w:styleId="94">
    <w:name w:val="font51"/>
    <w:autoRedefine/>
    <w:qFormat/>
    <w:uiPriority w:val="99"/>
    <w:rPr>
      <w:rFonts w:ascii="Times New Roman" w:hAnsi="Times New Roman" w:cs="Times New Roman"/>
      <w:color w:val="000000"/>
      <w:sz w:val="18"/>
      <w:szCs w:val="18"/>
      <w:u w:val="none"/>
      <w:vertAlign w:val="superscript"/>
    </w:rPr>
  </w:style>
  <w:style w:type="character" w:customStyle="1" w:styleId="95">
    <w:name w:val="样式 题注 + (中文) 宋体 Char"/>
    <w:link w:val="96"/>
    <w:autoRedefine/>
    <w:qFormat/>
    <w:uiPriority w:val="0"/>
    <w:rPr>
      <w:b/>
      <w:kern w:val="2"/>
      <w:sz w:val="21"/>
    </w:rPr>
  </w:style>
  <w:style w:type="paragraph" w:customStyle="1" w:styleId="96">
    <w:name w:val="样式 题注 + (中文) 宋体"/>
    <w:basedOn w:val="11"/>
    <w:link w:val="95"/>
    <w:autoRedefine/>
    <w:qFormat/>
    <w:uiPriority w:val="0"/>
    <w:pPr>
      <w:keepNext/>
      <w:adjustRightInd w:val="0"/>
      <w:snapToGrid w:val="0"/>
      <w:jc w:val="center"/>
    </w:pPr>
    <w:rPr>
      <w:rFonts w:ascii="Times New Roman" w:hAnsi="Times New Roman" w:eastAsia="宋体"/>
      <w:b/>
      <w:sz w:val="21"/>
    </w:rPr>
  </w:style>
  <w:style w:type="character" w:customStyle="1" w:styleId="97">
    <w:name w:val="正文缩进 字符"/>
    <w:autoRedefine/>
    <w:qFormat/>
    <w:uiPriority w:val="0"/>
    <w:rPr>
      <w:kern w:val="2"/>
      <w:sz w:val="28"/>
    </w:rPr>
  </w:style>
  <w:style w:type="character" w:customStyle="1" w:styleId="98">
    <w:name w:val="表头 Char"/>
    <w:link w:val="99"/>
    <w:autoRedefine/>
    <w:qFormat/>
    <w:uiPriority w:val="0"/>
    <w:rPr>
      <w:rFonts w:ascii="宋体" w:hAnsi="宋体"/>
      <w:b/>
      <w:kern w:val="2"/>
      <w:sz w:val="21"/>
      <w:szCs w:val="21"/>
      <w:lang w:val="de-DE"/>
    </w:rPr>
  </w:style>
  <w:style w:type="paragraph" w:customStyle="1" w:styleId="99">
    <w:name w:val="表头"/>
    <w:basedOn w:val="1"/>
    <w:link w:val="98"/>
    <w:autoRedefine/>
    <w:qFormat/>
    <w:uiPriority w:val="0"/>
    <w:rPr>
      <w:rFonts w:ascii="宋体" w:hAnsi="宋体"/>
      <w:b/>
      <w:szCs w:val="21"/>
      <w:lang w:val="de-DE"/>
    </w:rPr>
  </w:style>
  <w:style w:type="paragraph" w:customStyle="1" w:styleId="10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1">
    <w:name w:val="样式环评"/>
    <w:basedOn w:val="1"/>
    <w:autoRedefine/>
    <w:qFormat/>
    <w:uiPriority w:val="0"/>
    <w:pPr>
      <w:spacing w:line="500" w:lineRule="exact"/>
      <w:ind w:firstLine="612"/>
    </w:pPr>
    <w:rPr>
      <w:rFonts w:ascii="仿宋_GB2312" w:hAnsi="宋体" w:eastAsia="仿宋_GB2312"/>
      <w:sz w:val="28"/>
    </w:rPr>
  </w:style>
  <w:style w:type="paragraph" w:customStyle="1" w:styleId="102">
    <w:name w:val="列出段落1"/>
    <w:basedOn w:val="1"/>
    <w:autoRedefine/>
    <w:qFormat/>
    <w:uiPriority w:val="99"/>
    <w:pPr>
      <w:ind w:firstLine="420" w:firstLineChars="200"/>
    </w:pPr>
    <w:rPr>
      <w:rFonts w:ascii="Calibri" w:hAnsi="Calibri"/>
    </w:rPr>
  </w:style>
  <w:style w:type="paragraph" w:customStyle="1" w:styleId="103">
    <w:name w:val="样式 表中文字 + 小四"/>
    <w:basedOn w:val="1"/>
    <w:link w:val="133"/>
    <w:autoRedefine/>
    <w:qFormat/>
    <w:uiPriority w:val="0"/>
    <w:pPr>
      <w:widowControl/>
      <w:jc w:val="center"/>
    </w:pPr>
    <w:rPr>
      <w:rFonts w:hint="eastAsia" w:ascii="宋体" w:hAnsi="宋体"/>
      <w:kern w:val="0"/>
      <w:sz w:val="20"/>
      <w:szCs w:val="21"/>
    </w:rPr>
  </w:style>
  <w:style w:type="paragraph" w:customStyle="1" w:styleId="104">
    <w:name w:val="【正文】"/>
    <w:basedOn w:val="1"/>
    <w:autoRedefine/>
    <w:qFormat/>
    <w:uiPriority w:val="0"/>
    <w:pPr>
      <w:spacing w:beforeLines="50" w:afterLines="50" w:line="440" w:lineRule="exact"/>
      <w:ind w:firstLine="200" w:firstLineChars="200"/>
    </w:pPr>
    <w:rPr>
      <w:rFonts w:eastAsia="新宋体" w:cs="宋体"/>
      <w:sz w:val="24"/>
      <w:szCs w:val="20"/>
    </w:rPr>
  </w:style>
  <w:style w:type="paragraph" w:customStyle="1" w:styleId="105">
    <w:name w:val="表标题"/>
    <w:basedOn w:val="1"/>
    <w:autoRedefine/>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106">
    <w:name w:val="环科院插图标题"/>
    <w:basedOn w:val="1"/>
    <w:autoRedefine/>
    <w:qFormat/>
    <w:uiPriority w:val="99"/>
    <w:pPr>
      <w:adjustRightInd w:val="0"/>
      <w:snapToGrid w:val="0"/>
      <w:spacing w:beforeLines="50"/>
      <w:jc w:val="center"/>
    </w:pPr>
    <w:rPr>
      <w:rFonts w:ascii="黑体" w:eastAsia="黑体"/>
      <w:color w:val="FF0000"/>
      <w:szCs w:val="21"/>
    </w:rPr>
  </w:style>
  <w:style w:type="paragraph" w:customStyle="1" w:styleId="107">
    <w:name w:val="样式11"/>
    <w:basedOn w:val="1"/>
    <w:autoRedefine/>
    <w:qFormat/>
    <w:uiPriority w:val="0"/>
    <w:pPr>
      <w:spacing w:line="300" w:lineRule="auto"/>
      <w:jc w:val="center"/>
    </w:pPr>
    <w:rPr>
      <w:rFonts w:ascii="宋体"/>
    </w:rPr>
  </w:style>
  <w:style w:type="paragraph" w:customStyle="1" w:styleId="108">
    <w:name w:val="首行缩进正文"/>
    <w:basedOn w:val="1"/>
    <w:autoRedefine/>
    <w:qFormat/>
    <w:uiPriority w:val="0"/>
    <w:pPr>
      <w:spacing w:line="360" w:lineRule="auto"/>
      <w:ind w:firstLine="1440" w:firstLineChars="200"/>
    </w:pPr>
  </w:style>
  <w:style w:type="paragraph" w:customStyle="1" w:styleId="109">
    <w:name w:val="p0"/>
    <w:basedOn w:val="1"/>
    <w:autoRedefine/>
    <w:qFormat/>
    <w:uiPriority w:val="0"/>
    <w:pPr>
      <w:widowControl/>
    </w:pPr>
    <w:rPr>
      <w:kern w:val="0"/>
      <w:szCs w:val="21"/>
    </w:rPr>
  </w:style>
  <w:style w:type="paragraph" w:customStyle="1" w:styleId="110">
    <w:name w:val="Table Paragraph"/>
    <w:basedOn w:val="1"/>
    <w:autoRedefine/>
    <w:qFormat/>
    <w:uiPriority w:val="1"/>
    <w:rPr>
      <w:rFonts w:ascii="Calibri" w:hAnsi="Calibri"/>
      <w:kern w:val="0"/>
      <w:sz w:val="28"/>
      <w:szCs w:val="20"/>
    </w:rPr>
  </w:style>
  <w:style w:type="paragraph" w:customStyle="1" w:styleId="111">
    <w:name w:val="报告正文"/>
    <w:basedOn w:val="1"/>
    <w:autoRedefine/>
    <w:qFormat/>
    <w:uiPriority w:val="0"/>
    <w:pPr>
      <w:spacing w:line="360" w:lineRule="auto"/>
      <w:ind w:firstLine="480" w:firstLineChars="200"/>
    </w:pPr>
    <w:rPr>
      <w:rFonts w:ascii="Arial" w:hAnsi="Arial" w:eastAsia="等线" w:cs="Arial"/>
      <w:kern w:val="0"/>
      <w:sz w:val="24"/>
      <w:szCs w:val="20"/>
    </w:rPr>
  </w:style>
  <w:style w:type="paragraph" w:customStyle="1" w:styleId="112">
    <w:name w:val="表格文字."/>
    <w:basedOn w:val="1"/>
    <w:autoRedefine/>
    <w:qFormat/>
    <w:uiPriority w:val="0"/>
    <w:pPr>
      <w:adjustRightInd w:val="0"/>
      <w:snapToGrid w:val="0"/>
      <w:jc w:val="center"/>
    </w:pPr>
    <w:rPr>
      <w:snapToGrid w:val="0"/>
      <w:color w:val="000000"/>
      <w:kern w:val="0"/>
      <w:szCs w:val="20"/>
    </w:rPr>
  </w:style>
  <w:style w:type="paragraph" w:customStyle="1" w:styleId="11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115">
    <w:name w:val="环表格"/>
    <w:basedOn w:val="87"/>
    <w:autoRedefine/>
    <w:qFormat/>
    <w:uiPriority w:val="0"/>
    <w:pPr>
      <w:spacing w:beforeLines="20" w:afterLines="20" w:line="240" w:lineRule="auto"/>
    </w:pPr>
    <w:rPr>
      <w:rFonts w:ascii="Times New Roman"/>
      <w:bCs/>
      <w:kern w:val="2"/>
    </w:rPr>
  </w:style>
  <w:style w:type="paragraph" w:customStyle="1" w:styleId="116">
    <w:name w:val="表格文字"/>
    <w:autoRedefine/>
    <w:qFormat/>
    <w:uiPriority w:val="0"/>
    <w:pPr>
      <w:spacing w:beforeLines="10" w:line="0" w:lineRule="atLeast"/>
      <w:jc w:val="center"/>
    </w:pPr>
    <w:rPr>
      <w:rFonts w:ascii="Times New Roman" w:hAnsi="Times New Roman" w:eastAsia="宋体" w:cs="Times New Roman"/>
      <w:kern w:val="2"/>
      <w:sz w:val="18"/>
      <w:szCs w:val="21"/>
      <w:lang w:val="en-US" w:eastAsia="zh-CN" w:bidi="ar-SA"/>
    </w:rPr>
  </w:style>
  <w:style w:type="paragraph" w:customStyle="1" w:styleId="117">
    <w:name w:val="Char5"/>
    <w:basedOn w:val="1"/>
    <w:autoRedefine/>
    <w:qFormat/>
    <w:uiPriority w:val="0"/>
    <w:pPr>
      <w:adjustRightInd w:val="0"/>
      <w:snapToGrid w:val="0"/>
      <w:spacing w:line="360" w:lineRule="auto"/>
      <w:ind w:firstLine="200" w:firstLineChars="200"/>
    </w:pPr>
    <w:rPr>
      <w:sz w:val="24"/>
    </w:rPr>
  </w:style>
  <w:style w:type="paragraph" w:customStyle="1" w:styleId="118">
    <w:name w:val="正文 首行缩进:  2 字符"/>
    <w:basedOn w:val="1"/>
    <w:autoRedefine/>
    <w:qFormat/>
    <w:uiPriority w:val="0"/>
    <w:pPr>
      <w:adjustRightInd w:val="0"/>
      <w:snapToGrid w:val="0"/>
      <w:spacing w:line="360" w:lineRule="auto"/>
      <w:ind w:firstLine="480" w:firstLineChars="200"/>
    </w:pPr>
    <w:rPr>
      <w:bCs/>
      <w:color w:val="000000"/>
      <w:kern w:val="0"/>
      <w:sz w:val="24"/>
    </w:rPr>
  </w:style>
  <w:style w:type="paragraph" w:customStyle="1" w:styleId="119">
    <w:name w:val="xl22"/>
    <w:basedOn w:val="1"/>
    <w:autoRedefine/>
    <w:qFormat/>
    <w:uiPriority w:val="99"/>
    <w:pPr>
      <w:widowControl/>
      <w:spacing w:before="100" w:after="100"/>
      <w:jc w:val="center"/>
    </w:pPr>
    <w:rPr>
      <w:kern w:val="0"/>
      <w:sz w:val="24"/>
    </w:rPr>
  </w:style>
  <w:style w:type="paragraph" w:customStyle="1" w:styleId="120">
    <w:name w:val="TOC 标题1"/>
    <w:basedOn w:val="4"/>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2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2">
    <w:name w:val="样式 题注 + 首行缩进:  2 字符"/>
    <w:basedOn w:val="11"/>
    <w:autoRedefine/>
    <w:qFormat/>
    <w:uiPriority w:val="0"/>
    <w:pPr>
      <w:snapToGrid w:val="0"/>
      <w:spacing w:line="360" w:lineRule="auto"/>
      <w:ind w:firstLine="502" w:firstLineChars="100"/>
      <w:jc w:val="center"/>
    </w:pPr>
    <w:rPr>
      <w:rFonts w:ascii="黑体" w:hAnsi="Times New Roman"/>
      <w:b/>
      <w:sz w:val="24"/>
    </w:rPr>
  </w:style>
  <w:style w:type="paragraph" w:customStyle="1" w:styleId="123">
    <w:name w:val="四级标题1.1.1.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24">
    <w:name w:val="绘图"/>
    <w:basedOn w:val="1"/>
    <w:autoRedefine/>
    <w:qFormat/>
    <w:uiPriority w:val="0"/>
    <w:pPr>
      <w:jc w:val="center"/>
    </w:pPr>
    <w:rPr>
      <w:rFonts w:ascii="Calibri" w:hAnsi="Calibri" w:eastAsia="黑体"/>
      <w:kern w:val="0"/>
      <w:sz w:val="24"/>
      <w:szCs w:val="20"/>
    </w:rPr>
  </w:style>
  <w:style w:type="paragraph" w:customStyle="1" w:styleId="125">
    <w:name w:val="环评样式1"/>
    <w:basedOn w:val="1"/>
    <w:autoRedefine/>
    <w:qFormat/>
    <w:uiPriority w:val="0"/>
    <w:pPr>
      <w:spacing w:line="500" w:lineRule="exact"/>
      <w:ind w:firstLine="612"/>
    </w:pPr>
    <w:rPr>
      <w:rFonts w:ascii="仿宋_GB2312" w:hAnsi="宋体" w:eastAsia="仿宋_GB2312"/>
      <w:sz w:val="28"/>
    </w:rPr>
  </w:style>
  <w:style w:type="paragraph" w:customStyle="1" w:styleId="126">
    <w:name w:val="正文小四"/>
    <w:basedOn w:val="1"/>
    <w:autoRedefine/>
    <w:qFormat/>
    <w:uiPriority w:val="0"/>
    <w:pPr>
      <w:widowControl/>
      <w:jc w:val="left"/>
    </w:pPr>
  </w:style>
  <w:style w:type="paragraph" w:customStyle="1" w:styleId="127">
    <w:name w:val="图表题"/>
    <w:basedOn w:val="1"/>
    <w:next w:val="1"/>
    <w:autoRedefine/>
    <w:qFormat/>
    <w:uiPriority w:val="0"/>
    <w:pPr>
      <w:adjustRightInd w:val="0"/>
      <w:snapToGrid w:val="0"/>
      <w:spacing w:line="360" w:lineRule="auto"/>
      <w:jc w:val="center"/>
    </w:pPr>
    <w:rPr>
      <w:rFonts w:eastAsia="黑体"/>
      <w:kern w:val="0"/>
      <w:sz w:val="24"/>
      <w:szCs w:val="20"/>
    </w:rPr>
  </w:style>
  <w:style w:type="paragraph" w:customStyle="1" w:styleId="128">
    <w:name w:val="TOC 标题2"/>
    <w:basedOn w:val="4"/>
    <w:next w:val="1"/>
    <w:autoRedefine/>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129">
    <w:name w:val="标准"/>
    <w:basedOn w:val="1"/>
    <w:autoRedefine/>
    <w:qFormat/>
    <w:uiPriority w:val="0"/>
    <w:pPr>
      <w:adjustRightInd w:val="0"/>
      <w:spacing w:line="312" w:lineRule="atLeast"/>
      <w:jc w:val="center"/>
      <w:textAlignment w:val="baseline"/>
    </w:pPr>
    <w:rPr>
      <w:kern w:val="0"/>
      <w:szCs w:val="20"/>
    </w:rPr>
  </w:style>
  <w:style w:type="paragraph" w:customStyle="1" w:styleId="130">
    <w:name w:val="样式 样式 小四 段前: 7.8 磅 段后: 7.8 磅 行距: 1.5 倍行距 + 首行缩进:  2 字符"/>
    <w:basedOn w:val="1"/>
    <w:autoRedefine/>
    <w:qFormat/>
    <w:uiPriority w:val="0"/>
    <w:pPr>
      <w:ind w:firstLine="388" w:firstLineChars="200"/>
    </w:pPr>
    <w:rPr>
      <w:rFonts w:hAnsi="宋体"/>
      <w:spacing w:val="-8"/>
      <w:szCs w:val="21"/>
    </w:rPr>
  </w:style>
  <w:style w:type="paragraph" w:customStyle="1" w:styleId="131">
    <w:name w:val="0"/>
    <w:basedOn w:val="1"/>
    <w:autoRedefine/>
    <w:qFormat/>
    <w:uiPriority w:val="0"/>
    <w:pPr>
      <w:widowControl/>
      <w:jc w:val="left"/>
    </w:pPr>
    <w:rPr>
      <w:kern w:val="0"/>
      <w:szCs w:val="21"/>
    </w:rPr>
  </w:style>
  <w:style w:type="table" w:customStyle="1" w:styleId="132">
    <w:name w:val="标准表格"/>
    <w:basedOn w:val="36"/>
    <w:autoRedefine/>
    <w:qFormat/>
    <w:uiPriority w:val="99"/>
    <w:pPr>
      <w:spacing w:before="74"/>
      <w:jc w:val="center"/>
    </w:pPr>
    <w:rPr>
      <w:sz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FFFFFF"/>
      <w:vAlign w:val="center"/>
    </w:tcPr>
    <w:tblStylePr w:type="firstRow">
      <w:pPr>
        <w:wordWrap/>
        <w:spacing w:line="240" w:lineRule="auto"/>
        <w:ind w:left="0" w:leftChars="0" w:right="0" w:rightChars="0" w:firstLine="0" w:firstLineChars="0"/>
        <w:jc w:val="center"/>
      </w:pPr>
      <w:rPr>
        <w:rFonts w:hint="eastAsia" w:ascii="PMingLiU" w:hAnsi="PMingLiU" w:eastAsia="PMingLiU"/>
        <w:sz w:val="18"/>
        <w:szCs w:val="18"/>
      </w:rPr>
    </w:tblStylePr>
    <w:tblStylePr w:type="firstCol">
      <w:pPr>
        <w:jc w:val="center"/>
      </w:pPr>
    </w:tblStylePr>
  </w:style>
  <w:style w:type="character" w:customStyle="1" w:styleId="133">
    <w:name w:val="样式 表中文字 + 小四 Char"/>
    <w:link w:val="103"/>
    <w:autoRedefine/>
    <w:qFormat/>
    <w:uiPriority w:val="0"/>
    <w:rPr>
      <w:rFonts w:ascii="宋体" w:hAnsi="宋体"/>
      <w:szCs w:val="21"/>
    </w:rPr>
  </w:style>
  <w:style w:type="paragraph" w:customStyle="1" w:styleId="134">
    <w:name w:val="a正文"/>
    <w:basedOn w:val="1"/>
    <w:autoRedefine/>
    <w:qFormat/>
    <w:uiPriority w:val="0"/>
    <w:pPr>
      <w:spacing w:line="360" w:lineRule="auto"/>
      <w:ind w:firstLine="200" w:firstLineChars="200"/>
    </w:pPr>
    <w:rPr>
      <w:sz w:val="28"/>
      <w:szCs w:val="28"/>
    </w:rPr>
  </w:style>
  <w:style w:type="paragraph" w:customStyle="1" w:styleId="135">
    <w:name w:val="标准正文"/>
    <w:basedOn w:val="1"/>
    <w:autoRedefine/>
    <w:qFormat/>
    <w:uiPriority w:val="0"/>
    <w:pPr>
      <w:spacing w:line="280" w:lineRule="exact"/>
      <w:ind w:firstLine="480" w:firstLineChars="200"/>
    </w:pPr>
    <w:rPr>
      <w:rFonts w:hAnsi="宋体"/>
      <w:bCs/>
    </w:rPr>
  </w:style>
  <w:style w:type="paragraph" w:customStyle="1" w:styleId="136">
    <w:name w:val="正文 New"/>
    <w:autoRedefine/>
    <w:qFormat/>
    <w:uiPriority w:val="0"/>
    <w:pPr>
      <w:widowControl w:val="0"/>
      <w:adjustRightInd w:val="0"/>
      <w:snapToGrid w:val="0"/>
      <w:spacing w:line="480" w:lineRule="atLeast"/>
      <w:jc w:val="both"/>
    </w:pPr>
    <w:rPr>
      <w:rFonts w:ascii="宋体" w:hAnsi="Times New Roman" w:eastAsia="宋体" w:cs="Times New Roman"/>
      <w:kern w:val="2"/>
      <w:sz w:val="28"/>
      <w:szCs w:val="28"/>
      <w:lang w:val="en-US" w:eastAsia="zh-CN" w:bidi="ar-SA"/>
    </w:rPr>
  </w:style>
  <w:style w:type="paragraph" w:customStyle="1" w:styleId="137">
    <w:name w:val="样式 小四 首行缩进:  0.85 厘米 行距: 1.5 倍行距"/>
    <w:basedOn w:val="1"/>
    <w:autoRedefine/>
    <w:qFormat/>
    <w:uiPriority w:val="0"/>
    <w:pPr>
      <w:spacing w:line="360" w:lineRule="auto"/>
      <w:ind w:firstLine="480"/>
    </w:pPr>
    <w:rPr>
      <w:rFonts w:cs="宋体"/>
      <w:sz w:val="24"/>
      <w:szCs w:val="20"/>
    </w:rPr>
  </w:style>
  <w:style w:type="character" w:customStyle="1" w:styleId="138">
    <w:name w:val="font11"/>
    <w:basedOn w:val="38"/>
    <w:autoRedefine/>
    <w:qFormat/>
    <w:uiPriority w:val="0"/>
    <w:rPr>
      <w:rFonts w:hint="default" w:ascii="Times New Roman" w:hAnsi="Times New Roman" w:cs="Times New Roman"/>
      <w:color w:val="0000FF"/>
      <w:sz w:val="20"/>
      <w:szCs w:val="20"/>
      <w:u w:val="none"/>
    </w:rPr>
  </w:style>
  <w:style w:type="paragraph" w:customStyle="1" w:styleId="139">
    <w:name w:val="表内格式"/>
    <w:basedOn w:val="1"/>
    <w:autoRedefine/>
    <w:semiHidden/>
    <w:qFormat/>
    <w:uiPriority w:val="0"/>
    <w:pPr>
      <w:spacing w:line="280" w:lineRule="exact"/>
      <w:jc w:val="center"/>
    </w:pPr>
    <w:rPr>
      <w:rFonts w:ascii="宋体"/>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wmf"/><Relationship Id="rId27" Type="http://schemas.openxmlformats.org/officeDocument/2006/relationships/oleObject" Target="embeddings/oleObject9.bin"/><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oleObject" Target="embeddings/oleObject6.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49</Pages>
  <Words>15945</Words>
  <Characters>17538</Characters>
  <Lines>208</Lines>
  <Paragraphs>58</Paragraphs>
  <TotalTime>2</TotalTime>
  <ScaleCrop>false</ScaleCrop>
  <LinksUpToDate>false</LinksUpToDate>
  <CharactersWithSpaces>17697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2021-06-07T14:53:00Z</dcterms:created>
  <dc:creator>尚云环境</dc:creator>
  <cp:lastModifiedBy>酥训久瞪赌</cp:lastModifiedBy>
  <cp:lastPrinted>2020-12-29T10:43:00Z</cp:lastPrinted>
  <dcterms:modified xsi:type="dcterms:W3CDTF">2025-01-24T07:11:13Z</dcterms:modified>
  <dc:title>建设项目环境影响报告表（污染影响类）</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BA558501002F4E1FB31FA31376026A61_13</vt:lpwstr>
  </property>
  <property fmtid="{D5CDD505-2E9C-101B-9397-08002B2CF9AE}" pid="4" name="KSOTemplateDocerSaveRecord">
    <vt:lpwstr>eyJoZGlkIjoiNGMwYzEwOWI2Yjc4NDVkNjk2YzU5M2Q5NzRhZTcxNWEiLCJ1c2VySWQiOiIxNjA1MzUwMTgyIn0=</vt:lpwstr>
  </property>
</Properties>
</file>