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2650D">
      <w:pPr>
        <w:widowControl w:val="0"/>
        <w:rPr>
          <w:rFonts w:hint="default" w:ascii="Times New Roman" w:hAnsi="Times New Roman" w:eastAsia="方正黑体_GBK" w:cs="Times New Roman"/>
          <w:bCs/>
          <w:sz w:val="32"/>
          <w:szCs w:val="32"/>
          <w:lang w:eastAsia="zh-CN"/>
        </w:rPr>
      </w:pPr>
      <w:r>
        <w:rPr>
          <w:rFonts w:hint="default" w:ascii="Times New Roman" w:hAnsi="Times New Roman" w:eastAsia="方正黑体_GBK" w:cs="Times New Roman"/>
          <w:bCs/>
          <w:sz w:val="32"/>
          <w:szCs w:val="32"/>
          <w:lang w:eastAsia="zh-CN"/>
        </w:rPr>
        <w:t>附件2</w:t>
      </w:r>
      <w:r>
        <w:rPr>
          <w:rFonts w:hint="eastAsia" w:ascii="Times New Roman" w:hAnsi="Times New Roman" w:eastAsia="方正黑体_GBK" w:cs="Times New Roman"/>
          <w:bCs/>
          <w:sz w:val="32"/>
          <w:szCs w:val="32"/>
          <w:lang w:eastAsia="zh-CN"/>
        </w:rPr>
        <w:t>：</w:t>
      </w:r>
    </w:p>
    <w:p w14:paraId="69043745">
      <w:pPr>
        <w:widowControl w:val="0"/>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消防安全重点单位申报表</w:t>
      </w:r>
    </w:p>
    <w:tbl>
      <w:tblPr>
        <w:tblStyle w:val="5"/>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1582"/>
        <w:gridCol w:w="987"/>
        <w:gridCol w:w="1211"/>
        <w:gridCol w:w="1185"/>
        <w:gridCol w:w="1560"/>
        <w:gridCol w:w="1305"/>
        <w:gridCol w:w="2127"/>
      </w:tblGrid>
      <w:tr w14:paraId="7F5C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56" w:type="dxa"/>
            <w:gridSpan w:val="2"/>
            <w:tcBorders>
              <w:top w:val="single" w:color="auto" w:sz="12" w:space="0"/>
              <w:left w:val="single" w:color="auto" w:sz="12" w:space="0"/>
            </w:tcBorders>
            <w:vAlign w:val="center"/>
          </w:tcPr>
          <w:p w14:paraId="61C945AE">
            <w:pPr>
              <w:widowControl w:val="0"/>
              <w:kinsoku/>
              <w:jc w:val="center"/>
              <w:rPr>
                <w:rFonts w:ascii="Times New Roman" w:hAnsi="Times New Roman" w:eastAsia="黑体" w:cs="Times New Roman"/>
                <w:sz w:val="24"/>
              </w:rPr>
            </w:pPr>
            <w:r>
              <w:rPr>
                <w:rFonts w:ascii="Times New Roman" w:hAnsi="Times New Roman" w:eastAsia="黑体" w:cs="Times New Roman"/>
                <w:sz w:val="24"/>
              </w:rPr>
              <w:t>单位名称</w:t>
            </w:r>
          </w:p>
        </w:tc>
        <w:tc>
          <w:tcPr>
            <w:tcW w:w="8375" w:type="dxa"/>
            <w:gridSpan w:val="6"/>
            <w:tcBorders>
              <w:top w:val="single" w:color="auto" w:sz="12" w:space="0"/>
              <w:right w:val="single" w:color="auto" w:sz="12" w:space="0"/>
            </w:tcBorders>
            <w:vAlign w:val="center"/>
          </w:tcPr>
          <w:p w14:paraId="682C1CE2">
            <w:pPr>
              <w:widowControl w:val="0"/>
              <w:kinsoku/>
              <w:rPr>
                <w:rFonts w:ascii="Times New Roman" w:hAnsi="Times New Roman" w:eastAsia="楷体" w:cs="Times New Roman"/>
                <w:sz w:val="24"/>
              </w:rPr>
            </w:pPr>
          </w:p>
        </w:tc>
      </w:tr>
      <w:tr w14:paraId="7AF7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56" w:type="dxa"/>
            <w:gridSpan w:val="2"/>
            <w:tcBorders>
              <w:left w:val="single" w:color="auto" w:sz="12" w:space="0"/>
            </w:tcBorders>
            <w:vAlign w:val="center"/>
          </w:tcPr>
          <w:p w14:paraId="2BAB1ECA">
            <w:pPr>
              <w:widowControl w:val="0"/>
              <w:kinsoku/>
              <w:jc w:val="center"/>
              <w:rPr>
                <w:rFonts w:ascii="Times New Roman" w:hAnsi="Times New Roman" w:eastAsia="黑体" w:cs="Times New Roman"/>
                <w:sz w:val="24"/>
              </w:rPr>
            </w:pPr>
            <w:r>
              <w:rPr>
                <w:rFonts w:ascii="Times New Roman" w:hAnsi="Times New Roman" w:eastAsia="黑体" w:cs="Times New Roman"/>
                <w:sz w:val="24"/>
              </w:rPr>
              <w:t>单位地址</w:t>
            </w:r>
          </w:p>
        </w:tc>
        <w:tc>
          <w:tcPr>
            <w:tcW w:w="4943" w:type="dxa"/>
            <w:gridSpan w:val="4"/>
            <w:vAlign w:val="center"/>
          </w:tcPr>
          <w:p w14:paraId="5EC8F556">
            <w:pPr>
              <w:widowControl w:val="0"/>
              <w:kinsoku/>
              <w:rPr>
                <w:rFonts w:ascii="Times New Roman" w:hAnsi="Times New Roman" w:eastAsia="楷体" w:cs="Times New Roman"/>
                <w:sz w:val="24"/>
                <w:lang w:eastAsia="zh-CN"/>
              </w:rPr>
            </w:pPr>
          </w:p>
        </w:tc>
        <w:tc>
          <w:tcPr>
            <w:tcW w:w="1305" w:type="dxa"/>
            <w:vAlign w:val="center"/>
          </w:tcPr>
          <w:p w14:paraId="5E78C8CB">
            <w:pPr>
              <w:widowControl w:val="0"/>
              <w:kinsoku/>
              <w:jc w:val="center"/>
              <w:rPr>
                <w:rFonts w:ascii="Times New Roman" w:hAnsi="Times New Roman" w:eastAsia="黑体" w:cs="Times New Roman"/>
                <w:sz w:val="24"/>
              </w:rPr>
            </w:pPr>
            <w:r>
              <w:rPr>
                <w:rFonts w:ascii="Times New Roman" w:hAnsi="Times New Roman" w:eastAsia="黑体" w:cs="Times New Roman"/>
                <w:sz w:val="24"/>
              </w:rPr>
              <w:t>上级归口管理部门</w:t>
            </w:r>
          </w:p>
        </w:tc>
        <w:tc>
          <w:tcPr>
            <w:tcW w:w="2127" w:type="dxa"/>
            <w:tcBorders>
              <w:right w:val="single" w:color="auto" w:sz="12" w:space="0"/>
            </w:tcBorders>
            <w:vAlign w:val="center"/>
          </w:tcPr>
          <w:p w14:paraId="5ABC0ACE">
            <w:pPr>
              <w:widowControl w:val="0"/>
              <w:kinsoku/>
              <w:rPr>
                <w:rFonts w:ascii="Times New Roman" w:hAnsi="Times New Roman" w:eastAsia="楷体" w:cs="Times New Roman"/>
                <w:sz w:val="24"/>
              </w:rPr>
            </w:pPr>
          </w:p>
        </w:tc>
      </w:tr>
      <w:tr w14:paraId="399F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56" w:type="dxa"/>
            <w:gridSpan w:val="2"/>
            <w:tcBorders>
              <w:left w:val="single" w:color="auto" w:sz="12" w:space="0"/>
            </w:tcBorders>
            <w:shd w:val="clear" w:color="auto" w:fill="auto"/>
            <w:vAlign w:val="center"/>
          </w:tcPr>
          <w:p w14:paraId="6441E1FC">
            <w:pPr>
              <w:pStyle w:val="7"/>
              <w:widowControl w:val="0"/>
              <w:kinsoku/>
              <w:spacing w:line="240" w:lineRule="exact"/>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统一社会</w:t>
            </w:r>
          </w:p>
          <w:p w14:paraId="01F92703">
            <w:pPr>
              <w:pStyle w:val="7"/>
              <w:widowControl w:val="0"/>
              <w:kinsoku/>
              <w:spacing w:line="240" w:lineRule="exact"/>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信用代码</w:t>
            </w:r>
          </w:p>
        </w:tc>
        <w:tc>
          <w:tcPr>
            <w:tcW w:w="4943" w:type="dxa"/>
            <w:gridSpan w:val="4"/>
            <w:shd w:val="clear" w:color="auto" w:fill="auto"/>
            <w:vAlign w:val="center"/>
          </w:tcPr>
          <w:p w14:paraId="4E5A3EAF">
            <w:pPr>
              <w:pStyle w:val="7"/>
              <w:widowControl w:val="0"/>
              <w:kinsoku/>
              <w:spacing w:line="240" w:lineRule="exact"/>
              <w:jc w:val="center"/>
              <w:rPr>
                <w:rFonts w:ascii="Times New Roman" w:hAnsi="Times New Roman" w:eastAsia="楷体" w:cs="Times New Roman"/>
                <w:sz w:val="24"/>
                <w:szCs w:val="21"/>
              </w:rPr>
            </w:pPr>
          </w:p>
        </w:tc>
        <w:tc>
          <w:tcPr>
            <w:tcW w:w="1305" w:type="dxa"/>
            <w:shd w:val="clear" w:color="auto" w:fill="auto"/>
            <w:vAlign w:val="center"/>
          </w:tcPr>
          <w:p w14:paraId="772399F0">
            <w:pPr>
              <w:pStyle w:val="7"/>
              <w:widowControl w:val="0"/>
              <w:kinsoku/>
              <w:spacing w:line="240" w:lineRule="exact"/>
              <w:jc w:val="center"/>
              <w:rPr>
                <w:rFonts w:ascii="Times New Roman" w:hAnsi="Times New Roman" w:eastAsia="黑体" w:cs="Times New Roman"/>
                <w:sz w:val="24"/>
                <w:szCs w:val="21"/>
                <w:lang w:eastAsia="zh-CN"/>
              </w:rPr>
            </w:pPr>
            <w:r>
              <w:rPr>
                <w:rFonts w:ascii="Times New Roman" w:hAnsi="Times New Roman" w:eastAsia="黑体" w:cs="Times New Roman"/>
                <w:sz w:val="24"/>
                <w:szCs w:val="21"/>
                <w:lang w:eastAsia="zh-CN"/>
              </w:rPr>
              <w:t>有无自动</w:t>
            </w:r>
          </w:p>
          <w:p w14:paraId="2BD57F47">
            <w:pPr>
              <w:pStyle w:val="7"/>
              <w:widowControl w:val="0"/>
              <w:kinsoku/>
              <w:spacing w:line="240" w:lineRule="exact"/>
              <w:jc w:val="center"/>
              <w:rPr>
                <w:rFonts w:ascii="Times New Roman" w:hAnsi="Times New Roman" w:eastAsia="黑体" w:cs="Times New Roman"/>
                <w:sz w:val="24"/>
                <w:szCs w:val="21"/>
              </w:rPr>
            </w:pPr>
            <w:r>
              <w:rPr>
                <w:rFonts w:ascii="Times New Roman" w:hAnsi="Times New Roman" w:eastAsia="黑体" w:cs="Times New Roman"/>
                <w:sz w:val="24"/>
                <w:szCs w:val="21"/>
                <w:lang w:eastAsia="zh-CN"/>
              </w:rPr>
              <w:t>消防设施</w:t>
            </w:r>
          </w:p>
        </w:tc>
        <w:tc>
          <w:tcPr>
            <w:tcW w:w="2127" w:type="dxa"/>
            <w:tcBorders>
              <w:right w:val="single" w:color="auto" w:sz="12" w:space="0"/>
            </w:tcBorders>
            <w:shd w:val="clear" w:color="auto" w:fill="auto"/>
            <w:vAlign w:val="center"/>
          </w:tcPr>
          <w:p w14:paraId="3880A0A2">
            <w:pPr>
              <w:pStyle w:val="7"/>
              <w:widowControl w:val="0"/>
              <w:kinsoku/>
              <w:spacing w:line="240" w:lineRule="exact"/>
              <w:jc w:val="center"/>
              <w:rPr>
                <w:rFonts w:ascii="Times New Roman" w:hAnsi="Times New Roman" w:eastAsia="楷体" w:cs="Times New Roman"/>
                <w:sz w:val="24"/>
                <w:szCs w:val="21"/>
              </w:rPr>
            </w:pPr>
            <w:r>
              <w:rPr>
                <w:rFonts w:ascii="Times New Roman" w:hAnsi="Times New Roman" w:eastAsia="楷体" w:cs="Times New Roman"/>
                <w:sz w:val="24"/>
                <w:szCs w:val="21"/>
                <w:lang w:eastAsia="zh-CN"/>
              </w:rPr>
              <w:t>□有  □无</w:t>
            </w:r>
          </w:p>
        </w:tc>
      </w:tr>
      <w:tr w14:paraId="79F0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56" w:type="dxa"/>
            <w:gridSpan w:val="2"/>
            <w:tcBorders>
              <w:left w:val="single" w:color="auto" w:sz="12" w:space="0"/>
            </w:tcBorders>
            <w:shd w:val="clear" w:color="auto" w:fill="auto"/>
            <w:vAlign w:val="center"/>
          </w:tcPr>
          <w:p w14:paraId="2C484612">
            <w:pPr>
              <w:pStyle w:val="7"/>
              <w:widowControl w:val="0"/>
              <w:kinsoku/>
              <w:spacing w:line="240" w:lineRule="exact"/>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建筑面积</w:t>
            </w:r>
          </w:p>
          <w:p w14:paraId="6BB4EEC3">
            <w:pPr>
              <w:pStyle w:val="7"/>
              <w:widowControl w:val="0"/>
              <w:kinsoku/>
              <w:spacing w:line="240" w:lineRule="exact"/>
              <w:jc w:val="center"/>
              <w:rPr>
                <w:rFonts w:ascii="Times New Roman" w:hAnsi="Times New Roman" w:eastAsia="黑体" w:cs="Times New Roman"/>
                <w:sz w:val="24"/>
                <w:szCs w:val="21"/>
              </w:rPr>
            </w:pPr>
            <w:r>
              <w:rPr>
                <w:rFonts w:ascii="Times New Roman" w:hAnsi="Times New Roman" w:eastAsia="黑体" w:cs="Times New Roman"/>
                <w:sz w:val="24"/>
                <w:lang w:eastAsia="zh-CN"/>
              </w:rPr>
              <w:t>（㎡）</w:t>
            </w:r>
          </w:p>
        </w:tc>
        <w:tc>
          <w:tcPr>
            <w:tcW w:w="2198" w:type="dxa"/>
            <w:gridSpan w:val="2"/>
            <w:shd w:val="clear" w:color="auto" w:fill="auto"/>
            <w:vAlign w:val="center"/>
          </w:tcPr>
          <w:p w14:paraId="1738A0F5">
            <w:pPr>
              <w:pStyle w:val="7"/>
              <w:widowControl w:val="0"/>
              <w:kinsoku/>
              <w:spacing w:line="240" w:lineRule="exact"/>
              <w:jc w:val="center"/>
              <w:rPr>
                <w:rFonts w:ascii="Times New Roman" w:hAnsi="Times New Roman" w:eastAsia="楷体" w:cs="Times New Roman"/>
                <w:sz w:val="24"/>
                <w:szCs w:val="21"/>
              </w:rPr>
            </w:pPr>
          </w:p>
        </w:tc>
        <w:tc>
          <w:tcPr>
            <w:tcW w:w="1185" w:type="dxa"/>
            <w:vAlign w:val="center"/>
          </w:tcPr>
          <w:p w14:paraId="7283A30E">
            <w:pPr>
              <w:pStyle w:val="7"/>
              <w:widowControl w:val="0"/>
              <w:kinsoku/>
              <w:spacing w:line="240" w:lineRule="exact"/>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占地面积（㎡）</w:t>
            </w:r>
          </w:p>
        </w:tc>
        <w:tc>
          <w:tcPr>
            <w:tcW w:w="1560" w:type="dxa"/>
            <w:vAlign w:val="center"/>
          </w:tcPr>
          <w:p w14:paraId="3F1337F0">
            <w:pPr>
              <w:widowControl w:val="0"/>
              <w:kinsoku/>
              <w:jc w:val="center"/>
              <w:rPr>
                <w:rFonts w:ascii="Times New Roman" w:hAnsi="Times New Roman" w:eastAsia="楷体" w:cs="Times New Roman"/>
                <w:sz w:val="24"/>
              </w:rPr>
            </w:pPr>
          </w:p>
        </w:tc>
        <w:tc>
          <w:tcPr>
            <w:tcW w:w="1305" w:type="dxa"/>
            <w:vAlign w:val="center"/>
          </w:tcPr>
          <w:p w14:paraId="5F55C2BC">
            <w:pPr>
              <w:widowControl w:val="0"/>
              <w:kinsoku/>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建筑高度</w:t>
            </w:r>
          </w:p>
        </w:tc>
        <w:tc>
          <w:tcPr>
            <w:tcW w:w="2127" w:type="dxa"/>
            <w:tcBorders>
              <w:right w:val="single" w:color="auto" w:sz="12" w:space="0"/>
            </w:tcBorders>
            <w:vAlign w:val="center"/>
          </w:tcPr>
          <w:p w14:paraId="781C8A40">
            <w:pPr>
              <w:widowControl w:val="0"/>
              <w:kinsoku/>
              <w:rPr>
                <w:rFonts w:ascii="Times New Roman" w:hAnsi="Times New Roman" w:eastAsia="楷体" w:cs="Times New Roman"/>
                <w:sz w:val="24"/>
              </w:rPr>
            </w:pPr>
          </w:p>
        </w:tc>
      </w:tr>
      <w:tr w14:paraId="593D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56" w:type="dxa"/>
            <w:gridSpan w:val="2"/>
            <w:tcBorders>
              <w:left w:val="single" w:color="auto" w:sz="12" w:space="0"/>
            </w:tcBorders>
            <w:vAlign w:val="center"/>
          </w:tcPr>
          <w:p w14:paraId="70F13F9A">
            <w:pPr>
              <w:widowControl w:val="0"/>
              <w:kinsoku/>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消防安全责任人</w:t>
            </w:r>
          </w:p>
        </w:tc>
        <w:tc>
          <w:tcPr>
            <w:tcW w:w="2198" w:type="dxa"/>
            <w:gridSpan w:val="2"/>
            <w:vAlign w:val="center"/>
          </w:tcPr>
          <w:p w14:paraId="7221DCD8">
            <w:pPr>
              <w:widowControl w:val="0"/>
              <w:kinsoku/>
              <w:jc w:val="center"/>
              <w:rPr>
                <w:rFonts w:ascii="Times New Roman" w:hAnsi="Times New Roman" w:eastAsia="楷体" w:cs="Times New Roman"/>
                <w:sz w:val="24"/>
                <w:lang w:eastAsia="zh-CN"/>
              </w:rPr>
            </w:pPr>
          </w:p>
        </w:tc>
        <w:tc>
          <w:tcPr>
            <w:tcW w:w="1185" w:type="dxa"/>
            <w:vAlign w:val="center"/>
          </w:tcPr>
          <w:p w14:paraId="18224BDF">
            <w:pPr>
              <w:widowControl w:val="0"/>
              <w:kinsoku/>
              <w:jc w:val="center"/>
              <w:rPr>
                <w:rFonts w:ascii="Times New Roman" w:hAnsi="Times New Roman" w:eastAsia="黑体" w:cs="Times New Roman"/>
                <w:sz w:val="24"/>
              </w:rPr>
            </w:pPr>
            <w:r>
              <w:rPr>
                <w:rFonts w:ascii="Times New Roman" w:hAnsi="Times New Roman" w:eastAsia="黑体" w:cs="Times New Roman"/>
                <w:sz w:val="24"/>
              </w:rPr>
              <w:t>职</w:t>
            </w:r>
            <w:r>
              <w:rPr>
                <w:rFonts w:ascii="Times New Roman" w:hAnsi="Times New Roman" w:eastAsia="黑体" w:cs="Times New Roman"/>
                <w:sz w:val="24"/>
                <w:lang w:eastAsia="zh-CN"/>
              </w:rPr>
              <w:t xml:space="preserve"> </w:t>
            </w:r>
            <w:r>
              <w:rPr>
                <w:rFonts w:ascii="Times New Roman" w:hAnsi="Times New Roman" w:eastAsia="黑体" w:cs="Times New Roman"/>
                <w:sz w:val="24"/>
              </w:rPr>
              <w:t>务</w:t>
            </w:r>
          </w:p>
        </w:tc>
        <w:tc>
          <w:tcPr>
            <w:tcW w:w="1560" w:type="dxa"/>
            <w:vAlign w:val="center"/>
          </w:tcPr>
          <w:p w14:paraId="76C57829">
            <w:pPr>
              <w:widowControl w:val="0"/>
              <w:kinsoku/>
              <w:jc w:val="center"/>
              <w:rPr>
                <w:rFonts w:ascii="Times New Roman" w:hAnsi="Times New Roman" w:eastAsia="楷体" w:cs="Times New Roman"/>
                <w:sz w:val="24"/>
              </w:rPr>
            </w:pPr>
          </w:p>
        </w:tc>
        <w:tc>
          <w:tcPr>
            <w:tcW w:w="1305" w:type="dxa"/>
            <w:vAlign w:val="center"/>
          </w:tcPr>
          <w:p w14:paraId="109FA80C">
            <w:pPr>
              <w:widowControl w:val="0"/>
              <w:kinsoku/>
              <w:jc w:val="center"/>
              <w:rPr>
                <w:rFonts w:ascii="Times New Roman" w:hAnsi="Times New Roman" w:eastAsia="黑体" w:cs="Times New Roman"/>
                <w:sz w:val="24"/>
              </w:rPr>
            </w:pPr>
            <w:r>
              <w:rPr>
                <w:rFonts w:ascii="Times New Roman" w:hAnsi="Times New Roman" w:eastAsia="黑体" w:cs="Times New Roman"/>
                <w:sz w:val="24"/>
              </w:rPr>
              <w:t>联系电话</w:t>
            </w:r>
          </w:p>
        </w:tc>
        <w:tc>
          <w:tcPr>
            <w:tcW w:w="2127" w:type="dxa"/>
            <w:tcBorders>
              <w:right w:val="single" w:color="auto" w:sz="12" w:space="0"/>
            </w:tcBorders>
            <w:vAlign w:val="center"/>
          </w:tcPr>
          <w:p w14:paraId="57FE7E3E">
            <w:pPr>
              <w:widowControl w:val="0"/>
              <w:kinsoku/>
              <w:rPr>
                <w:rFonts w:ascii="Times New Roman" w:hAnsi="Times New Roman" w:eastAsia="楷体" w:cs="Times New Roman"/>
                <w:sz w:val="24"/>
              </w:rPr>
            </w:pPr>
          </w:p>
        </w:tc>
      </w:tr>
      <w:tr w14:paraId="7CAD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56" w:type="dxa"/>
            <w:gridSpan w:val="2"/>
            <w:tcBorders>
              <w:left w:val="single" w:color="auto" w:sz="12" w:space="0"/>
            </w:tcBorders>
            <w:vAlign w:val="center"/>
          </w:tcPr>
          <w:p w14:paraId="3A6B3FE5">
            <w:pPr>
              <w:widowControl w:val="0"/>
              <w:kinsoku/>
              <w:jc w:val="center"/>
              <w:rPr>
                <w:rFonts w:ascii="Times New Roman" w:hAnsi="Times New Roman" w:eastAsia="黑体" w:cs="Times New Roman"/>
                <w:sz w:val="24"/>
              </w:rPr>
            </w:pPr>
            <w:r>
              <w:rPr>
                <w:rFonts w:ascii="Times New Roman" w:hAnsi="Times New Roman" w:eastAsia="黑体" w:cs="Times New Roman"/>
                <w:sz w:val="24"/>
              </w:rPr>
              <w:t>消防安全管理人</w:t>
            </w:r>
          </w:p>
        </w:tc>
        <w:tc>
          <w:tcPr>
            <w:tcW w:w="2198" w:type="dxa"/>
            <w:gridSpan w:val="2"/>
            <w:vAlign w:val="center"/>
          </w:tcPr>
          <w:p w14:paraId="3F7EF8D3">
            <w:pPr>
              <w:widowControl w:val="0"/>
              <w:kinsoku/>
              <w:jc w:val="center"/>
              <w:rPr>
                <w:rFonts w:ascii="Times New Roman" w:hAnsi="Times New Roman" w:eastAsia="楷体" w:cs="Times New Roman"/>
                <w:sz w:val="24"/>
              </w:rPr>
            </w:pPr>
          </w:p>
        </w:tc>
        <w:tc>
          <w:tcPr>
            <w:tcW w:w="1185" w:type="dxa"/>
            <w:vAlign w:val="center"/>
          </w:tcPr>
          <w:p w14:paraId="051C9F2E">
            <w:pPr>
              <w:widowControl w:val="0"/>
              <w:kinsoku/>
              <w:jc w:val="center"/>
              <w:rPr>
                <w:rFonts w:ascii="Times New Roman" w:hAnsi="Times New Roman" w:eastAsia="黑体" w:cs="Times New Roman"/>
                <w:sz w:val="24"/>
              </w:rPr>
            </w:pPr>
            <w:r>
              <w:rPr>
                <w:rFonts w:ascii="Times New Roman" w:hAnsi="Times New Roman" w:eastAsia="黑体" w:cs="Times New Roman"/>
                <w:sz w:val="24"/>
              </w:rPr>
              <w:t>职</w:t>
            </w:r>
            <w:r>
              <w:rPr>
                <w:rFonts w:ascii="Times New Roman" w:hAnsi="Times New Roman" w:eastAsia="黑体" w:cs="Times New Roman"/>
                <w:sz w:val="24"/>
                <w:lang w:eastAsia="zh-CN"/>
              </w:rPr>
              <w:t xml:space="preserve"> </w:t>
            </w:r>
            <w:r>
              <w:rPr>
                <w:rFonts w:ascii="Times New Roman" w:hAnsi="Times New Roman" w:eastAsia="黑体" w:cs="Times New Roman"/>
                <w:sz w:val="24"/>
              </w:rPr>
              <w:t>务</w:t>
            </w:r>
          </w:p>
        </w:tc>
        <w:tc>
          <w:tcPr>
            <w:tcW w:w="1560" w:type="dxa"/>
            <w:vAlign w:val="center"/>
          </w:tcPr>
          <w:p w14:paraId="36136A19">
            <w:pPr>
              <w:widowControl w:val="0"/>
              <w:kinsoku/>
              <w:jc w:val="center"/>
              <w:rPr>
                <w:rFonts w:ascii="Times New Roman" w:hAnsi="Times New Roman" w:eastAsia="楷体" w:cs="Times New Roman"/>
                <w:sz w:val="24"/>
              </w:rPr>
            </w:pPr>
          </w:p>
        </w:tc>
        <w:tc>
          <w:tcPr>
            <w:tcW w:w="1305" w:type="dxa"/>
            <w:vAlign w:val="center"/>
          </w:tcPr>
          <w:p w14:paraId="21DA1860">
            <w:pPr>
              <w:widowControl w:val="0"/>
              <w:kinsoku/>
              <w:jc w:val="center"/>
              <w:rPr>
                <w:rFonts w:ascii="Times New Roman" w:hAnsi="Times New Roman" w:eastAsia="黑体" w:cs="Times New Roman"/>
                <w:sz w:val="24"/>
              </w:rPr>
            </w:pPr>
            <w:r>
              <w:rPr>
                <w:rFonts w:ascii="Times New Roman" w:hAnsi="Times New Roman" w:eastAsia="黑体" w:cs="Times New Roman"/>
                <w:sz w:val="24"/>
              </w:rPr>
              <w:t>联系电话</w:t>
            </w:r>
          </w:p>
        </w:tc>
        <w:tc>
          <w:tcPr>
            <w:tcW w:w="2127" w:type="dxa"/>
            <w:tcBorders>
              <w:right w:val="single" w:color="auto" w:sz="12" w:space="0"/>
            </w:tcBorders>
            <w:vAlign w:val="center"/>
          </w:tcPr>
          <w:p w14:paraId="46E5E5CE">
            <w:pPr>
              <w:widowControl w:val="0"/>
              <w:kinsoku/>
              <w:rPr>
                <w:rFonts w:ascii="Times New Roman" w:hAnsi="Times New Roman" w:eastAsia="楷体" w:cs="Times New Roman"/>
                <w:sz w:val="24"/>
              </w:rPr>
            </w:pPr>
          </w:p>
        </w:tc>
      </w:tr>
      <w:tr w14:paraId="569F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56" w:type="dxa"/>
            <w:gridSpan w:val="2"/>
            <w:tcBorders>
              <w:left w:val="single" w:color="auto" w:sz="12" w:space="0"/>
            </w:tcBorders>
            <w:vAlign w:val="center"/>
          </w:tcPr>
          <w:p w14:paraId="34D97B51">
            <w:pPr>
              <w:widowControl w:val="0"/>
              <w:kinsoku/>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联系人</w:t>
            </w:r>
          </w:p>
        </w:tc>
        <w:tc>
          <w:tcPr>
            <w:tcW w:w="2198" w:type="dxa"/>
            <w:gridSpan w:val="2"/>
            <w:vAlign w:val="center"/>
          </w:tcPr>
          <w:p w14:paraId="165CA2FA">
            <w:pPr>
              <w:widowControl w:val="0"/>
              <w:kinsoku/>
              <w:jc w:val="center"/>
              <w:rPr>
                <w:rFonts w:ascii="Times New Roman" w:hAnsi="Times New Roman" w:eastAsia="楷体" w:cs="Times New Roman"/>
                <w:sz w:val="24"/>
                <w:lang w:eastAsia="zh-CN"/>
              </w:rPr>
            </w:pPr>
          </w:p>
        </w:tc>
        <w:tc>
          <w:tcPr>
            <w:tcW w:w="1185" w:type="dxa"/>
            <w:vAlign w:val="center"/>
          </w:tcPr>
          <w:p w14:paraId="7AE50E68">
            <w:pPr>
              <w:widowControl w:val="0"/>
              <w:kinsoku/>
              <w:jc w:val="center"/>
              <w:rPr>
                <w:rFonts w:ascii="Times New Roman" w:hAnsi="Times New Roman" w:eastAsia="黑体" w:cs="Times New Roman"/>
                <w:sz w:val="24"/>
              </w:rPr>
            </w:pPr>
            <w:r>
              <w:rPr>
                <w:rFonts w:ascii="Times New Roman" w:hAnsi="Times New Roman" w:eastAsia="黑体" w:cs="Times New Roman"/>
                <w:sz w:val="24"/>
                <w:lang w:eastAsia="zh-CN"/>
              </w:rPr>
              <w:t>职 务</w:t>
            </w:r>
          </w:p>
        </w:tc>
        <w:tc>
          <w:tcPr>
            <w:tcW w:w="1560" w:type="dxa"/>
            <w:vAlign w:val="center"/>
          </w:tcPr>
          <w:p w14:paraId="4066B7D3">
            <w:pPr>
              <w:widowControl w:val="0"/>
              <w:kinsoku/>
              <w:jc w:val="center"/>
              <w:rPr>
                <w:rFonts w:ascii="Times New Roman" w:hAnsi="Times New Roman" w:eastAsia="楷体" w:cs="Times New Roman"/>
                <w:sz w:val="24"/>
              </w:rPr>
            </w:pPr>
          </w:p>
        </w:tc>
        <w:tc>
          <w:tcPr>
            <w:tcW w:w="1305" w:type="dxa"/>
            <w:vAlign w:val="center"/>
          </w:tcPr>
          <w:p w14:paraId="3FA6DFDC">
            <w:pPr>
              <w:widowControl w:val="0"/>
              <w:kinsoku/>
              <w:jc w:val="center"/>
              <w:rPr>
                <w:rFonts w:ascii="Times New Roman" w:hAnsi="Times New Roman" w:eastAsia="黑体" w:cs="Times New Roman"/>
                <w:sz w:val="24"/>
              </w:rPr>
            </w:pPr>
            <w:r>
              <w:rPr>
                <w:rFonts w:ascii="Times New Roman" w:hAnsi="Times New Roman" w:eastAsia="黑体" w:cs="Times New Roman"/>
                <w:sz w:val="24"/>
              </w:rPr>
              <w:t>联系电话</w:t>
            </w:r>
          </w:p>
        </w:tc>
        <w:tc>
          <w:tcPr>
            <w:tcW w:w="2127" w:type="dxa"/>
            <w:tcBorders>
              <w:right w:val="single" w:color="auto" w:sz="12" w:space="0"/>
            </w:tcBorders>
            <w:vAlign w:val="center"/>
          </w:tcPr>
          <w:p w14:paraId="7FE6DC53">
            <w:pPr>
              <w:widowControl w:val="0"/>
              <w:kinsoku/>
              <w:rPr>
                <w:rFonts w:ascii="Times New Roman" w:hAnsi="Times New Roman" w:eastAsia="楷体" w:cs="Times New Roman"/>
                <w:sz w:val="24"/>
              </w:rPr>
            </w:pPr>
          </w:p>
        </w:tc>
      </w:tr>
      <w:tr w14:paraId="79BF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431" w:type="dxa"/>
            <w:gridSpan w:val="8"/>
            <w:tcBorders>
              <w:left w:val="single" w:color="auto" w:sz="12" w:space="0"/>
              <w:right w:val="single" w:color="auto" w:sz="12" w:space="0"/>
            </w:tcBorders>
            <w:shd w:val="clear" w:color="auto" w:fill="auto"/>
            <w:vAlign w:val="center"/>
          </w:tcPr>
          <w:p w14:paraId="3B6A5803">
            <w:pPr>
              <w:widowControl w:val="0"/>
              <w:kinsoku/>
              <w:jc w:val="center"/>
              <w:rPr>
                <w:rFonts w:ascii="Times New Roman" w:hAnsi="Times New Roman" w:eastAsia="楷体" w:cs="Times New Roman"/>
                <w:sz w:val="24"/>
                <w:lang w:eastAsia="zh-CN"/>
              </w:rPr>
            </w:pPr>
            <w:r>
              <w:rPr>
                <w:rFonts w:ascii="Times New Roman" w:hAnsi="Times New Roman" w:eastAsia="楷体" w:cs="Times New Roman"/>
                <w:b/>
                <w:bCs/>
                <w:sz w:val="32"/>
                <w:szCs w:val="24"/>
                <w:lang w:eastAsia="zh-CN"/>
              </w:rPr>
              <w:t>单位使用性质详情（勾选）</w:t>
            </w:r>
          </w:p>
        </w:tc>
      </w:tr>
      <w:tr w14:paraId="395E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74" w:type="dxa"/>
            <w:vMerge w:val="restart"/>
            <w:tcBorders>
              <w:left w:val="single" w:color="auto" w:sz="12" w:space="0"/>
            </w:tcBorders>
            <w:shd w:val="clear" w:color="auto" w:fill="auto"/>
            <w:vAlign w:val="center"/>
          </w:tcPr>
          <w:p w14:paraId="38FDD90F">
            <w:pPr>
              <w:widowControl w:val="0"/>
              <w:kinsoku/>
              <w:spacing w:line="240" w:lineRule="exact"/>
              <w:ind w:left="425" w:hanging="425"/>
              <w:jc w:val="center"/>
              <w:rPr>
                <w:rFonts w:ascii="Times New Roman" w:hAnsi="Times New Roman" w:cs="Times New Roman"/>
                <w:b/>
                <w:bCs/>
              </w:rPr>
            </w:pPr>
            <w:r>
              <w:rPr>
                <w:rFonts w:ascii="Times New Roman" w:hAnsi="Times New Roman" w:cs="Times New Roman"/>
                <w:b/>
                <w:bCs/>
              </w:rPr>
              <w:t>1</w:t>
            </w:r>
          </w:p>
        </w:tc>
        <w:tc>
          <w:tcPr>
            <w:tcW w:w="9957" w:type="dxa"/>
            <w:gridSpan w:val="7"/>
            <w:tcBorders>
              <w:right w:val="single" w:color="auto" w:sz="12" w:space="0"/>
            </w:tcBorders>
            <w:shd w:val="clear" w:color="auto" w:fill="auto"/>
            <w:vAlign w:val="center"/>
          </w:tcPr>
          <w:p w14:paraId="7D7CD75B">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商场（市场）、宾馆（饭店）、体育场（馆）、会堂、公共娱乐场所等公众聚集场所：</w:t>
            </w:r>
          </w:p>
        </w:tc>
      </w:tr>
      <w:tr w14:paraId="2720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474" w:type="dxa"/>
            <w:vMerge w:val="continue"/>
            <w:tcBorders>
              <w:left w:val="single" w:color="auto" w:sz="12" w:space="0"/>
            </w:tcBorders>
            <w:shd w:val="clear" w:color="auto" w:fill="auto"/>
            <w:vAlign w:val="center"/>
          </w:tcPr>
          <w:p w14:paraId="03E3B470">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518DD500">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□建筑面积在3000平方米（含本数，下同）以上或经营摊位100个以上的可燃商品的商场；</w:t>
            </w:r>
          </w:p>
          <w:p w14:paraId="49313033">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□占地面积超过5000平方米的室内集贸市场、固定摊位数超过200个的室内批发市场；</w:t>
            </w:r>
          </w:p>
          <w:p w14:paraId="7F12EE23">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□三星级（或者相当于三星级）及以上的宾（旅）馆或者总床位数超过100张（含本数，下同）普通的旅馆及产妇住宿床位在50张以上的孕婴服务场所；</w:t>
            </w:r>
          </w:p>
          <w:p w14:paraId="1446BE36">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□总建筑面积超过3000平方米地对公众开放的体育场馆、会堂、礼堂；</w:t>
            </w:r>
          </w:p>
          <w:p w14:paraId="78FBDD14">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□建筑面积超过2500平方米的影剧院、放映厅等演出、放映场所；</w:t>
            </w:r>
          </w:p>
          <w:p w14:paraId="715D42B2">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□建筑面积超过500平方米的歌舞厅、卡拉OK厅等歌舞娱乐场所，具有娱乐功能的会</w:t>
            </w:r>
            <w:r>
              <w:rPr>
                <w:rFonts w:hint="eastAsia" w:ascii="Times New Roman" w:hAnsi="Times New Roman" w:eastAsia="楷体" w:cs="Times New Roman"/>
                <w:lang w:val="en-US" w:eastAsia="zh-CN"/>
              </w:rPr>
              <w:t>所</w:t>
            </w:r>
            <w:r>
              <w:rPr>
                <w:rFonts w:ascii="Times New Roman" w:hAnsi="Times New Roman" w:eastAsia="楷体" w:cs="Times New Roman"/>
                <w:lang w:eastAsia="zh-CN"/>
              </w:rPr>
              <w:t>、音乐茶座和餐饮场所；</w:t>
            </w:r>
          </w:p>
          <w:p w14:paraId="21D49F60">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□建筑面积超过500平方米的网吧、游艺厅（含电子游艺厅）、棋牌室、</w:t>
            </w:r>
            <w:bookmarkStart w:id="0" w:name="_GoBack"/>
            <w:bookmarkEnd w:id="0"/>
            <w:r>
              <w:rPr>
                <w:rFonts w:ascii="Times New Roman" w:hAnsi="Times New Roman" w:eastAsia="楷体" w:cs="Times New Roman"/>
                <w:lang w:eastAsia="zh-CN"/>
              </w:rPr>
              <w:t>桌球房、酒吧和建筑面积超过1000平方米的保龄球馆、旱冰场、健身房、洗浴（含桑拿浴、足浴）、美容美发等游艺、游乐场所和营业性健身、美容、休闲场所；</w:t>
            </w:r>
          </w:p>
          <w:p w14:paraId="74F2F153">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□建筑面积超过500平方米的剧本杀、密室逃脱等“新兴娱乐”场所。</w:t>
            </w:r>
          </w:p>
        </w:tc>
      </w:tr>
      <w:tr w14:paraId="3DE5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74" w:type="dxa"/>
            <w:vMerge w:val="restart"/>
            <w:tcBorders>
              <w:left w:val="single" w:color="auto" w:sz="12" w:space="0"/>
            </w:tcBorders>
            <w:shd w:val="clear" w:color="auto" w:fill="auto"/>
            <w:vAlign w:val="center"/>
          </w:tcPr>
          <w:p w14:paraId="372303B3">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2</w:t>
            </w:r>
          </w:p>
        </w:tc>
        <w:tc>
          <w:tcPr>
            <w:tcW w:w="9957" w:type="dxa"/>
            <w:gridSpan w:val="7"/>
            <w:tcBorders>
              <w:right w:val="single" w:color="auto" w:sz="12" w:space="0"/>
            </w:tcBorders>
            <w:shd w:val="clear" w:color="auto" w:fill="auto"/>
            <w:vAlign w:val="center"/>
          </w:tcPr>
          <w:p w14:paraId="5551CAFC">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医院、养老院和寄宿制的学校、托儿所、幼儿园：</w:t>
            </w:r>
          </w:p>
        </w:tc>
      </w:tr>
      <w:tr w14:paraId="4974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74" w:type="dxa"/>
            <w:vMerge w:val="continue"/>
            <w:tcBorders>
              <w:left w:val="single" w:color="auto" w:sz="12" w:space="0"/>
            </w:tcBorders>
            <w:shd w:val="clear" w:color="auto" w:fill="auto"/>
            <w:vAlign w:val="center"/>
          </w:tcPr>
          <w:p w14:paraId="156587CB">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73174232">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□住院床位在100张以上的医院；</w:t>
            </w:r>
          </w:p>
          <w:p w14:paraId="5E5374F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□老人住宿床位在100张以上的养老院、敬老院等老年人照料设施及福利院等；</w:t>
            </w:r>
          </w:p>
          <w:p w14:paraId="42BC25CA">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□学生住宿床位在300张以上的寄宿制学校；</w:t>
            </w:r>
          </w:p>
          <w:p w14:paraId="47029757">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□幼儿人数在300人以上的托儿所、幼儿园或者幼儿住宿床位50张以上的托儿所、幼儿园（不含午托）。</w:t>
            </w:r>
          </w:p>
        </w:tc>
      </w:tr>
      <w:tr w14:paraId="12C2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74" w:type="dxa"/>
            <w:vMerge w:val="restart"/>
            <w:tcBorders>
              <w:left w:val="single" w:color="auto" w:sz="12" w:space="0"/>
            </w:tcBorders>
            <w:shd w:val="clear" w:color="auto" w:fill="auto"/>
            <w:vAlign w:val="center"/>
          </w:tcPr>
          <w:p w14:paraId="1EFA2A3E">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3</w:t>
            </w:r>
          </w:p>
        </w:tc>
        <w:tc>
          <w:tcPr>
            <w:tcW w:w="9957" w:type="dxa"/>
            <w:gridSpan w:val="7"/>
            <w:tcBorders>
              <w:right w:val="single" w:color="auto" w:sz="12" w:space="0"/>
            </w:tcBorders>
            <w:shd w:val="clear" w:color="auto" w:fill="auto"/>
            <w:vAlign w:val="center"/>
          </w:tcPr>
          <w:p w14:paraId="7E3357F9">
            <w:pPr>
              <w:widowControl w:val="0"/>
              <w:kinsoku/>
              <w:spacing w:line="240" w:lineRule="exact"/>
              <w:rPr>
                <w:rFonts w:ascii="Times New Roman" w:hAnsi="Times New Roman" w:eastAsia="楷体" w:cs="Times New Roman"/>
              </w:rPr>
            </w:pPr>
            <w:r>
              <w:rPr>
                <w:rFonts w:ascii="Times New Roman" w:hAnsi="Times New Roman" w:eastAsia="楷体" w:cs="Times New Roman"/>
                <w:b/>
                <w:bCs/>
              </w:rPr>
              <w:t>国家机关</w:t>
            </w:r>
            <w:r>
              <w:rPr>
                <w:rFonts w:ascii="Times New Roman" w:hAnsi="Times New Roman" w:eastAsia="楷体" w:cs="Times New Roman"/>
                <w:b/>
                <w:bCs/>
                <w:lang w:eastAsia="zh-CN"/>
              </w:rPr>
              <w:t>：</w:t>
            </w:r>
          </w:p>
        </w:tc>
      </w:tr>
      <w:tr w14:paraId="5C3A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74" w:type="dxa"/>
            <w:vMerge w:val="continue"/>
            <w:tcBorders>
              <w:left w:val="single" w:color="auto" w:sz="12" w:space="0"/>
            </w:tcBorders>
            <w:shd w:val="clear" w:color="auto" w:fill="auto"/>
            <w:vAlign w:val="center"/>
          </w:tcPr>
          <w:p w14:paraId="5A562A09">
            <w:pPr>
              <w:widowControl w:val="0"/>
              <w:kinsoku/>
              <w:spacing w:line="240" w:lineRule="exact"/>
              <w:ind w:left="425" w:hanging="425"/>
              <w:jc w:val="center"/>
              <w:rPr>
                <w:rFonts w:ascii="Times New Roman" w:hAnsi="Times New Roman" w:cs="Times New Roman"/>
                <w:b/>
                <w:bCs/>
              </w:rPr>
            </w:pPr>
          </w:p>
        </w:tc>
        <w:tc>
          <w:tcPr>
            <w:tcW w:w="9957" w:type="dxa"/>
            <w:gridSpan w:val="7"/>
            <w:tcBorders>
              <w:right w:val="single" w:color="auto" w:sz="12" w:space="0"/>
            </w:tcBorders>
            <w:shd w:val="clear" w:color="auto" w:fill="auto"/>
            <w:vAlign w:val="center"/>
          </w:tcPr>
          <w:p w14:paraId="6C85988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□县级以上的党委、人大、政府、政协机关；□县级以上的人民检察院、人民法院。</w:t>
            </w:r>
          </w:p>
        </w:tc>
      </w:tr>
      <w:tr w14:paraId="348E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474" w:type="dxa"/>
            <w:vMerge w:val="restart"/>
            <w:tcBorders>
              <w:left w:val="single" w:color="auto" w:sz="12" w:space="0"/>
            </w:tcBorders>
            <w:shd w:val="clear" w:color="auto" w:fill="auto"/>
            <w:vAlign w:val="center"/>
          </w:tcPr>
          <w:p w14:paraId="4A062869">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4</w:t>
            </w:r>
          </w:p>
        </w:tc>
        <w:tc>
          <w:tcPr>
            <w:tcW w:w="9957" w:type="dxa"/>
            <w:gridSpan w:val="7"/>
            <w:tcBorders>
              <w:right w:val="single" w:color="auto" w:sz="12" w:space="0"/>
            </w:tcBorders>
            <w:shd w:val="clear" w:color="auto" w:fill="auto"/>
            <w:vAlign w:val="center"/>
          </w:tcPr>
          <w:p w14:paraId="69491A9C">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广播、电视和邮政、通信枢纽：</w:t>
            </w:r>
          </w:p>
        </w:tc>
      </w:tr>
      <w:tr w14:paraId="3350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74" w:type="dxa"/>
            <w:vMerge w:val="continue"/>
            <w:tcBorders>
              <w:left w:val="single" w:color="auto" w:sz="12" w:space="0"/>
            </w:tcBorders>
            <w:shd w:val="clear" w:color="auto" w:fill="auto"/>
            <w:vAlign w:val="center"/>
          </w:tcPr>
          <w:p w14:paraId="640386A7">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76519865">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□县级以上城镇的邮政、通信枢纽单位、广播电视台。</w:t>
            </w:r>
          </w:p>
        </w:tc>
      </w:tr>
      <w:tr w14:paraId="11FB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dxa"/>
            <w:vMerge w:val="restart"/>
            <w:tcBorders>
              <w:left w:val="single" w:color="auto" w:sz="12" w:space="0"/>
            </w:tcBorders>
            <w:shd w:val="clear" w:color="auto" w:fill="auto"/>
            <w:vAlign w:val="center"/>
          </w:tcPr>
          <w:p w14:paraId="2B6004AA">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5</w:t>
            </w:r>
          </w:p>
        </w:tc>
        <w:tc>
          <w:tcPr>
            <w:tcW w:w="9957" w:type="dxa"/>
            <w:gridSpan w:val="7"/>
            <w:tcBorders>
              <w:right w:val="single" w:color="auto" w:sz="12" w:space="0"/>
            </w:tcBorders>
            <w:shd w:val="clear" w:color="auto" w:fill="auto"/>
            <w:vAlign w:val="center"/>
          </w:tcPr>
          <w:p w14:paraId="1D9FAEA6">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客运车站、民用机场：</w:t>
            </w:r>
          </w:p>
        </w:tc>
      </w:tr>
      <w:tr w14:paraId="76D5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474" w:type="dxa"/>
            <w:vMerge w:val="continue"/>
            <w:tcBorders>
              <w:left w:val="single" w:color="auto" w:sz="12" w:space="0"/>
            </w:tcBorders>
            <w:shd w:val="clear" w:color="auto" w:fill="auto"/>
            <w:vAlign w:val="center"/>
          </w:tcPr>
          <w:p w14:paraId="05337B6A">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117CABBC">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□建筑面积超过3000平方米的客运车站候车室；□民用机场航站楼。</w:t>
            </w:r>
          </w:p>
        </w:tc>
      </w:tr>
      <w:tr w14:paraId="1A4A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74" w:type="dxa"/>
            <w:vMerge w:val="restart"/>
            <w:tcBorders>
              <w:left w:val="single" w:color="auto" w:sz="12" w:space="0"/>
            </w:tcBorders>
            <w:shd w:val="clear" w:color="auto" w:fill="auto"/>
            <w:vAlign w:val="center"/>
          </w:tcPr>
          <w:p w14:paraId="6718E2C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6</w:t>
            </w:r>
          </w:p>
        </w:tc>
        <w:tc>
          <w:tcPr>
            <w:tcW w:w="9957" w:type="dxa"/>
            <w:gridSpan w:val="7"/>
            <w:tcBorders>
              <w:right w:val="single" w:color="auto" w:sz="12" w:space="0"/>
            </w:tcBorders>
            <w:shd w:val="clear" w:color="auto" w:fill="auto"/>
            <w:vAlign w:val="center"/>
          </w:tcPr>
          <w:p w14:paraId="40BFD490">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公共图书馆、展览馆、博物馆、档案馆以及具有火灾危险性的文物保护单位：</w:t>
            </w:r>
          </w:p>
        </w:tc>
      </w:tr>
      <w:tr w14:paraId="19F8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360FA812">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191570D1">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□建筑面积超过2000平方米的公共图书馆、展览馆；□公共博物馆、档案馆；</w:t>
            </w:r>
          </w:p>
          <w:p w14:paraId="6695C01D">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□具有火灾危险性的省级以上文物保护单位。</w:t>
            </w:r>
          </w:p>
        </w:tc>
      </w:tr>
      <w:tr w14:paraId="58C2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4" w:type="dxa"/>
            <w:vMerge w:val="restart"/>
            <w:tcBorders>
              <w:left w:val="single" w:color="auto" w:sz="12" w:space="0"/>
            </w:tcBorders>
            <w:shd w:val="clear" w:color="auto" w:fill="auto"/>
            <w:vAlign w:val="center"/>
          </w:tcPr>
          <w:p w14:paraId="5C7B2C1C">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7</w:t>
            </w:r>
          </w:p>
        </w:tc>
        <w:tc>
          <w:tcPr>
            <w:tcW w:w="9957" w:type="dxa"/>
            <w:gridSpan w:val="7"/>
            <w:tcBorders>
              <w:right w:val="single" w:color="auto" w:sz="12" w:space="0"/>
            </w:tcBorders>
            <w:shd w:val="clear" w:color="auto" w:fill="auto"/>
            <w:vAlign w:val="center"/>
          </w:tcPr>
          <w:p w14:paraId="7C580B9B">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旅游、宗教活动场所：</w:t>
            </w:r>
          </w:p>
        </w:tc>
      </w:tr>
      <w:tr w14:paraId="6F8C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2B4DE922">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740143A3">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□4A级以上的旅游风景区；□总建筑面积超过2000平方米的宗教活动场所。</w:t>
            </w:r>
          </w:p>
        </w:tc>
      </w:tr>
      <w:tr w14:paraId="15CC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74" w:type="dxa"/>
            <w:vMerge w:val="restart"/>
            <w:tcBorders>
              <w:left w:val="single" w:color="auto" w:sz="12" w:space="0"/>
            </w:tcBorders>
            <w:shd w:val="clear" w:color="auto" w:fill="auto"/>
            <w:vAlign w:val="center"/>
          </w:tcPr>
          <w:p w14:paraId="05A2F6B2">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8</w:t>
            </w:r>
          </w:p>
        </w:tc>
        <w:tc>
          <w:tcPr>
            <w:tcW w:w="9957" w:type="dxa"/>
            <w:gridSpan w:val="7"/>
            <w:tcBorders>
              <w:right w:val="single" w:color="auto" w:sz="12" w:space="0"/>
            </w:tcBorders>
            <w:shd w:val="clear" w:color="auto" w:fill="auto"/>
            <w:vAlign w:val="center"/>
          </w:tcPr>
          <w:p w14:paraId="57DEB4D9">
            <w:pPr>
              <w:widowControl w:val="0"/>
              <w:kinsoku/>
              <w:spacing w:line="240" w:lineRule="exact"/>
              <w:ind w:left="211" w:hanging="211" w:hangingChars="100"/>
              <w:rPr>
                <w:rFonts w:ascii="Times New Roman" w:hAnsi="Times New Roman" w:eastAsia="楷体" w:cs="Times New Roman"/>
                <w:lang w:eastAsia="zh-CN"/>
              </w:rPr>
            </w:pPr>
            <w:r>
              <w:rPr>
                <w:rFonts w:ascii="Times New Roman" w:hAnsi="Times New Roman" w:eastAsia="楷体" w:cs="Times New Roman"/>
                <w:b/>
                <w:bCs/>
                <w:lang w:eastAsia="zh-CN"/>
              </w:rPr>
              <w:t>发电厂（站）和电网经营企业：</w:t>
            </w:r>
          </w:p>
        </w:tc>
      </w:tr>
      <w:tr w14:paraId="4650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6CD920B2">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7C45B454">
            <w:pPr>
              <w:widowControl w:val="0"/>
              <w:kinsoku/>
              <w:spacing w:line="240" w:lineRule="exact"/>
              <w:ind w:left="105" w:hanging="105" w:hangingChars="50"/>
              <w:rPr>
                <w:rFonts w:ascii="Times New Roman" w:hAnsi="Times New Roman" w:eastAsia="楷体" w:cs="Times New Roman"/>
                <w:lang w:eastAsia="zh-CN"/>
              </w:rPr>
            </w:pPr>
            <w:r>
              <w:rPr>
                <w:rFonts w:ascii="Times New Roman" w:hAnsi="Times New Roman" w:eastAsia="楷体" w:cs="Times New Roman"/>
                <w:lang w:eastAsia="zh-CN"/>
              </w:rPr>
              <w:t>□100MW以上的火力发电厂、50MW以上的水力发电厂；□承担省、市、县（区）电力调度单位；</w:t>
            </w:r>
          </w:p>
          <w:p w14:paraId="15B7C6C3">
            <w:pPr>
              <w:widowControl w:val="0"/>
              <w:kinsoku/>
              <w:spacing w:line="240" w:lineRule="exact"/>
              <w:ind w:left="105" w:hanging="105" w:hangingChars="50"/>
              <w:rPr>
                <w:rFonts w:ascii="Times New Roman" w:hAnsi="Times New Roman" w:eastAsia="楷体" w:cs="Times New Roman"/>
                <w:lang w:eastAsia="zh-CN"/>
              </w:rPr>
            </w:pPr>
            <w:r>
              <w:rPr>
                <w:rFonts w:ascii="Times New Roman" w:hAnsi="Times New Roman" w:eastAsia="楷体" w:cs="Times New Roman"/>
                <w:lang w:eastAsia="zh-CN"/>
              </w:rPr>
              <w:t>□交流330千伏及以上、直流±500千伏及以上变电站；□储能电站。</w:t>
            </w:r>
          </w:p>
        </w:tc>
      </w:tr>
      <w:tr w14:paraId="073E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74" w:type="dxa"/>
            <w:vMerge w:val="restart"/>
            <w:tcBorders>
              <w:left w:val="single" w:color="auto" w:sz="12" w:space="0"/>
            </w:tcBorders>
            <w:shd w:val="clear" w:color="auto" w:fill="auto"/>
            <w:vAlign w:val="center"/>
          </w:tcPr>
          <w:p w14:paraId="27A03DEB">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9</w:t>
            </w:r>
          </w:p>
        </w:tc>
        <w:tc>
          <w:tcPr>
            <w:tcW w:w="9957" w:type="dxa"/>
            <w:gridSpan w:val="7"/>
            <w:tcBorders>
              <w:right w:val="single" w:color="auto" w:sz="12" w:space="0"/>
            </w:tcBorders>
            <w:shd w:val="clear" w:color="auto" w:fill="auto"/>
            <w:vAlign w:val="center"/>
          </w:tcPr>
          <w:p w14:paraId="497421B5">
            <w:pPr>
              <w:widowControl w:val="0"/>
              <w:kinsoku/>
              <w:spacing w:line="240" w:lineRule="exact"/>
              <w:ind w:left="211" w:hanging="211" w:hangingChars="100"/>
              <w:rPr>
                <w:rFonts w:ascii="Times New Roman" w:hAnsi="Times New Roman" w:eastAsia="楷体" w:cs="Times New Roman"/>
                <w:lang w:eastAsia="zh-CN"/>
              </w:rPr>
            </w:pPr>
            <w:r>
              <w:rPr>
                <w:rFonts w:ascii="Times New Roman" w:hAnsi="Times New Roman" w:eastAsia="楷体" w:cs="Times New Roman"/>
                <w:b/>
                <w:bCs/>
                <w:lang w:eastAsia="zh-CN"/>
              </w:rPr>
              <w:t>易燃易爆化学物品的生产、充装、存储、供应、销售单位：</w:t>
            </w:r>
          </w:p>
        </w:tc>
      </w:tr>
      <w:tr w14:paraId="631E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4" w:type="dxa"/>
            <w:vMerge w:val="continue"/>
            <w:tcBorders>
              <w:left w:val="single" w:color="auto" w:sz="12" w:space="0"/>
            </w:tcBorders>
            <w:shd w:val="clear" w:color="auto" w:fill="auto"/>
            <w:vAlign w:val="center"/>
          </w:tcPr>
          <w:p w14:paraId="7168DD06">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5EF41C59">
            <w:pPr>
              <w:widowControl w:val="0"/>
              <w:kinsoku/>
              <w:spacing w:line="240" w:lineRule="exact"/>
              <w:ind w:left="105" w:hanging="105" w:hangingChars="50"/>
              <w:rPr>
                <w:rFonts w:ascii="Times New Roman" w:hAnsi="Times New Roman" w:eastAsia="楷体" w:cs="Times New Roman"/>
                <w:lang w:eastAsia="zh-CN"/>
              </w:rPr>
            </w:pPr>
            <w:r>
              <w:rPr>
                <w:rFonts w:ascii="Times New Roman" w:hAnsi="Times New Roman" w:eastAsia="楷体" w:cs="Times New Roman"/>
                <w:lang w:eastAsia="zh-CN"/>
              </w:rPr>
              <w:t>□工艺装置占地面积超过5000平方米的石化、煤化等化工单位；</w:t>
            </w:r>
          </w:p>
          <w:p w14:paraId="55F07532">
            <w:pPr>
              <w:widowControl w:val="0"/>
              <w:kinsoku/>
              <w:spacing w:line="240" w:lineRule="exact"/>
              <w:ind w:left="105" w:hanging="105" w:hangingChars="50"/>
              <w:rPr>
                <w:rFonts w:ascii="Times New Roman" w:hAnsi="Times New Roman" w:eastAsia="楷体" w:cs="Times New Roman"/>
                <w:lang w:eastAsia="zh-CN"/>
              </w:rPr>
            </w:pPr>
            <w:r>
              <w:rPr>
                <w:rFonts w:ascii="Times New Roman" w:hAnsi="Times New Roman" w:eastAsia="楷体" w:cs="Times New Roman"/>
                <w:lang w:eastAsia="zh-CN"/>
              </w:rPr>
              <w:t>□总建筑面积超过1500平方米的甲类厂房，或者总建筑面积超过2000平方米的甲、乙类厂房；</w:t>
            </w:r>
          </w:p>
          <w:p w14:paraId="37E4E47E">
            <w:pPr>
              <w:widowControl w:val="0"/>
              <w:kinsoku/>
              <w:spacing w:line="240" w:lineRule="exact"/>
              <w:ind w:left="105" w:hanging="105" w:hangingChars="50"/>
              <w:rPr>
                <w:rFonts w:ascii="Times New Roman" w:hAnsi="Times New Roman" w:cs="Times New Roman" w:eastAsiaTheme="minorEastAsia"/>
                <w:lang w:eastAsia="zh-CN"/>
              </w:rPr>
            </w:pPr>
            <w:r>
              <w:rPr>
                <w:rFonts w:ascii="Times New Roman" w:hAnsi="Times New Roman" w:eastAsia="楷体" w:cs="Times New Roman"/>
                <w:lang w:eastAsia="zh-CN"/>
              </w:rPr>
              <w:t>□总容量500立方米以上的可燃气体灌装站、调压站。</w:t>
            </w:r>
          </w:p>
        </w:tc>
      </w:tr>
      <w:tr w14:paraId="3590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74" w:type="dxa"/>
            <w:vMerge w:val="continue"/>
            <w:tcBorders>
              <w:left w:val="single" w:color="auto" w:sz="12" w:space="0"/>
            </w:tcBorders>
            <w:shd w:val="clear" w:color="auto" w:fill="auto"/>
            <w:vAlign w:val="center"/>
          </w:tcPr>
          <w:p w14:paraId="34411427">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3FAEF243">
            <w:pPr>
              <w:widowControl w:val="0"/>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储存易燃易爆化学物品的专用仓库（堆场、储罐场所）：</w:t>
            </w:r>
          </w:p>
        </w:tc>
      </w:tr>
      <w:tr w14:paraId="7A0E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74" w:type="dxa"/>
            <w:vMerge w:val="continue"/>
            <w:tcBorders>
              <w:left w:val="single" w:color="auto" w:sz="12" w:space="0"/>
            </w:tcBorders>
            <w:shd w:val="clear" w:color="auto" w:fill="auto"/>
            <w:vAlign w:val="center"/>
          </w:tcPr>
          <w:p w14:paraId="10E370A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3F6C67E8">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□单座容积超过5000立方米或者总容积超过10000立方米的甲乙类储罐；</w:t>
            </w:r>
          </w:p>
          <w:p w14:paraId="3CDAF4B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□单座容积超过500立方米或者总容积超过2000立方米的液化烃（含液化石油气）储罐;</w:t>
            </w:r>
          </w:p>
          <w:p w14:paraId="0066927D">
            <w:pPr>
              <w:widowControl w:val="0"/>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□总建筑面积超过750平方米的甲类仓库，或者总建筑面积超过2000平方米的甲、乙类仓库。</w:t>
            </w:r>
          </w:p>
        </w:tc>
      </w:tr>
      <w:tr w14:paraId="06DE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474" w:type="dxa"/>
            <w:vMerge w:val="restart"/>
            <w:tcBorders>
              <w:left w:val="single" w:color="auto" w:sz="12" w:space="0"/>
            </w:tcBorders>
            <w:shd w:val="clear" w:color="auto" w:fill="auto"/>
            <w:vAlign w:val="center"/>
          </w:tcPr>
          <w:p w14:paraId="238CED55">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10</w:t>
            </w:r>
          </w:p>
        </w:tc>
        <w:tc>
          <w:tcPr>
            <w:tcW w:w="9957" w:type="dxa"/>
            <w:gridSpan w:val="7"/>
            <w:tcBorders>
              <w:right w:val="single" w:color="auto" w:sz="12" w:space="0"/>
            </w:tcBorders>
            <w:shd w:val="clear" w:color="auto" w:fill="auto"/>
            <w:vAlign w:val="center"/>
          </w:tcPr>
          <w:p w14:paraId="7079AC91">
            <w:pPr>
              <w:widowControl w:val="0"/>
              <w:kinsoku/>
              <w:spacing w:line="240" w:lineRule="exact"/>
              <w:rPr>
                <w:rFonts w:ascii="Times New Roman" w:hAnsi="Times New Roman" w:eastAsia="楷体" w:cs="Times New Roman"/>
              </w:rPr>
            </w:pPr>
            <w:r>
              <w:rPr>
                <w:rFonts w:ascii="Times New Roman" w:hAnsi="Times New Roman" w:eastAsia="楷体" w:cs="Times New Roman"/>
                <w:b/>
                <w:bCs/>
                <w:lang w:eastAsia="zh-CN"/>
              </w:rPr>
              <w:t>生产、加工企业：</w:t>
            </w:r>
          </w:p>
        </w:tc>
      </w:tr>
      <w:tr w14:paraId="3FAB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16D4FCF0">
            <w:pPr>
              <w:widowControl w:val="0"/>
              <w:kinsoku/>
              <w:spacing w:line="240" w:lineRule="exact"/>
              <w:ind w:left="425" w:hanging="425"/>
              <w:jc w:val="center"/>
              <w:rPr>
                <w:rFonts w:ascii="Times New Roman" w:hAnsi="Times New Roman" w:cs="Times New Roman"/>
                <w:b/>
                <w:bCs/>
              </w:rPr>
            </w:pPr>
          </w:p>
        </w:tc>
        <w:tc>
          <w:tcPr>
            <w:tcW w:w="9957" w:type="dxa"/>
            <w:gridSpan w:val="7"/>
            <w:tcBorders>
              <w:right w:val="single" w:color="auto" w:sz="12" w:space="0"/>
            </w:tcBorders>
            <w:shd w:val="clear" w:color="auto" w:fill="auto"/>
            <w:vAlign w:val="center"/>
          </w:tcPr>
          <w:p w14:paraId="03F841AF">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□生产车间员工在100人以上的服装、鞋帽、玩具、木制品、家具、塑料、食品加工和纺织、印染等劳动密集型企业；</w:t>
            </w:r>
          </w:p>
          <w:p w14:paraId="65FC766B">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□总建筑面积在2000平方米（西安5000平方米）以上的洁净厂房、电子厂房；</w:t>
            </w:r>
          </w:p>
          <w:p w14:paraId="2157C848">
            <w:pPr>
              <w:widowControl w:val="0"/>
              <w:kinsoku/>
              <w:spacing w:line="240" w:lineRule="exact"/>
              <w:rPr>
                <w:rFonts w:ascii="Times New Roman" w:hAnsi="Times New Roman" w:cs="Times New Roman"/>
                <w:lang w:eastAsia="zh-CN"/>
              </w:rPr>
            </w:pPr>
            <w:r>
              <w:rPr>
                <w:rFonts w:ascii="Times New Roman" w:hAnsi="Times New Roman" w:eastAsia="楷体" w:cs="Times New Roman"/>
                <w:lang w:eastAsia="zh-CN"/>
              </w:rPr>
              <w:t>□总建筑面积在6000平方米（西安10000平方米）以上的丙类厂房。</w:t>
            </w:r>
          </w:p>
        </w:tc>
      </w:tr>
      <w:tr w14:paraId="46B6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74" w:type="dxa"/>
            <w:vMerge w:val="restart"/>
            <w:tcBorders>
              <w:left w:val="single" w:color="auto" w:sz="12" w:space="0"/>
            </w:tcBorders>
            <w:shd w:val="clear" w:color="auto" w:fill="auto"/>
            <w:vAlign w:val="center"/>
          </w:tcPr>
          <w:p w14:paraId="249300BB">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11</w:t>
            </w:r>
          </w:p>
        </w:tc>
        <w:tc>
          <w:tcPr>
            <w:tcW w:w="9957" w:type="dxa"/>
            <w:gridSpan w:val="7"/>
            <w:tcBorders>
              <w:right w:val="single" w:color="auto" w:sz="12" w:space="0"/>
            </w:tcBorders>
            <w:shd w:val="clear" w:color="auto" w:fill="auto"/>
            <w:vAlign w:val="center"/>
          </w:tcPr>
          <w:p w14:paraId="368FD3A3">
            <w:pPr>
              <w:widowControl w:val="0"/>
              <w:kinsoku/>
              <w:spacing w:line="240" w:lineRule="exact"/>
              <w:rPr>
                <w:rFonts w:ascii="Times New Roman" w:hAnsi="Times New Roman" w:eastAsia="方正黑体_GBK" w:cs="Times New Roman"/>
              </w:rPr>
            </w:pPr>
            <w:r>
              <w:rPr>
                <w:rFonts w:ascii="Times New Roman" w:hAnsi="Times New Roman" w:eastAsia="楷体" w:cs="Times New Roman"/>
                <w:b/>
                <w:bCs/>
                <w:lang w:eastAsia="zh-CN"/>
              </w:rPr>
              <w:t>重要的科研单位：</w:t>
            </w:r>
          </w:p>
        </w:tc>
      </w:tr>
      <w:tr w14:paraId="68FC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6F2B6B0B">
            <w:pPr>
              <w:widowControl w:val="0"/>
              <w:kinsoku/>
              <w:spacing w:line="240" w:lineRule="exact"/>
              <w:ind w:left="425" w:hanging="425"/>
              <w:jc w:val="center"/>
              <w:rPr>
                <w:rFonts w:ascii="Times New Roman" w:hAnsi="Times New Roman" w:cs="Times New Roman"/>
                <w:b/>
                <w:bCs/>
              </w:rPr>
            </w:pPr>
          </w:p>
        </w:tc>
        <w:tc>
          <w:tcPr>
            <w:tcW w:w="9957" w:type="dxa"/>
            <w:gridSpan w:val="7"/>
            <w:tcBorders>
              <w:right w:val="single" w:color="auto" w:sz="12" w:space="0"/>
            </w:tcBorders>
            <w:shd w:val="clear" w:color="auto" w:fill="auto"/>
            <w:vAlign w:val="center"/>
          </w:tcPr>
          <w:p w14:paraId="48CA5FB8">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□国家和省级科研单位；□负责国家重点科研项目的科研单位；</w:t>
            </w:r>
          </w:p>
          <w:p w14:paraId="16C6F049">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□储存易燃易爆化学危险物品（甲、乙类）超过300公斤的科研单位。</w:t>
            </w:r>
          </w:p>
        </w:tc>
      </w:tr>
      <w:tr w14:paraId="2D94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74" w:type="dxa"/>
            <w:vMerge w:val="restart"/>
            <w:tcBorders>
              <w:left w:val="single" w:color="auto" w:sz="12" w:space="0"/>
            </w:tcBorders>
            <w:shd w:val="clear" w:color="auto" w:fill="auto"/>
            <w:vAlign w:val="center"/>
          </w:tcPr>
          <w:p w14:paraId="47BF3F67">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12</w:t>
            </w:r>
          </w:p>
        </w:tc>
        <w:tc>
          <w:tcPr>
            <w:tcW w:w="9957" w:type="dxa"/>
            <w:gridSpan w:val="7"/>
            <w:tcBorders>
              <w:right w:val="single" w:color="auto" w:sz="12" w:space="0"/>
            </w:tcBorders>
            <w:shd w:val="clear" w:color="auto" w:fill="auto"/>
            <w:vAlign w:val="center"/>
          </w:tcPr>
          <w:p w14:paraId="0EF023A5">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高层公共建筑、地下铁道、地下观光隧道、粮、棉、木材、百货等物资仓库和堆场：</w:t>
            </w:r>
          </w:p>
        </w:tc>
      </w:tr>
      <w:tr w14:paraId="4244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74" w:type="dxa"/>
            <w:vMerge w:val="continue"/>
            <w:tcBorders>
              <w:left w:val="single" w:color="auto" w:sz="12" w:space="0"/>
            </w:tcBorders>
            <w:shd w:val="clear" w:color="auto" w:fill="auto"/>
            <w:vAlign w:val="center"/>
          </w:tcPr>
          <w:p w14:paraId="26B07545">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5A8FA192">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□超高层公共建筑、设有符合重点单位界定标准公众聚集场所的一类高层公共建筑；</w:t>
            </w:r>
          </w:p>
          <w:p w14:paraId="53363F25">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□城市地下铁道、地下观光隧道等地下公共建筑和城市重要的交通隧道；</w:t>
            </w:r>
          </w:p>
          <w:p w14:paraId="632157DD">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□国家储备粮库、总数量10000吨以上的其他粮油仓库；</w:t>
            </w:r>
          </w:p>
          <w:p w14:paraId="1134A8E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□总储量500吨以上的棉库；</w:t>
            </w:r>
          </w:p>
          <w:p w14:paraId="2C417EAA">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□总储量在10000立方米以上的木材堆场；</w:t>
            </w:r>
          </w:p>
          <w:p w14:paraId="67A50F2E">
            <w:pPr>
              <w:widowControl w:val="0"/>
              <w:kinsoku/>
              <w:spacing w:line="240" w:lineRule="exact"/>
              <w:rPr>
                <w:rFonts w:ascii="Times New Roman" w:hAnsi="Times New Roman" w:cs="Times New Roman"/>
                <w:lang w:eastAsia="zh-CN"/>
              </w:rPr>
            </w:pPr>
            <w:r>
              <w:rPr>
                <w:rFonts w:ascii="Times New Roman" w:hAnsi="Times New Roman" w:eastAsia="楷体" w:cs="Times New Roman"/>
                <w:lang w:eastAsia="zh-CN"/>
              </w:rPr>
              <w:t>□单层占地面积超过12000平方米或者多层占地面积超过9600平方米的大型物流仓库。</w:t>
            </w:r>
          </w:p>
        </w:tc>
      </w:tr>
      <w:tr w14:paraId="69B5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4" w:type="dxa"/>
            <w:vMerge w:val="restart"/>
            <w:tcBorders>
              <w:left w:val="single" w:color="auto" w:sz="12" w:space="0"/>
            </w:tcBorders>
            <w:shd w:val="clear" w:color="auto" w:fill="auto"/>
            <w:vAlign w:val="center"/>
          </w:tcPr>
          <w:p w14:paraId="50471C33">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13</w:t>
            </w:r>
          </w:p>
        </w:tc>
        <w:tc>
          <w:tcPr>
            <w:tcW w:w="9957" w:type="dxa"/>
            <w:gridSpan w:val="7"/>
            <w:tcBorders>
              <w:right w:val="single" w:color="auto" w:sz="12" w:space="0"/>
            </w:tcBorders>
            <w:shd w:val="clear" w:color="auto" w:fill="auto"/>
            <w:vAlign w:val="center"/>
          </w:tcPr>
          <w:p w14:paraId="5311B767">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发生火灾可能性较大以及一旦发生火灾可能造成人身重大伤亡或者财产重大损失的单位：</w:t>
            </w:r>
          </w:p>
        </w:tc>
      </w:tr>
      <w:tr w14:paraId="1276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74" w:type="dxa"/>
            <w:vMerge w:val="continue"/>
            <w:tcBorders>
              <w:left w:val="single" w:color="auto" w:sz="12" w:space="0"/>
            </w:tcBorders>
            <w:shd w:val="clear" w:color="auto" w:fill="auto"/>
            <w:vAlign w:val="center"/>
          </w:tcPr>
          <w:p w14:paraId="7F78AFA6">
            <w:pPr>
              <w:widowControl w:val="0"/>
              <w:kinsoku/>
              <w:spacing w:before="156" w:beforeLines="50" w:after="156" w:afterLines="50" w:line="240" w:lineRule="exact"/>
              <w:ind w:right="480"/>
              <w:jc w:val="center"/>
              <w:rPr>
                <w:rFonts w:ascii="Times New Roman" w:hAnsi="Times New Roman" w:eastAsia="楷体" w:cs="Times New Roman"/>
                <w:lang w:eastAsia="zh-CN"/>
              </w:rPr>
            </w:pPr>
          </w:p>
        </w:tc>
        <w:tc>
          <w:tcPr>
            <w:tcW w:w="9957" w:type="dxa"/>
            <w:gridSpan w:val="7"/>
            <w:tcBorders>
              <w:right w:val="single" w:color="auto" w:sz="12" w:space="0"/>
            </w:tcBorders>
            <w:shd w:val="clear" w:color="auto" w:fill="auto"/>
            <w:vAlign w:val="center"/>
          </w:tcPr>
          <w:p w14:paraId="1D3EEF7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□固定资产（建筑、设备、原材料等）价值在5亿元以上的电子、汽车、钢铁、烟草、航天纺织、造纸工业等企业；□银行业、保险业、证券业数据处理中心；□各银行在陕的省级分支机构。</w:t>
            </w:r>
          </w:p>
        </w:tc>
      </w:tr>
      <w:tr w14:paraId="1715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3043" w:type="dxa"/>
            <w:gridSpan w:val="3"/>
            <w:tcBorders>
              <w:left w:val="single" w:color="auto" w:sz="12" w:space="0"/>
            </w:tcBorders>
            <w:vAlign w:val="center"/>
          </w:tcPr>
          <w:p w14:paraId="66365224">
            <w:pPr>
              <w:widowControl w:val="0"/>
              <w:kinsoku/>
              <w:jc w:val="center"/>
              <w:rPr>
                <w:rFonts w:hint="eastAsia" w:ascii="黑体" w:hAnsi="黑体" w:eastAsia="黑体" w:cs="Times New Roman"/>
                <w:b/>
                <w:sz w:val="24"/>
              </w:rPr>
            </w:pPr>
            <w:r>
              <w:rPr>
                <w:rFonts w:ascii="黑体" w:hAnsi="黑体" w:eastAsia="黑体" w:cs="Times New Roman"/>
                <w:sz w:val="24"/>
              </w:rPr>
              <w:t>申报单位意见</w:t>
            </w:r>
          </w:p>
        </w:tc>
        <w:tc>
          <w:tcPr>
            <w:tcW w:w="7388" w:type="dxa"/>
            <w:gridSpan w:val="5"/>
            <w:tcBorders>
              <w:right w:val="single" w:color="auto" w:sz="12" w:space="0"/>
            </w:tcBorders>
          </w:tcPr>
          <w:p w14:paraId="1656EA51">
            <w:pPr>
              <w:widowControl w:val="0"/>
              <w:kinsoku/>
              <w:spacing w:before="156" w:beforeLines="50" w:line="320" w:lineRule="exact"/>
              <w:ind w:firstLine="480" w:firstLineChars="200"/>
              <w:rPr>
                <w:rFonts w:ascii="Times New Roman" w:hAnsi="Times New Roman" w:eastAsia="楷体" w:cs="Times New Roman"/>
                <w:sz w:val="24"/>
                <w:lang w:eastAsia="zh-CN"/>
              </w:rPr>
            </w:pPr>
          </w:p>
          <w:p w14:paraId="4CFA191A">
            <w:pPr>
              <w:widowControl w:val="0"/>
              <w:kinsoku/>
              <w:spacing w:before="156" w:beforeLines="50" w:line="320" w:lineRule="exact"/>
              <w:ind w:firstLine="480" w:firstLineChars="200"/>
              <w:rPr>
                <w:rFonts w:ascii="Times New Roman" w:hAnsi="Times New Roman" w:eastAsia="楷体" w:cs="Times New Roman"/>
                <w:sz w:val="24"/>
                <w:lang w:eastAsia="zh-CN"/>
              </w:rPr>
            </w:pPr>
            <w:r>
              <w:rPr>
                <w:rFonts w:ascii="Times New Roman" w:hAnsi="Times New Roman" w:eastAsia="楷体" w:cs="Times New Roman"/>
                <w:sz w:val="24"/>
                <w:lang w:eastAsia="zh-CN"/>
              </w:rPr>
              <w:t>根据《机关、团体、企业、事业单位消防安全管理规定》《陕西省消防安全重点单位界定标准（试行）》，我单位属消防安全重点单位，特此申报。</w:t>
            </w:r>
          </w:p>
          <w:p w14:paraId="31A1D51C">
            <w:pPr>
              <w:widowControl w:val="0"/>
              <w:kinsoku/>
              <w:spacing w:line="320" w:lineRule="exact"/>
              <w:rPr>
                <w:rFonts w:ascii="Times New Roman" w:hAnsi="Times New Roman" w:eastAsia="楷体" w:cs="Times New Roman"/>
                <w:sz w:val="24"/>
                <w:lang w:eastAsia="zh-CN"/>
              </w:rPr>
            </w:pPr>
          </w:p>
          <w:p w14:paraId="287964C5">
            <w:pPr>
              <w:widowControl w:val="0"/>
              <w:kinsoku/>
              <w:spacing w:line="320" w:lineRule="exact"/>
              <w:ind w:firstLine="2160" w:firstLineChars="900"/>
              <w:rPr>
                <w:rFonts w:ascii="Times New Roman" w:hAnsi="Times New Roman" w:eastAsia="楷体" w:cs="Times New Roman"/>
                <w:sz w:val="24"/>
                <w:lang w:eastAsia="zh-CN"/>
              </w:rPr>
            </w:pPr>
          </w:p>
          <w:p w14:paraId="541BABFD">
            <w:pPr>
              <w:widowControl w:val="0"/>
              <w:kinsoku/>
              <w:spacing w:line="320" w:lineRule="exact"/>
              <w:ind w:firstLine="2160" w:firstLineChars="900"/>
              <w:rPr>
                <w:rFonts w:ascii="Times New Roman" w:hAnsi="Times New Roman" w:eastAsia="楷体" w:cs="Times New Roman"/>
                <w:sz w:val="24"/>
                <w:lang w:eastAsia="zh-CN"/>
              </w:rPr>
            </w:pPr>
            <w:r>
              <w:rPr>
                <w:rFonts w:ascii="Times New Roman" w:hAnsi="Times New Roman" w:eastAsia="楷体" w:cs="Times New Roman"/>
                <w:sz w:val="24"/>
                <w:lang w:eastAsia="zh-CN"/>
              </w:rPr>
              <w:t>消防安全责任人（签字）：</w:t>
            </w:r>
          </w:p>
          <w:p w14:paraId="44A1DB42">
            <w:pPr>
              <w:widowControl w:val="0"/>
              <w:kinsoku/>
              <w:rPr>
                <w:rFonts w:ascii="Times New Roman" w:hAnsi="Times New Roman" w:eastAsia="楷体" w:cs="Times New Roman"/>
                <w:sz w:val="24"/>
                <w:lang w:eastAsia="zh-CN"/>
              </w:rPr>
            </w:pPr>
            <w:r>
              <w:rPr>
                <w:rFonts w:ascii="Times New Roman" w:hAnsi="Times New Roman" w:eastAsia="楷体" w:cs="Times New Roman"/>
                <w:sz w:val="24"/>
                <w:lang w:eastAsia="zh-CN"/>
              </w:rPr>
              <w:t xml:space="preserve">                            单位（公章）：</w:t>
            </w:r>
          </w:p>
          <w:p w14:paraId="10653E5C">
            <w:pPr>
              <w:widowControl w:val="0"/>
              <w:kinsoku/>
              <w:spacing w:before="156" w:beforeLines="50" w:after="156" w:afterLines="50"/>
              <w:ind w:right="480"/>
              <w:jc w:val="center"/>
              <w:rPr>
                <w:rFonts w:ascii="Times New Roman" w:hAnsi="Times New Roman" w:eastAsia="楷体" w:cs="Times New Roman"/>
                <w:sz w:val="24"/>
                <w:lang w:eastAsia="zh-CN"/>
              </w:rPr>
            </w:pPr>
            <w:r>
              <w:rPr>
                <w:rFonts w:ascii="Times New Roman" w:hAnsi="Times New Roman" w:eastAsia="楷体" w:cs="Times New Roman"/>
                <w:sz w:val="24"/>
                <w:lang w:eastAsia="zh-CN"/>
              </w:rPr>
              <w:t xml:space="preserve">                 年    月    日</w:t>
            </w:r>
          </w:p>
        </w:tc>
      </w:tr>
      <w:tr w14:paraId="4448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3043" w:type="dxa"/>
            <w:gridSpan w:val="3"/>
            <w:tcBorders>
              <w:left w:val="single" w:color="auto" w:sz="12" w:space="0"/>
            </w:tcBorders>
            <w:vAlign w:val="center"/>
          </w:tcPr>
          <w:p w14:paraId="40ED5513">
            <w:pPr>
              <w:widowControl w:val="0"/>
              <w:kinsoku/>
              <w:jc w:val="center"/>
              <w:rPr>
                <w:rFonts w:hint="eastAsia" w:ascii="黑体" w:hAnsi="黑体" w:eastAsia="黑体" w:cs="Times New Roman"/>
                <w:sz w:val="24"/>
                <w:lang w:eastAsia="zh-CN"/>
              </w:rPr>
            </w:pPr>
            <w:r>
              <w:rPr>
                <w:rFonts w:ascii="黑体" w:hAnsi="黑体" w:eastAsia="黑体" w:cs="Times New Roman"/>
                <w:sz w:val="24"/>
                <w:lang w:eastAsia="zh-CN"/>
              </w:rPr>
              <w:t>消防救援机构备案意见</w:t>
            </w:r>
          </w:p>
        </w:tc>
        <w:tc>
          <w:tcPr>
            <w:tcW w:w="7388" w:type="dxa"/>
            <w:gridSpan w:val="5"/>
            <w:tcBorders>
              <w:right w:val="single" w:color="auto" w:sz="12" w:space="0"/>
            </w:tcBorders>
          </w:tcPr>
          <w:p w14:paraId="604DBE1C">
            <w:pPr>
              <w:widowControl w:val="0"/>
              <w:kinsoku/>
              <w:spacing w:before="156" w:beforeLines="50" w:line="320" w:lineRule="exact"/>
              <w:ind w:firstLine="480" w:firstLineChars="200"/>
              <w:rPr>
                <w:rFonts w:ascii="Times New Roman" w:hAnsi="Times New Roman" w:eastAsia="楷体" w:cs="Times New Roman"/>
                <w:color w:val="FF0000"/>
                <w:sz w:val="24"/>
                <w:lang w:eastAsia="zh-CN"/>
              </w:rPr>
            </w:pPr>
            <w:r>
              <w:rPr>
                <w:rFonts w:ascii="Times New Roman" w:hAnsi="Times New Roman" w:eastAsia="楷体" w:cs="Times New Roman"/>
                <w:sz w:val="24"/>
                <w:lang w:eastAsia="zh-CN"/>
              </w:rPr>
              <w:t>该单位符合《陕西省消防安全重点单位界定标准（试行）》，同意备案。</w:t>
            </w:r>
          </w:p>
          <w:p w14:paraId="21831DB4">
            <w:pPr>
              <w:widowControl w:val="0"/>
              <w:kinsoku/>
              <w:spacing w:before="156" w:beforeLines="50" w:line="320" w:lineRule="exact"/>
              <w:ind w:firstLine="480" w:firstLineChars="200"/>
              <w:rPr>
                <w:rFonts w:ascii="Times New Roman" w:hAnsi="Times New Roman" w:eastAsia="楷体" w:cs="Times New Roman"/>
                <w:color w:val="FF0000"/>
                <w:sz w:val="24"/>
                <w:lang w:eastAsia="zh-CN"/>
              </w:rPr>
            </w:pPr>
          </w:p>
          <w:p w14:paraId="1C2F6F2D">
            <w:pPr>
              <w:widowControl w:val="0"/>
              <w:kinsoku/>
              <w:spacing w:line="320" w:lineRule="exact"/>
              <w:ind w:firstLine="3960" w:firstLineChars="1650"/>
              <w:rPr>
                <w:rFonts w:ascii="Times New Roman" w:hAnsi="Times New Roman" w:eastAsia="楷体" w:cs="Times New Roman"/>
                <w:sz w:val="24"/>
                <w:lang w:eastAsia="zh-CN"/>
              </w:rPr>
            </w:pPr>
            <w:r>
              <w:rPr>
                <w:rFonts w:ascii="Times New Roman" w:hAnsi="Times New Roman" w:eastAsia="楷体" w:cs="Times New Roman"/>
                <w:sz w:val="24"/>
                <w:lang w:eastAsia="zh-CN"/>
              </w:rPr>
              <w:t>（消防救援部门印章）</w:t>
            </w:r>
          </w:p>
          <w:p w14:paraId="4C7875B6">
            <w:pPr>
              <w:widowControl w:val="0"/>
              <w:kinsoku/>
              <w:spacing w:line="320" w:lineRule="exact"/>
              <w:ind w:firstLine="960" w:firstLineChars="400"/>
              <w:rPr>
                <w:rFonts w:ascii="Times New Roman" w:hAnsi="Times New Roman" w:eastAsia="楷体" w:cs="Times New Roman"/>
                <w:sz w:val="24"/>
                <w:lang w:eastAsia="zh-CN"/>
              </w:rPr>
            </w:pPr>
            <w:r>
              <w:rPr>
                <w:rFonts w:ascii="Times New Roman" w:hAnsi="Times New Roman" w:eastAsia="楷体" w:cs="Times New Roman"/>
                <w:sz w:val="24"/>
                <w:lang w:eastAsia="zh-CN"/>
              </w:rPr>
              <w:t xml:space="preserve">                            年    月    日</w:t>
            </w:r>
          </w:p>
        </w:tc>
      </w:tr>
    </w:tbl>
    <w:p w14:paraId="73C29812">
      <w:pPr>
        <w:widowControl w:val="0"/>
        <w:rPr>
          <w:rFonts w:ascii="Times New Roman" w:hAnsi="Times New Roman" w:cs="Times New Roman" w:eastAsiaTheme="minorEastAsia"/>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4E"/>
    <w:rsid w:val="0002184E"/>
    <w:rsid w:val="00083C81"/>
    <w:rsid w:val="0019395F"/>
    <w:rsid w:val="00222524"/>
    <w:rsid w:val="00246F38"/>
    <w:rsid w:val="0042142E"/>
    <w:rsid w:val="00496890"/>
    <w:rsid w:val="006C636D"/>
    <w:rsid w:val="0070329B"/>
    <w:rsid w:val="00745DDB"/>
    <w:rsid w:val="00746019"/>
    <w:rsid w:val="00813504"/>
    <w:rsid w:val="00832578"/>
    <w:rsid w:val="00A907F8"/>
    <w:rsid w:val="00BA43A5"/>
    <w:rsid w:val="00C60743"/>
    <w:rsid w:val="00CF7C74"/>
    <w:rsid w:val="00D95B38"/>
    <w:rsid w:val="0611020B"/>
    <w:rsid w:val="0C303B2C"/>
    <w:rsid w:val="1ACF47E1"/>
    <w:rsid w:val="1DC97D28"/>
    <w:rsid w:val="207C542B"/>
    <w:rsid w:val="212212BA"/>
    <w:rsid w:val="27BD1CA7"/>
    <w:rsid w:val="34032591"/>
    <w:rsid w:val="39353003"/>
    <w:rsid w:val="39510397"/>
    <w:rsid w:val="5CBD3DF2"/>
    <w:rsid w:val="66D34CD0"/>
    <w:rsid w:val="68644630"/>
    <w:rsid w:val="72587E32"/>
    <w:rsid w:val="7B21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60" w:lineRule="auto"/>
      <w:ind w:right="600"/>
    </w:pPr>
    <w:rPr>
      <w:rFonts w:ascii="仿宋_GB2312" w:hAnsi="Courier New" w:eastAsia="仿宋_GB2312" w:cs="仿宋_GB2312"/>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7">
    <w:name w:val="Table Text"/>
    <w:basedOn w:val="1"/>
    <w:semiHidden/>
    <w:qFormat/>
    <w:uiPriority w:val="0"/>
    <w:rPr>
      <w:rFonts w:ascii="仿宋" w:hAnsi="仿宋" w:eastAsia="仿宋" w:cs="仿宋"/>
      <w:sz w:val="20"/>
      <w:szCs w:val="20"/>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22BCF-DDB2-41F8-BF8D-8BC26CCCC1D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1899</Words>
  <Characters>2027</Characters>
  <Lines>16</Lines>
  <Paragraphs>4</Paragraphs>
  <TotalTime>39</TotalTime>
  <ScaleCrop>false</ScaleCrop>
  <LinksUpToDate>false</LinksUpToDate>
  <CharactersWithSpaces>2121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2025-02-19T10:16:00Z</dcterms:created>
  <dc:creator>Administrator</dc:creator>
  <cp:lastModifiedBy>CHEN FU</cp:lastModifiedBy>
  <cp:lastPrinted>2025-02-19T10:14:00Z</cp:lastPrinted>
  <dcterms:modified xsi:type="dcterms:W3CDTF">2025-02-24T02:32:52Z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eyJoZGlkIjoiMTYyMmU1NWM5MThmZmMxNTgxOTYwMzAxMDA5YmNiMjciLCJ1c2VySWQiOiIzMDMwMzMxNzAifQ==</vt:lpwstr>
  </property>
  <property fmtid="{D5CDD505-2E9C-101B-9397-08002B2CF9AE}" pid="4" name="ICV">
    <vt:lpwstr>7F66C4BAF21041EEA919ECCFB7F403BE_13</vt:lpwstr>
  </property>
</Properties>
</file>