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758C3">
      <w:pPr>
        <w:pStyle w:val="9"/>
        <w:jc w:val="center"/>
        <w:rPr>
          <w:rFonts w:hint="default" w:eastAsia="宋体"/>
          <w:b/>
          <w:color w:val="auto"/>
          <w:sz w:val="72"/>
          <w:szCs w:val="72"/>
          <w:lang w:val="en-US" w:eastAsia="zh-CN"/>
        </w:rPr>
      </w:pPr>
    </w:p>
    <w:p w14:paraId="38B7958E">
      <w:pPr>
        <w:pStyle w:val="9"/>
        <w:jc w:val="center"/>
        <w:rPr>
          <w:b/>
          <w:bCs w:val="0"/>
          <w:color w:val="auto"/>
          <w:sz w:val="72"/>
          <w:szCs w:val="72"/>
        </w:rPr>
      </w:pPr>
      <w:r>
        <w:rPr>
          <w:b/>
          <w:bCs w:val="0"/>
          <w:color w:val="auto"/>
          <w:sz w:val="72"/>
          <w:szCs w:val="72"/>
        </w:rPr>
        <w:t>建设项目环境影响报告表</w:t>
      </w:r>
    </w:p>
    <w:p w14:paraId="62057B4F">
      <w:pPr>
        <w:adjustRightInd w:val="0"/>
        <w:snapToGrid w:val="0"/>
        <w:spacing w:before="192" w:beforeLines="80"/>
        <w:jc w:val="center"/>
        <w:rPr>
          <w:rFonts w:eastAsia="楷体_GB2312"/>
          <w:b/>
          <w:bCs w:val="0"/>
          <w:color w:val="auto"/>
          <w:sz w:val="48"/>
          <w:szCs w:val="48"/>
        </w:rPr>
      </w:pPr>
      <w:r>
        <w:rPr>
          <w:rFonts w:eastAsia="楷体_GB2312"/>
          <w:b/>
          <w:bCs w:val="0"/>
          <w:color w:val="auto"/>
          <w:sz w:val="48"/>
          <w:szCs w:val="48"/>
        </w:rPr>
        <w:t>（生态影响类）</w:t>
      </w:r>
    </w:p>
    <w:p w14:paraId="3E5108E5">
      <w:pPr>
        <w:jc w:val="center"/>
        <w:rPr>
          <w:rFonts w:eastAsia="仿宋"/>
          <w:b/>
          <w:bCs w:val="0"/>
          <w:color w:val="auto"/>
          <w:sz w:val="52"/>
          <w:szCs w:val="52"/>
        </w:rPr>
      </w:pPr>
      <w:bookmarkStart w:id="0" w:name="_Hlk57883728"/>
    </w:p>
    <w:p w14:paraId="6C51D261">
      <w:pPr>
        <w:jc w:val="center"/>
        <w:rPr>
          <w:rFonts w:eastAsia="仿宋"/>
          <w:b/>
          <w:bCs w:val="0"/>
          <w:color w:val="auto"/>
          <w:sz w:val="52"/>
          <w:szCs w:val="52"/>
        </w:rPr>
      </w:pPr>
    </w:p>
    <w:p w14:paraId="7EE12212">
      <w:pPr>
        <w:ind w:firstLine="1040"/>
        <w:rPr>
          <w:rFonts w:eastAsia="仿宋"/>
          <w:b/>
          <w:bCs w:val="0"/>
          <w:color w:val="auto"/>
          <w:sz w:val="44"/>
          <w:szCs w:val="44"/>
        </w:rPr>
      </w:pPr>
    </w:p>
    <w:p w14:paraId="630FE99F">
      <w:pPr>
        <w:ind w:firstLine="1040"/>
        <w:rPr>
          <w:rFonts w:eastAsia="仿宋"/>
          <w:b/>
          <w:bCs w:val="0"/>
          <w:color w:val="auto"/>
          <w:sz w:val="44"/>
          <w:szCs w:val="44"/>
        </w:rPr>
      </w:pPr>
    </w:p>
    <w:p w14:paraId="7414982C">
      <w:pPr>
        <w:rPr>
          <w:rFonts w:hint="eastAsia" w:eastAsia="仿宋"/>
          <w:b/>
          <w:bCs w:val="0"/>
          <w:color w:val="auto"/>
          <w:sz w:val="44"/>
          <w:szCs w:val="44"/>
          <w:lang w:eastAsia="zh-CN"/>
        </w:rPr>
      </w:pPr>
    </w:p>
    <w:p w14:paraId="039F088E">
      <w:pPr>
        <w:ind w:firstLine="1040"/>
        <w:rPr>
          <w:rFonts w:eastAsia="仿宋"/>
          <w:b/>
          <w:bCs w:val="0"/>
          <w:color w:val="auto"/>
          <w:sz w:val="44"/>
          <w:szCs w:val="44"/>
        </w:rPr>
      </w:pPr>
    </w:p>
    <w:bookmarkEnd w:id="0"/>
    <w:p w14:paraId="114C7750">
      <w:pPr>
        <w:adjustRightInd w:val="0"/>
        <w:snapToGrid w:val="0"/>
        <w:spacing w:line="360" w:lineRule="auto"/>
        <w:ind w:firstLine="602" w:firstLineChars="200"/>
        <w:jc w:val="both"/>
        <w:rPr>
          <w:rFonts w:hint="default" w:eastAsia="仿宋_GB2312" w:cs="Times New Roman"/>
          <w:b/>
          <w:bCs w:val="0"/>
          <w:color w:val="auto"/>
          <w:sz w:val="30"/>
          <w:szCs w:val="30"/>
          <w:u w:val="single"/>
          <w:lang w:val="en-US" w:eastAsia="zh-CN"/>
        </w:rPr>
      </w:pPr>
      <w:r>
        <w:rPr>
          <w:rFonts w:hint="default" w:ascii="Times New Roman" w:hAnsi="Times New Roman" w:eastAsia="仿宋_GB2312" w:cs="Times New Roman"/>
          <w:b/>
          <w:bCs w:val="0"/>
          <w:color w:val="auto"/>
          <w:sz w:val="30"/>
          <w:szCs w:val="30"/>
          <w:u w:val="none"/>
          <w:lang w:val="en-US" w:eastAsia="zh-CN"/>
        </w:rPr>
        <w:t>项目名称：</w:t>
      </w:r>
      <w:r>
        <w:rPr>
          <w:rFonts w:hint="eastAsia" w:eastAsia="仿宋_GB2312" w:cs="Times New Roman"/>
          <w:b/>
          <w:bCs w:val="0"/>
          <w:color w:val="auto"/>
          <w:sz w:val="30"/>
          <w:szCs w:val="30"/>
          <w:u w:val="single"/>
          <w:lang w:val="en-US" w:eastAsia="zh-CN"/>
        </w:rPr>
        <w:t xml:space="preserve"> 阳安线上行K155+746汉江3号桥基础冲刷     </w:t>
      </w:r>
    </w:p>
    <w:p w14:paraId="5D77C1FF">
      <w:pPr>
        <w:adjustRightInd w:val="0"/>
        <w:snapToGrid w:val="0"/>
        <w:spacing w:line="360" w:lineRule="auto"/>
        <w:ind w:firstLine="2108" w:firstLineChars="700"/>
        <w:jc w:val="both"/>
        <w:rPr>
          <w:rFonts w:hint="default" w:ascii="Times New Roman" w:hAnsi="Times New Roman" w:eastAsia="仿宋_GB2312" w:cs="Times New Roman"/>
          <w:b/>
          <w:bCs w:val="0"/>
          <w:color w:val="auto"/>
          <w:sz w:val="30"/>
          <w:szCs w:val="30"/>
          <w:u w:val="single"/>
          <w:lang w:val="en-US" w:eastAsia="zh-CN"/>
        </w:rPr>
      </w:pPr>
      <w:r>
        <w:rPr>
          <w:rFonts w:hint="eastAsia" w:eastAsia="仿宋_GB2312" w:cs="Times New Roman"/>
          <w:b/>
          <w:bCs w:val="0"/>
          <w:color w:val="auto"/>
          <w:sz w:val="30"/>
          <w:szCs w:val="30"/>
          <w:u w:val="single"/>
          <w:lang w:val="en-US" w:eastAsia="zh-CN"/>
        </w:rPr>
        <w:t>病害整治工程</w:t>
      </w:r>
    </w:p>
    <w:p w14:paraId="7D8C60A1">
      <w:pPr>
        <w:adjustRightInd w:val="0"/>
        <w:snapToGrid w:val="0"/>
        <w:spacing w:line="360" w:lineRule="auto"/>
        <w:ind w:firstLine="602" w:firstLineChars="200"/>
        <w:jc w:val="both"/>
        <w:rPr>
          <w:rFonts w:hint="default" w:eastAsia="仿宋_GB2312" w:cs="Times New Roman"/>
          <w:b/>
          <w:bCs w:val="0"/>
          <w:color w:val="auto"/>
          <w:sz w:val="30"/>
          <w:szCs w:val="30"/>
          <w:u w:val="single"/>
          <w:lang w:val="en-US" w:eastAsia="zh-CN"/>
        </w:rPr>
      </w:pPr>
      <w:r>
        <w:rPr>
          <w:rFonts w:hint="default" w:ascii="Times New Roman" w:hAnsi="Times New Roman" w:eastAsia="仿宋_GB2312" w:cs="Times New Roman"/>
          <w:b/>
          <w:bCs w:val="0"/>
          <w:color w:val="auto"/>
          <w:sz w:val="30"/>
          <w:szCs w:val="30"/>
          <w:u w:val="none"/>
          <w:lang w:val="en-US" w:eastAsia="zh-CN"/>
        </w:rPr>
        <w:t>建设单位（盖章）：</w:t>
      </w:r>
      <w:r>
        <w:rPr>
          <w:rFonts w:hint="eastAsia" w:eastAsia="仿宋_GB2312" w:cs="Times New Roman"/>
          <w:b/>
          <w:bCs w:val="0"/>
          <w:color w:val="auto"/>
          <w:sz w:val="30"/>
          <w:szCs w:val="30"/>
          <w:u w:val="single"/>
          <w:lang w:val="en-US" w:eastAsia="zh-CN"/>
        </w:rPr>
        <w:t>中国铁路西安局集团有限公司汉中工务段</w:t>
      </w:r>
    </w:p>
    <w:p w14:paraId="5000B647">
      <w:pPr>
        <w:adjustRightInd w:val="0"/>
        <w:snapToGrid w:val="0"/>
        <w:spacing w:line="360" w:lineRule="auto"/>
        <w:ind w:firstLine="602" w:firstLineChars="200"/>
        <w:jc w:val="both"/>
        <w:rPr>
          <w:rFonts w:hint="default" w:ascii="Times New Roman" w:hAnsi="Times New Roman" w:eastAsia="仿宋_GB2312" w:cs="Times New Roman"/>
          <w:b/>
          <w:bCs w:val="0"/>
          <w:color w:val="auto"/>
          <w:sz w:val="30"/>
          <w:szCs w:val="30"/>
          <w:u w:val="single"/>
          <w:lang w:val="en-US" w:eastAsia="zh-CN"/>
        </w:rPr>
      </w:pPr>
      <w:r>
        <w:rPr>
          <w:rFonts w:hint="default" w:ascii="Times New Roman" w:hAnsi="Times New Roman" w:eastAsia="仿宋_GB2312" w:cs="Times New Roman"/>
          <w:b/>
          <w:bCs w:val="0"/>
          <w:color w:val="auto"/>
          <w:sz w:val="30"/>
          <w:szCs w:val="30"/>
          <w:u w:val="none"/>
          <w:lang w:val="en-US" w:eastAsia="zh-CN"/>
        </w:rPr>
        <w:t>编制日期：</w:t>
      </w:r>
      <w:r>
        <w:rPr>
          <w:rFonts w:hint="default" w:ascii="Times New Roman" w:hAnsi="Times New Roman" w:eastAsia="仿宋_GB2312" w:cs="Times New Roman"/>
          <w:b/>
          <w:bCs w:val="0"/>
          <w:color w:val="auto"/>
          <w:sz w:val="30"/>
          <w:szCs w:val="30"/>
          <w:u w:val="single"/>
          <w:lang w:val="en-US" w:eastAsia="zh-CN"/>
        </w:rPr>
        <w:t xml:space="preserve">      </w:t>
      </w:r>
      <w:r>
        <w:rPr>
          <w:rFonts w:hint="eastAsia" w:eastAsia="仿宋_GB2312" w:cs="Times New Roman"/>
          <w:b/>
          <w:bCs w:val="0"/>
          <w:color w:val="auto"/>
          <w:sz w:val="30"/>
          <w:szCs w:val="30"/>
          <w:u w:val="single"/>
          <w:lang w:val="en-US" w:eastAsia="zh-CN"/>
        </w:rPr>
        <w:t xml:space="preserve">   </w:t>
      </w:r>
      <w:r>
        <w:rPr>
          <w:rFonts w:hint="default" w:ascii="Times New Roman" w:hAnsi="Times New Roman" w:eastAsia="仿宋_GB2312" w:cs="Times New Roman"/>
          <w:b/>
          <w:bCs w:val="0"/>
          <w:color w:val="auto"/>
          <w:sz w:val="30"/>
          <w:szCs w:val="30"/>
          <w:u w:val="single"/>
          <w:lang w:val="en-US" w:eastAsia="zh-CN"/>
        </w:rPr>
        <w:t xml:space="preserve">   </w:t>
      </w:r>
      <w:r>
        <w:rPr>
          <w:rFonts w:hint="eastAsia" w:eastAsia="仿宋_GB2312" w:cs="Times New Roman"/>
          <w:b/>
          <w:bCs w:val="0"/>
          <w:color w:val="auto"/>
          <w:sz w:val="30"/>
          <w:szCs w:val="30"/>
          <w:u w:val="single"/>
          <w:lang w:val="en-US" w:eastAsia="zh-CN"/>
        </w:rPr>
        <w:t xml:space="preserve">     </w:t>
      </w:r>
      <w:r>
        <w:rPr>
          <w:rFonts w:hint="default" w:ascii="Times New Roman" w:hAnsi="Times New Roman" w:eastAsia="仿宋_GB2312" w:cs="Times New Roman"/>
          <w:b/>
          <w:bCs w:val="0"/>
          <w:color w:val="auto"/>
          <w:sz w:val="30"/>
          <w:szCs w:val="30"/>
          <w:u w:val="single"/>
          <w:lang w:val="en-US" w:eastAsia="zh-CN"/>
        </w:rPr>
        <w:t xml:space="preserve">  202</w:t>
      </w:r>
      <w:r>
        <w:rPr>
          <w:rFonts w:hint="eastAsia" w:eastAsia="仿宋_GB2312" w:cs="Times New Roman"/>
          <w:b/>
          <w:bCs w:val="0"/>
          <w:color w:val="auto"/>
          <w:sz w:val="30"/>
          <w:szCs w:val="30"/>
          <w:u w:val="single"/>
          <w:lang w:val="en-US" w:eastAsia="zh-CN"/>
        </w:rPr>
        <w:t>6</w:t>
      </w:r>
      <w:r>
        <w:rPr>
          <w:rFonts w:hint="default" w:ascii="Times New Roman" w:hAnsi="Times New Roman" w:eastAsia="仿宋_GB2312" w:cs="Times New Roman"/>
          <w:b/>
          <w:bCs w:val="0"/>
          <w:color w:val="auto"/>
          <w:sz w:val="30"/>
          <w:szCs w:val="30"/>
          <w:u w:val="single"/>
          <w:lang w:val="en-US" w:eastAsia="zh-CN"/>
        </w:rPr>
        <w:t>年</w:t>
      </w:r>
      <w:r>
        <w:rPr>
          <w:rFonts w:hint="eastAsia" w:eastAsia="仿宋_GB2312" w:cs="Times New Roman"/>
          <w:b/>
          <w:bCs w:val="0"/>
          <w:color w:val="auto"/>
          <w:sz w:val="30"/>
          <w:szCs w:val="30"/>
          <w:u w:val="single"/>
          <w:lang w:val="en-US" w:eastAsia="zh-CN"/>
        </w:rPr>
        <w:t>7</w:t>
      </w:r>
      <w:r>
        <w:rPr>
          <w:rFonts w:hint="default" w:ascii="Times New Roman" w:hAnsi="Times New Roman" w:eastAsia="仿宋_GB2312" w:cs="Times New Roman"/>
          <w:b/>
          <w:bCs w:val="0"/>
          <w:color w:val="auto"/>
          <w:sz w:val="30"/>
          <w:szCs w:val="30"/>
          <w:u w:val="single"/>
          <w:lang w:val="en-US" w:eastAsia="zh-CN"/>
        </w:rPr>
        <w:t xml:space="preserve">月      </w:t>
      </w:r>
      <w:r>
        <w:rPr>
          <w:rFonts w:hint="eastAsia" w:eastAsia="仿宋_GB2312" w:cs="Times New Roman"/>
          <w:b/>
          <w:bCs w:val="0"/>
          <w:color w:val="auto"/>
          <w:sz w:val="30"/>
          <w:szCs w:val="30"/>
          <w:u w:val="single"/>
          <w:lang w:val="en-US" w:eastAsia="zh-CN"/>
        </w:rPr>
        <w:t xml:space="preserve">     </w:t>
      </w:r>
      <w:r>
        <w:rPr>
          <w:rFonts w:hint="default" w:ascii="Times New Roman" w:hAnsi="Times New Roman" w:eastAsia="仿宋_GB2312" w:cs="Times New Roman"/>
          <w:b/>
          <w:bCs w:val="0"/>
          <w:color w:val="auto"/>
          <w:sz w:val="30"/>
          <w:szCs w:val="30"/>
          <w:u w:val="single"/>
          <w:lang w:val="en-US" w:eastAsia="zh-CN"/>
        </w:rPr>
        <w:t xml:space="preserve">   </w:t>
      </w:r>
    </w:p>
    <w:p w14:paraId="3EA6C80F">
      <w:pPr>
        <w:adjustRightInd w:val="0"/>
        <w:snapToGrid w:val="0"/>
        <w:spacing w:line="288" w:lineRule="auto"/>
        <w:ind w:firstLine="1040"/>
        <w:rPr>
          <w:rFonts w:eastAsia="仿宋_GB2312"/>
          <w:b/>
          <w:bCs w:val="0"/>
          <w:color w:val="auto"/>
          <w:sz w:val="36"/>
          <w:szCs w:val="36"/>
          <w:u w:val="single"/>
        </w:rPr>
      </w:pPr>
    </w:p>
    <w:p w14:paraId="00982F07">
      <w:pPr>
        <w:adjustRightInd w:val="0"/>
        <w:snapToGrid w:val="0"/>
        <w:spacing w:line="288" w:lineRule="auto"/>
        <w:ind w:firstLine="1040"/>
        <w:rPr>
          <w:rFonts w:ascii="仿宋_GB2312" w:eastAsia="仿宋_GB2312"/>
          <w:b/>
          <w:bCs w:val="0"/>
          <w:color w:val="auto"/>
          <w:sz w:val="36"/>
          <w:szCs w:val="36"/>
        </w:rPr>
      </w:pPr>
    </w:p>
    <w:p w14:paraId="0E4F9EBC">
      <w:pPr>
        <w:adjustRightInd w:val="0"/>
        <w:snapToGrid w:val="0"/>
        <w:spacing w:line="288" w:lineRule="auto"/>
        <w:ind w:firstLine="1040"/>
        <w:rPr>
          <w:rFonts w:hint="eastAsia" w:ascii="仿宋_GB2312" w:eastAsia="仿宋_GB2312"/>
          <w:b/>
          <w:bCs w:val="0"/>
          <w:color w:val="auto"/>
          <w:sz w:val="36"/>
          <w:szCs w:val="36"/>
        </w:rPr>
      </w:pPr>
    </w:p>
    <w:p w14:paraId="5A8490A6">
      <w:pPr>
        <w:adjustRightInd w:val="0"/>
        <w:snapToGrid w:val="0"/>
        <w:spacing w:line="288" w:lineRule="auto"/>
        <w:rPr>
          <w:rFonts w:hint="eastAsia" w:ascii="仿宋_GB2312" w:eastAsia="仿宋_GB2312"/>
          <w:b/>
          <w:bCs w:val="0"/>
          <w:color w:val="auto"/>
          <w:sz w:val="36"/>
          <w:szCs w:val="36"/>
        </w:rPr>
      </w:pPr>
    </w:p>
    <w:p w14:paraId="4AC3986B">
      <w:pPr>
        <w:adjustRightInd w:val="0"/>
        <w:snapToGrid w:val="0"/>
        <w:spacing w:line="288" w:lineRule="auto"/>
        <w:ind w:firstLine="1040"/>
        <w:rPr>
          <w:rFonts w:hint="eastAsia" w:ascii="仿宋_GB2312" w:eastAsia="仿宋_GB2312"/>
          <w:b/>
          <w:bCs w:val="0"/>
          <w:color w:val="auto"/>
          <w:sz w:val="36"/>
          <w:szCs w:val="36"/>
        </w:rPr>
      </w:pPr>
    </w:p>
    <w:p w14:paraId="5D687A64">
      <w:pPr>
        <w:adjustRightInd w:val="0"/>
        <w:snapToGrid w:val="0"/>
        <w:spacing w:line="288" w:lineRule="auto"/>
        <w:jc w:val="center"/>
        <w:rPr>
          <w:rFonts w:ascii="楷体_GB2312" w:eastAsia="楷体_GB2312"/>
          <w:b/>
          <w:bCs w:val="0"/>
          <w:color w:val="auto"/>
          <w:sz w:val="36"/>
          <w:szCs w:val="36"/>
        </w:rPr>
      </w:pPr>
      <w:r>
        <w:rPr>
          <w:rFonts w:hint="eastAsia" w:ascii="楷体_GB2312" w:eastAsia="楷体_GB2312"/>
          <w:b/>
          <w:bCs w:val="0"/>
          <w:color w:val="auto"/>
          <w:sz w:val="36"/>
          <w:szCs w:val="36"/>
        </w:rPr>
        <w:t>中华人民共和国生态环境部制</w:t>
      </w:r>
    </w:p>
    <w:p w14:paraId="49885D99">
      <w:pPr>
        <w:pStyle w:val="1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黑体" w:hAnsi="黑体" w:eastAsia="黑体"/>
          <w:snapToGrid w:val="0"/>
          <w:color w:val="auto"/>
          <w:sz w:val="30"/>
          <w:szCs w:val="30"/>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3D06DEF">
      <w:pPr>
        <w:pStyle w:val="18"/>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黑体" w:hAnsi="黑体" w:eastAsia="黑体"/>
          <w:snapToGrid w:val="0"/>
          <w:color w:val="auto"/>
          <w:sz w:val="30"/>
          <w:szCs w:val="30"/>
        </w:rPr>
      </w:pPr>
      <w:r>
        <w:rPr>
          <w:rFonts w:hint="eastAsia" w:ascii="黑体" w:hAnsi="黑体" w:eastAsia="黑体"/>
          <w:snapToGrid w:val="0"/>
          <w:color w:val="auto"/>
          <w:sz w:val="30"/>
          <w:szCs w:val="30"/>
        </w:rPr>
        <w:t>一、建设项目基本情况</w:t>
      </w:r>
    </w:p>
    <w:tbl>
      <w:tblPr>
        <w:tblStyle w:val="19"/>
        <w:tblW w:w="89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68"/>
        <w:gridCol w:w="2422"/>
        <w:gridCol w:w="1718"/>
        <w:gridCol w:w="2865"/>
      </w:tblGrid>
      <w:tr w14:paraId="278B7D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1968" w:type="dxa"/>
            <w:noWrap w:val="0"/>
            <w:tcMar>
              <w:top w:w="16" w:type="dxa"/>
              <w:left w:w="16" w:type="dxa"/>
              <w:right w:w="16" w:type="dxa"/>
            </w:tcMar>
            <w:vAlign w:val="center"/>
          </w:tcPr>
          <w:p w14:paraId="277D571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005" w:type="dxa"/>
            <w:gridSpan w:val="3"/>
            <w:noWrap w:val="0"/>
            <w:vAlign w:val="center"/>
          </w:tcPr>
          <w:p w14:paraId="1D864DE1">
            <w:pPr>
              <w:adjustRightInd w:val="0"/>
              <w:snapToGrid w:val="0"/>
              <w:jc w:val="center"/>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阳安线上行K155+746汉江3号桥基础冲刷病害整治工程</w:t>
            </w:r>
          </w:p>
        </w:tc>
      </w:tr>
      <w:tr w14:paraId="20963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1968" w:type="dxa"/>
            <w:noWrap w:val="0"/>
            <w:tcMar>
              <w:top w:w="16" w:type="dxa"/>
              <w:left w:w="16" w:type="dxa"/>
              <w:right w:w="16" w:type="dxa"/>
            </w:tcMar>
            <w:vAlign w:val="center"/>
          </w:tcPr>
          <w:p w14:paraId="3DFB751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7005" w:type="dxa"/>
            <w:gridSpan w:val="3"/>
            <w:noWrap w:val="0"/>
            <w:vAlign w:val="center"/>
          </w:tcPr>
          <w:p w14:paraId="093ABBD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r>
      <w:tr w14:paraId="7F9CBF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1968" w:type="dxa"/>
            <w:noWrap w:val="0"/>
            <w:tcMar>
              <w:top w:w="16" w:type="dxa"/>
              <w:left w:w="16" w:type="dxa"/>
              <w:right w:w="16" w:type="dxa"/>
            </w:tcMar>
            <w:vAlign w:val="center"/>
          </w:tcPr>
          <w:p w14:paraId="0859DA4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422" w:type="dxa"/>
            <w:noWrap w:val="0"/>
            <w:vAlign w:val="center"/>
          </w:tcPr>
          <w:p w14:paraId="020954CF">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李成安</w:t>
            </w:r>
          </w:p>
        </w:tc>
        <w:tc>
          <w:tcPr>
            <w:tcW w:w="1718" w:type="dxa"/>
            <w:noWrap w:val="0"/>
            <w:vAlign w:val="center"/>
          </w:tcPr>
          <w:p w14:paraId="0E135896">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联系方式</w:t>
            </w:r>
          </w:p>
        </w:tc>
        <w:tc>
          <w:tcPr>
            <w:tcW w:w="2865" w:type="dxa"/>
            <w:noWrap w:val="0"/>
            <w:vAlign w:val="center"/>
          </w:tcPr>
          <w:p w14:paraId="0E6BF5F3">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18109163638</w:t>
            </w:r>
          </w:p>
        </w:tc>
      </w:tr>
      <w:tr w14:paraId="5EB69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1968" w:type="dxa"/>
            <w:noWrap w:val="0"/>
            <w:tcMar>
              <w:top w:w="16" w:type="dxa"/>
              <w:left w:w="16" w:type="dxa"/>
              <w:right w:w="16" w:type="dxa"/>
            </w:tcMar>
            <w:vAlign w:val="center"/>
          </w:tcPr>
          <w:p w14:paraId="74EECEB1">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005" w:type="dxa"/>
            <w:gridSpan w:val="3"/>
            <w:noWrap w:val="0"/>
            <w:vAlign w:val="center"/>
          </w:tcPr>
          <w:p w14:paraId="5FA0C628">
            <w:pPr>
              <w:adjustRightInd w:val="0"/>
              <w:snapToGrid w:val="0"/>
              <w:jc w:val="center"/>
              <w:rPr>
                <w:rFonts w:hint="default" w:ascii="Times New Roman" w:hAnsi="Times New Roman" w:cs="Times New Roman"/>
                <w:color w:val="auto"/>
                <w:sz w:val="24"/>
                <w:szCs w:val="24"/>
                <w:lang w:val="en-US"/>
              </w:rPr>
            </w:pPr>
            <w:r>
              <w:rPr>
                <w:rFonts w:hint="eastAsia" w:cs="Times New Roman"/>
                <w:color w:val="auto"/>
                <w:sz w:val="24"/>
                <w:szCs w:val="24"/>
                <w:u w:val="none"/>
                <w:lang w:val="en-US" w:eastAsia="zh-CN"/>
              </w:rPr>
              <w:t>陕西省汉中市洋县谢村镇海莲村</w:t>
            </w:r>
          </w:p>
        </w:tc>
      </w:tr>
      <w:tr w14:paraId="5ED44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6" w:hRule="atLeast"/>
          <w:jc w:val="center"/>
        </w:trPr>
        <w:tc>
          <w:tcPr>
            <w:tcW w:w="1968" w:type="dxa"/>
            <w:noWrap w:val="0"/>
            <w:tcMar>
              <w:top w:w="16" w:type="dxa"/>
              <w:left w:w="16" w:type="dxa"/>
              <w:right w:w="16" w:type="dxa"/>
            </w:tcMar>
            <w:vAlign w:val="center"/>
          </w:tcPr>
          <w:p w14:paraId="15F7A2DE">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7005" w:type="dxa"/>
            <w:gridSpan w:val="3"/>
            <w:noWrap w:val="0"/>
            <w:vAlign w:val="center"/>
          </w:tcPr>
          <w:p w14:paraId="701C4B45">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起点：</w:t>
            </w:r>
            <w:r>
              <w:rPr>
                <w:rFonts w:hint="default" w:ascii="Times New Roman" w:hAnsi="Times New Roman" w:cs="Times New Roman"/>
                <w:color w:val="auto"/>
                <w:sz w:val="24"/>
                <w:szCs w:val="24"/>
                <w:u w:val="single"/>
              </w:rPr>
              <w:t>10</w:t>
            </w:r>
            <w:r>
              <w:rPr>
                <w:rFonts w:hint="eastAsia" w:cs="Times New Roman"/>
                <w:color w:val="auto"/>
                <w:sz w:val="24"/>
                <w:szCs w:val="24"/>
                <w:u w:val="single"/>
                <w:lang w:val="en-US" w:eastAsia="zh-CN"/>
              </w:rPr>
              <w:t>7</w:t>
            </w:r>
            <w:r>
              <w:rPr>
                <w:rFonts w:hint="default" w:ascii="Times New Roman" w:hAnsi="Times New Roman" w:cs="Times New Roman"/>
                <w:color w:val="auto"/>
                <w:sz w:val="24"/>
                <w:szCs w:val="24"/>
              </w:rPr>
              <w:t>度</w:t>
            </w:r>
            <w:r>
              <w:rPr>
                <w:rFonts w:hint="eastAsia" w:cs="Times New Roman"/>
                <w:color w:val="auto"/>
                <w:sz w:val="24"/>
                <w:szCs w:val="24"/>
                <w:u w:val="single"/>
                <w:lang w:val="en-US" w:eastAsia="zh-CN"/>
              </w:rPr>
              <w:t>24</w:t>
            </w:r>
            <w:r>
              <w:rPr>
                <w:rFonts w:hint="default" w:ascii="Times New Roman" w:hAnsi="Times New Roman" w:cs="Times New Roman"/>
                <w:color w:val="auto"/>
                <w:sz w:val="24"/>
                <w:szCs w:val="24"/>
              </w:rPr>
              <w:t>分</w:t>
            </w:r>
            <w:r>
              <w:rPr>
                <w:rFonts w:hint="eastAsia" w:cs="Times New Roman"/>
                <w:color w:val="auto"/>
                <w:sz w:val="24"/>
                <w:szCs w:val="24"/>
                <w:u w:val="single"/>
                <w:lang w:val="en-US" w:eastAsia="zh-CN"/>
              </w:rPr>
              <w:t>47.441</w:t>
            </w:r>
            <w:r>
              <w:rPr>
                <w:rFonts w:hint="default" w:ascii="Times New Roman" w:hAnsi="Times New Roman" w:cs="Times New Roman"/>
                <w:color w:val="auto"/>
                <w:sz w:val="24"/>
                <w:szCs w:val="24"/>
              </w:rPr>
              <w:t>秒，</w:t>
            </w:r>
            <w:r>
              <w:rPr>
                <w:rFonts w:hint="default" w:ascii="Times New Roman" w:hAnsi="Times New Roman" w:cs="Times New Roman"/>
                <w:color w:val="auto"/>
                <w:sz w:val="24"/>
                <w:szCs w:val="24"/>
                <w:u w:val="single"/>
              </w:rPr>
              <w:t>3</w:t>
            </w:r>
            <w:r>
              <w:rPr>
                <w:rFonts w:hint="eastAsia" w:cs="Times New Roman"/>
                <w:color w:val="auto"/>
                <w:sz w:val="24"/>
                <w:szCs w:val="24"/>
                <w:u w:val="single"/>
                <w:lang w:val="en-US" w:eastAsia="zh-CN"/>
              </w:rPr>
              <w:t>3</w:t>
            </w:r>
            <w:r>
              <w:rPr>
                <w:rFonts w:hint="default" w:ascii="Times New Roman" w:hAnsi="Times New Roman" w:cs="Times New Roman"/>
                <w:color w:val="auto"/>
                <w:sz w:val="24"/>
                <w:szCs w:val="24"/>
              </w:rPr>
              <w:t>度</w:t>
            </w:r>
            <w:r>
              <w:rPr>
                <w:rFonts w:hint="eastAsia" w:cs="Times New Roman"/>
                <w:color w:val="auto"/>
                <w:sz w:val="24"/>
                <w:szCs w:val="24"/>
                <w:u w:val="single"/>
                <w:lang w:val="en-US" w:eastAsia="zh-CN"/>
              </w:rPr>
              <w:t>9</w:t>
            </w:r>
            <w:r>
              <w:rPr>
                <w:rFonts w:hint="default" w:ascii="Times New Roman" w:hAnsi="Times New Roman" w:cs="Times New Roman"/>
                <w:color w:val="auto"/>
                <w:sz w:val="24"/>
                <w:szCs w:val="24"/>
              </w:rPr>
              <w:t>分</w:t>
            </w:r>
            <w:r>
              <w:rPr>
                <w:rFonts w:hint="eastAsia" w:cs="Times New Roman"/>
                <w:color w:val="auto"/>
                <w:sz w:val="24"/>
                <w:szCs w:val="24"/>
                <w:u w:val="single"/>
                <w:lang w:val="en-US" w:eastAsia="zh-CN"/>
              </w:rPr>
              <w:t>40.463</w:t>
            </w:r>
            <w:r>
              <w:rPr>
                <w:rFonts w:hint="default" w:ascii="Times New Roman" w:hAnsi="Times New Roman" w:cs="Times New Roman"/>
                <w:color w:val="auto"/>
                <w:sz w:val="24"/>
                <w:szCs w:val="24"/>
              </w:rPr>
              <w:t>秒</w:t>
            </w:r>
          </w:p>
          <w:p w14:paraId="109A4990">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终点：</w:t>
            </w:r>
            <w:r>
              <w:rPr>
                <w:rFonts w:hint="default" w:ascii="Times New Roman" w:hAnsi="Times New Roman" w:cs="Times New Roman"/>
                <w:color w:val="auto"/>
                <w:sz w:val="24"/>
                <w:szCs w:val="24"/>
                <w:u w:val="single"/>
              </w:rPr>
              <w:t>10</w:t>
            </w:r>
            <w:r>
              <w:rPr>
                <w:rFonts w:hint="eastAsia" w:cs="Times New Roman"/>
                <w:color w:val="auto"/>
                <w:sz w:val="24"/>
                <w:szCs w:val="24"/>
                <w:u w:val="single"/>
                <w:lang w:val="en-US" w:eastAsia="zh-CN"/>
              </w:rPr>
              <w:t>7</w:t>
            </w:r>
            <w:r>
              <w:rPr>
                <w:rFonts w:hint="default" w:ascii="Times New Roman" w:hAnsi="Times New Roman" w:cs="Times New Roman"/>
                <w:color w:val="auto"/>
                <w:sz w:val="24"/>
                <w:szCs w:val="24"/>
              </w:rPr>
              <w:t>度</w:t>
            </w:r>
            <w:r>
              <w:rPr>
                <w:rFonts w:hint="eastAsia" w:cs="Times New Roman"/>
                <w:color w:val="auto"/>
                <w:sz w:val="24"/>
                <w:szCs w:val="24"/>
                <w:u w:val="single"/>
                <w:lang w:val="en-US" w:eastAsia="zh-CN"/>
              </w:rPr>
              <w:t>25</w:t>
            </w:r>
            <w:r>
              <w:rPr>
                <w:rFonts w:hint="default" w:ascii="Times New Roman" w:hAnsi="Times New Roman" w:cs="Times New Roman"/>
                <w:color w:val="auto"/>
                <w:sz w:val="24"/>
                <w:szCs w:val="24"/>
              </w:rPr>
              <w:t>分</w:t>
            </w:r>
            <w:r>
              <w:rPr>
                <w:rFonts w:hint="eastAsia" w:cs="Times New Roman"/>
                <w:color w:val="auto"/>
                <w:sz w:val="24"/>
                <w:szCs w:val="24"/>
                <w:u w:val="single"/>
                <w:lang w:val="en-US" w:eastAsia="zh-CN"/>
              </w:rPr>
              <w:t>4.513</w:t>
            </w:r>
            <w:r>
              <w:rPr>
                <w:rFonts w:hint="default" w:ascii="Times New Roman" w:hAnsi="Times New Roman" w:cs="Times New Roman"/>
                <w:color w:val="auto"/>
                <w:sz w:val="24"/>
                <w:szCs w:val="24"/>
              </w:rPr>
              <w:t>秒，</w:t>
            </w:r>
            <w:r>
              <w:rPr>
                <w:rFonts w:hint="default" w:ascii="Times New Roman" w:hAnsi="Times New Roman" w:cs="Times New Roman"/>
                <w:color w:val="auto"/>
                <w:sz w:val="24"/>
                <w:szCs w:val="24"/>
                <w:u w:val="single"/>
              </w:rPr>
              <w:t>3</w:t>
            </w:r>
            <w:r>
              <w:rPr>
                <w:rFonts w:hint="eastAsia" w:cs="Times New Roman"/>
                <w:color w:val="auto"/>
                <w:sz w:val="24"/>
                <w:szCs w:val="24"/>
                <w:u w:val="single"/>
                <w:lang w:val="en-US" w:eastAsia="zh-CN"/>
              </w:rPr>
              <w:t>3</w:t>
            </w:r>
            <w:r>
              <w:rPr>
                <w:rFonts w:hint="default" w:ascii="Times New Roman" w:hAnsi="Times New Roman" w:cs="Times New Roman"/>
                <w:color w:val="auto"/>
                <w:sz w:val="24"/>
                <w:szCs w:val="24"/>
              </w:rPr>
              <w:t>度</w:t>
            </w:r>
            <w:r>
              <w:rPr>
                <w:rFonts w:hint="eastAsia" w:cs="Times New Roman"/>
                <w:color w:val="auto"/>
                <w:sz w:val="24"/>
                <w:szCs w:val="24"/>
                <w:u w:val="single"/>
                <w:lang w:val="en-US" w:eastAsia="zh-CN"/>
              </w:rPr>
              <w:t>9</w:t>
            </w:r>
            <w:r>
              <w:rPr>
                <w:rFonts w:hint="default" w:ascii="Times New Roman" w:hAnsi="Times New Roman" w:cs="Times New Roman"/>
                <w:color w:val="auto"/>
                <w:sz w:val="24"/>
                <w:szCs w:val="24"/>
              </w:rPr>
              <w:t>分</w:t>
            </w:r>
            <w:r>
              <w:rPr>
                <w:rFonts w:hint="eastAsia" w:cs="Times New Roman"/>
                <w:color w:val="auto"/>
                <w:sz w:val="24"/>
                <w:szCs w:val="24"/>
                <w:lang w:val="en-US" w:eastAsia="zh-CN"/>
              </w:rPr>
              <w:t>29.649</w:t>
            </w:r>
            <w:r>
              <w:rPr>
                <w:rFonts w:hint="default" w:ascii="Times New Roman" w:hAnsi="Times New Roman" w:cs="Times New Roman"/>
                <w:color w:val="auto"/>
                <w:sz w:val="24"/>
                <w:szCs w:val="24"/>
              </w:rPr>
              <w:t>秒</w:t>
            </w:r>
            <w:r>
              <w:rPr>
                <w:rFonts w:hint="eastAsia" w:cs="Times New Roman"/>
                <w:color w:val="auto"/>
                <w:sz w:val="24"/>
                <w:szCs w:val="24"/>
                <w:lang w:val="en-US" w:eastAsia="zh-CN"/>
              </w:rPr>
              <w:t>；</w:t>
            </w:r>
          </w:p>
        </w:tc>
      </w:tr>
      <w:tr w14:paraId="22175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3" w:hRule="atLeast"/>
          <w:jc w:val="center"/>
        </w:trPr>
        <w:tc>
          <w:tcPr>
            <w:tcW w:w="1968" w:type="dxa"/>
            <w:noWrap w:val="0"/>
            <w:tcMar>
              <w:top w:w="16" w:type="dxa"/>
              <w:left w:w="16" w:type="dxa"/>
              <w:right w:w="16" w:type="dxa"/>
            </w:tcMar>
            <w:vAlign w:val="center"/>
          </w:tcPr>
          <w:p w14:paraId="5C5B47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bookmarkStart w:id="1" w:name="_Hlk49843745"/>
            <w:r>
              <w:rPr>
                <w:rFonts w:hint="default" w:ascii="Times New Roman" w:hAnsi="Times New Roman" w:cs="Times New Roman"/>
                <w:color w:val="auto"/>
                <w:sz w:val="24"/>
                <w:szCs w:val="24"/>
              </w:rPr>
              <w:t>建设项目</w:t>
            </w:r>
          </w:p>
          <w:p w14:paraId="119AC1A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bookmarkEnd w:id="1"/>
          </w:p>
        </w:tc>
        <w:tc>
          <w:tcPr>
            <w:tcW w:w="2422" w:type="dxa"/>
            <w:noWrap w:val="0"/>
            <w:vAlign w:val="center"/>
          </w:tcPr>
          <w:p w14:paraId="6B406F23">
            <w:pPr>
              <w:pStyle w:val="7"/>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color w:val="auto"/>
                <w:lang w:val="en-US" w:eastAsia="zh-CN"/>
              </w:rPr>
            </w:pPr>
            <w:r>
              <w:rPr>
                <w:rFonts w:hint="eastAsia" w:cs="Times New Roman"/>
                <w:color w:val="auto"/>
                <w:kern w:val="2"/>
                <w:sz w:val="24"/>
                <w:szCs w:val="24"/>
                <w:lang w:val="en-US" w:eastAsia="zh-CN" w:bidi="ar-SA"/>
              </w:rPr>
              <w:t>五十二、交通运输业、管道运输业-133、改建铁路</w:t>
            </w:r>
          </w:p>
        </w:tc>
        <w:tc>
          <w:tcPr>
            <w:tcW w:w="1718" w:type="dxa"/>
            <w:noWrap w:val="0"/>
            <w:vAlign w:val="center"/>
          </w:tcPr>
          <w:p w14:paraId="483A277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eastAsia" w:ascii="Times New Roman" w:hAnsi="Times New Roman" w:eastAsia="宋体" w:cs="Times New Roman"/>
                <w:color w:val="auto"/>
                <w:sz w:val="24"/>
                <w:szCs w:val="24"/>
                <w:lang w:val="en-US" w:eastAsia="zh-CN"/>
              </w:rPr>
              <w:t>用地（用海）面积（m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）/长度（km）</w:t>
            </w:r>
          </w:p>
        </w:tc>
        <w:tc>
          <w:tcPr>
            <w:tcW w:w="2865" w:type="dxa"/>
            <w:noWrap w:val="0"/>
            <w:vAlign w:val="center"/>
          </w:tcPr>
          <w:p w14:paraId="7648FCC4">
            <w:pPr>
              <w:numPr>
                <w:ilvl w:val="0"/>
                <w:numId w:val="0"/>
              </w:numPr>
              <w:adjustRightInd w:val="0"/>
              <w:snapToGrid w:val="0"/>
              <w:jc w:val="center"/>
              <w:rPr>
                <w:rFonts w:hint="eastAsia" w:cs="Times New Roman"/>
                <w:color w:val="auto"/>
                <w:sz w:val="24"/>
                <w:szCs w:val="24"/>
                <w:vertAlign w:val="baseline"/>
                <w:lang w:val="en-US" w:eastAsia="zh-CN"/>
              </w:rPr>
            </w:pPr>
            <w:r>
              <w:rPr>
                <w:rFonts w:hint="eastAsia" w:cs="Times New Roman"/>
                <w:color w:val="auto"/>
                <w:sz w:val="24"/>
                <w:szCs w:val="24"/>
                <w:vertAlign w:val="baseline"/>
                <w:lang w:val="en-US" w:eastAsia="zh-CN"/>
              </w:rPr>
              <w:t>永久占地：972.14</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2</w:t>
            </w:r>
          </w:p>
          <w:p w14:paraId="499DE356">
            <w:pPr>
              <w:numPr>
                <w:ilvl w:val="0"/>
                <w:numId w:val="0"/>
              </w:numPr>
              <w:adjustRightInd w:val="0"/>
              <w:snapToGrid w:val="0"/>
              <w:jc w:val="center"/>
              <w:rPr>
                <w:rFonts w:hint="default" w:cs="Times New Roman"/>
                <w:color w:val="auto"/>
                <w:sz w:val="24"/>
                <w:szCs w:val="24"/>
                <w:vertAlign w:val="baseline"/>
                <w:lang w:val="en-US" w:eastAsia="zh-CN"/>
              </w:rPr>
            </w:pPr>
            <w:r>
              <w:rPr>
                <w:rFonts w:hint="eastAsia" w:cs="Times New Roman"/>
                <w:color w:val="auto"/>
                <w:sz w:val="24"/>
                <w:szCs w:val="24"/>
                <w:vertAlign w:val="baseline"/>
                <w:lang w:val="en-US" w:eastAsia="zh-CN"/>
              </w:rPr>
              <w:t>临时占地：5700</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2</w:t>
            </w:r>
          </w:p>
          <w:p w14:paraId="4EB10888">
            <w:pPr>
              <w:numPr>
                <w:ilvl w:val="0"/>
                <w:numId w:val="0"/>
              </w:numPr>
              <w:adjustRightInd w:val="0"/>
              <w:snapToGrid w:val="0"/>
              <w:jc w:val="center"/>
              <w:rPr>
                <w:rFonts w:hint="default" w:ascii="Times New Roman" w:hAnsi="Times New Roman" w:eastAsia="宋体" w:cs="Times New Roman"/>
                <w:color w:val="auto"/>
                <w:sz w:val="24"/>
                <w:szCs w:val="24"/>
                <w:vertAlign w:val="baseline"/>
                <w:lang w:val="en-US" w:eastAsia="zh-CN"/>
              </w:rPr>
            </w:pPr>
            <w:r>
              <w:rPr>
                <w:rFonts w:hint="eastAsia" w:ascii="Times New Roman" w:hAnsi="Times New Roman" w:eastAsia="宋体" w:cs="Times New Roman"/>
                <w:color w:val="auto"/>
                <w:sz w:val="24"/>
                <w:szCs w:val="24"/>
                <w:vertAlign w:val="baseline"/>
                <w:lang w:val="en-US" w:eastAsia="zh-CN"/>
              </w:rPr>
              <w:t>长度</w:t>
            </w:r>
            <w:r>
              <w:rPr>
                <w:rFonts w:hint="eastAsia" w:cs="Times New Roman"/>
                <w:color w:val="auto"/>
                <w:sz w:val="24"/>
                <w:szCs w:val="24"/>
                <w:vertAlign w:val="baseline"/>
                <w:lang w:val="en-US" w:eastAsia="zh-CN"/>
              </w:rPr>
              <w:t>：0.737</w:t>
            </w:r>
            <w:r>
              <w:rPr>
                <w:rFonts w:hint="eastAsia" w:ascii="Times New Roman" w:hAnsi="Times New Roman" w:eastAsia="宋体" w:cs="Times New Roman"/>
                <w:color w:val="auto"/>
                <w:sz w:val="24"/>
                <w:szCs w:val="24"/>
                <w:lang w:val="en-US" w:eastAsia="zh-CN"/>
              </w:rPr>
              <w:t>km</w:t>
            </w:r>
            <w:r>
              <w:rPr>
                <w:rFonts w:hint="eastAsia" w:cs="Times New Roman"/>
                <w:color w:val="auto"/>
                <w:sz w:val="24"/>
                <w:szCs w:val="24"/>
                <w:vertAlign w:val="baseline"/>
                <w:lang w:val="en-US" w:eastAsia="zh-CN"/>
              </w:rPr>
              <w:t>。</w:t>
            </w:r>
          </w:p>
        </w:tc>
      </w:tr>
      <w:tr w14:paraId="1071F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87" w:hRule="atLeast"/>
          <w:jc w:val="center"/>
        </w:trPr>
        <w:tc>
          <w:tcPr>
            <w:tcW w:w="1968" w:type="dxa"/>
            <w:noWrap w:val="0"/>
            <w:tcMar>
              <w:top w:w="16" w:type="dxa"/>
              <w:left w:w="16" w:type="dxa"/>
              <w:right w:w="16" w:type="dxa"/>
            </w:tcMar>
            <w:vAlign w:val="center"/>
          </w:tcPr>
          <w:p w14:paraId="09C5DD63">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422" w:type="dxa"/>
            <w:noWrap w:val="0"/>
            <w:vAlign w:val="center"/>
          </w:tcPr>
          <w:p w14:paraId="09DC0AFE">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新建（迁建）</w:t>
            </w:r>
          </w:p>
          <w:p w14:paraId="4DDBD892">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改建</w:t>
            </w:r>
          </w:p>
          <w:p w14:paraId="247B4CF6">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□扩建</w:t>
            </w:r>
          </w:p>
          <w:p w14:paraId="622D8FE5">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□技术改造</w:t>
            </w:r>
          </w:p>
        </w:tc>
        <w:tc>
          <w:tcPr>
            <w:tcW w:w="1718" w:type="dxa"/>
            <w:noWrap w:val="0"/>
            <w:vAlign w:val="center"/>
          </w:tcPr>
          <w:p w14:paraId="3DBF9BA2">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14:paraId="72E432A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865" w:type="dxa"/>
            <w:noWrap w:val="0"/>
            <w:vAlign w:val="center"/>
          </w:tcPr>
          <w:p w14:paraId="3FBF3D3D">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 xml:space="preserve">首次申报项目             </w:t>
            </w:r>
          </w:p>
          <w:p w14:paraId="7B174D3B">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□不予批准后再次申报项目</w:t>
            </w:r>
          </w:p>
          <w:p w14:paraId="0FEDC52F">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□超五年重新审核项目     </w:t>
            </w:r>
          </w:p>
          <w:p w14:paraId="32709EA8">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□重大变动重新报批项目</w:t>
            </w:r>
          </w:p>
        </w:tc>
      </w:tr>
      <w:tr w14:paraId="0E515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0" w:hRule="atLeast"/>
          <w:jc w:val="center"/>
        </w:trPr>
        <w:tc>
          <w:tcPr>
            <w:tcW w:w="1968" w:type="dxa"/>
            <w:noWrap w:val="0"/>
            <w:tcMar>
              <w:top w:w="16" w:type="dxa"/>
              <w:left w:w="16" w:type="dxa"/>
              <w:right w:w="16" w:type="dxa"/>
            </w:tcMar>
            <w:vAlign w:val="center"/>
          </w:tcPr>
          <w:p w14:paraId="79DC168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14:paraId="1F6B545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备案）部门（选填）</w:t>
            </w:r>
          </w:p>
        </w:tc>
        <w:tc>
          <w:tcPr>
            <w:tcW w:w="2422" w:type="dxa"/>
            <w:noWrap w:val="0"/>
            <w:vAlign w:val="center"/>
          </w:tcPr>
          <w:p w14:paraId="5D085B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718" w:type="dxa"/>
            <w:noWrap w:val="0"/>
            <w:vAlign w:val="center"/>
          </w:tcPr>
          <w:p w14:paraId="7CCDA6CF">
            <w:pPr>
              <w:adjustRightInd w:val="0"/>
              <w:snapToGrid w:val="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14:paraId="48573E5C">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w:t>
            </w:r>
          </w:p>
          <w:p w14:paraId="06240C1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（选填）</w:t>
            </w:r>
          </w:p>
        </w:tc>
        <w:tc>
          <w:tcPr>
            <w:tcW w:w="2865" w:type="dxa"/>
            <w:noWrap w:val="0"/>
            <w:vAlign w:val="center"/>
          </w:tcPr>
          <w:p w14:paraId="172A55B5">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r>
      <w:tr w14:paraId="0643C9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1968" w:type="dxa"/>
            <w:noWrap w:val="0"/>
            <w:tcMar>
              <w:top w:w="16" w:type="dxa"/>
              <w:left w:w="16" w:type="dxa"/>
              <w:right w:w="16" w:type="dxa"/>
            </w:tcMar>
            <w:vAlign w:val="center"/>
          </w:tcPr>
          <w:p w14:paraId="259BE7F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总投资（万元）</w:t>
            </w:r>
          </w:p>
        </w:tc>
        <w:tc>
          <w:tcPr>
            <w:tcW w:w="2422" w:type="dxa"/>
            <w:noWrap w:val="0"/>
            <w:vAlign w:val="center"/>
          </w:tcPr>
          <w:p w14:paraId="7D174463">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2510</w:t>
            </w:r>
          </w:p>
        </w:tc>
        <w:tc>
          <w:tcPr>
            <w:tcW w:w="1718" w:type="dxa"/>
            <w:noWrap w:val="0"/>
            <w:tcMar>
              <w:top w:w="16" w:type="dxa"/>
              <w:left w:w="16" w:type="dxa"/>
              <w:right w:w="16" w:type="dxa"/>
            </w:tcMar>
            <w:vAlign w:val="center"/>
          </w:tcPr>
          <w:p w14:paraId="09D7DCF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环保投资（万元）</w:t>
            </w:r>
          </w:p>
        </w:tc>
        <w:tc>
          <w:tcPr>
            <w:tcW w:w="2865" w:type="dxa"/>
            <w:noWrap w:val="0"/>
            <w:vAlign w:val="center"/>
          </w:tcPr>
          <w:p w14:paraId="25DA96AE">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44.5</w:t>
            </w:r>
          </w:p>
        </w:tc>
      </w:tr>
      <w:tr w14:paraId="07E00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968" w:type="dxa"/>
            <w:noWrap w:val="0"/>
            <w:tcMar>
              <w:top w:w="16" w:type="dxa"/>
              <w:left w:w="16" w:type="dxa"/>
              <w:right w:w="16" w:type="dxa"/>
            </w:tcMar>
            <w:vAlign w:val="center"/>
          </w:tcPr>
          <w:p w14:paraId="53A77723">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环保投资占比（%）</w:t>
            </w:r>
          </w:p>
        </w:tc>
        <w:tc>
          <w:tcPr>
            <w:tcW w:w="2422" w:type="dxa"/>
            <w:noWrap w:val="0"/>
            <w:vAlign w:val="center"/>
          </w:tcPr>
          <w:p w14:paraId="4564454D">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1.77</w:t>
            </w:r>
          </w:p>
        </w:tc>
        <w:tc>
          <w:tcPr>
            <w:tcW w:w="1718" w:type="dxa"/>
            <w:noWrap w:val="0"/>
            <w:tcMar>
              <w:top w:w="16" w:type="dxa"/>
              <w:left w:w="16" w:type="dxa"/>
              <w:right w:w="16" w:type="dxa"/>
            </w:tcMar>
            <w:vAlign w:val="center"/>
          </w:tcPr>
          <w:p w14:paraId="2E0D9824">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施工工期</w:t>
            </w:r>
          </w:p>
        </w:tc>
        <w:tc>
          <w:tcPr>
            <w:tcW w:w="2865" w:type="dxa"/>
            <w:noWrap w:val="0"/>
            <w:vAlign w:val="center"/>
          </w:tcPr>
          <w:p w14:paraId="5B10EF08">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个月</w:t>
            </w:r>
          </w:p>
        </w:tc>
      </w:tr>
      <w:tr w14:paraId="0F2E5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3" w:hRule="atLeast"/>
          <w:jc w:val="center"/>
        </w:trPr>
        <w:tc>
          <w:tcPr>
            <w:tcW w:w="1968" w:type="dxa"/>
            <w:noWrap w:val="0"/>
            <w:tcMar>
              <w:top w:w="16" w:type="dxa"/>
              <w:left w:w="16" w:type="dxa"/>
              <w:right w:w="16" w:type="dxa"/>
            </w:tcMar>
            <w:vAlign w:val="center"/>
          </w:tcPr>
          <w:p w14:paraId="49C5E579">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7005" w:type="dxa"/>
            <w:gridSpan w:val="3"/>
            <w:noWrap w:val="0"/>
            <w:vAlign w:val="center"/>
          </w:tcPr>
          <w:p w14:paraId="50144DFD">
            <w:pPr>
              <w:adjustRightInd w:val="0"/>
              <w:snapToGrid w:val="0"/>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否</w:t>
            </w:r>
          </w:p>
          <w:p w14:paraId="77C5FAA2">
            <w:pPr>
              <w:adjustRightInd w:val="0"/>
              <w:snapToGrid w:val="0"/>
              <w:jc w:val="both"/>
              <w:rPr>
                <w:rFonts w:hint="default" w:ascii="Times New Roman" w:hAnsi="Times New Roman" w:eastAsia="宋体" w:cs="Times New Roman"/>
                <w:color w:val="auto"/>
                <w:sz w:val="24"/>
                <w:szCs w:val="24"/>
                <w:u w:val="single"/>
                <w:lang w:val="en-US" w:eastAsia="zh-CN"/>
              </w:rPr>
            </w:pPr>
            <w:r>
              <w:rPr>
                <w:rFonts w:hint="eastAsia" w:cs="Times New Roman"/>
                <w:color w:val="auto"/>
                <w:sz w:val="24"/>
                <w:szCs w:val="24"/>
                <w:lang w:eastAsia="zh-CN"/>
              </w:rPr>
              <w:t>□</w:t>
            </w:r>
            <w:r>
              <w:rPr>
                <w:rFonts w:hint="default" w:ascii="Times New Roman" w:hAnsi="Times New Roman" w:cs="Times New Roman"/>
                <w:color w:val="auto"/>
                <w:sz w:val="24"/>
                <w:szCs w:val="24"/>
              </w:rPr>
              <w:t>是</w:t>
            </w:r>
            <w:r>
              <w:rPr>
                <w:rFonts w:hint="eastAsia" w:cs="Times New Roman"/>
                <w:color w:val="auto"/>
                <w:sz w:val="24"/>
                <w:szCs w:val="24"/>
                <w:u w:val="single"/>
                <w:lang w:val="en-US" w:eastAsia="zh-CN"/>
              </w:rPr>
              <w:t xml:space="preserve">      </w:t>
            </w:r>
          </w:p>
        </w:tc>
      </w:tr>
      <w:tr w14:paraId="569815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68" w:type="dxa"/>
            <w:noWrap w:val="0"/>
            <w:vAlign w:val="center"/>
          </w:tcPr>
          <w:p w14:paraId="2680D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7005" w:type="dxa"/>
            <w:gridSpan w:val="3"/>
            <w:noWrap w:val="0"/>
            <w:vAlign w:val="center"/>
          </w:tcPr>
          <w:p w14:paraId="6C097D4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对照《建设项目环境影响报告表编制技术指南（生态影响类）</w:t>
            </w:r>
            <w:r>
              <w:rPr>
                <w:rFonts w:hint="eastAsia" w:cs="Times New Roman"/>
                <w:color w:val="auto"/>
                <w:kern w:val="0"/>
                <w:sz w:val="24"/>
                <w:szCs w:val="24"/>
                <w:lang w:val="en-US" w:eastAsia="zh-CN"/>
              </w:rPr>
              <w:t>（试行）》</w:t>
            </w:r>
            <w:r>
              <w:rPr>
                <w:rFonts w:hint="eastAsia" w:ascii="Times New Roman" w:hAnsi="Times New Roman" w:eastAsia="宋体" w:cs="Times New Roman"/>
                <w:color w:val="auto"/>
                <w:kern w:val="0"/>
                <w:sz w:val="24"/>
                <w:szCs w:val="24"/>
                <w:lang w:val="en-US" w:eastAsia="zh-CN"/>
              </w:rPr>
              <w:t>中专项评价设置原则表，本</w:t>
            </w:r>
            <w:r>
              <w:rPr>
                <w:rFonts w:hint="eastAsia" w:cs="Times New Roman"/>
                <w:color w:val="auto"/>
                <w:kern w:val="0"/>
                <w:sz w:val="24"/>
                <w:szCs w:val="24"/>
                <w:lang w:val="en-US" w:eastAsia="zh-CN"/>
              </w:rPr>
              <w:t>工程不</w:t>
            </w:r>
            <w:r>
              <w:rPr>
                <w:rFonts w:hint="eastAsia" w:ascii="Times New Roman" w:hAnsi="Times New Roman" w:eastAsia="宋体" w:cs="Times New Roman"/>
                <w:color w:val="auto"/>
                <w:kern w:val="0"/>
                <w:sz w:val="24"/>
                <w:szCs w:val="24"/>
                <w:lang w:val="en-US" w:eastAsia="zh-CN"/>
              </w:rPr>
              <w:t>设置专项评价，具体比对情况见表1-1。</w:t>
            </w:r>
          </w:p>
          <w:p w14:paraId="050F25C3">
            <w:pPr>
              <w:pStyle w:val="27"/>
              <w:spacing w:line="240" w:lineRule="auto"/>
              <w:jc w:val="center"/>
              <w:rPr>
                <w:rFonts w:hint="default" w:ascii="Times New Roman" w:hAnsi="Times New Roman" w:eastAsia="宋体" w:cs="Times New Roman"/>
                <w:b/>
                <w:bCs/>
                <w:color w:val="auto"/>
                <w:kern w:val="0"/>
                <w:sz w:val="21"/>
                <w:szCs w:val="21"/>
                <w:lang w:val="en-US" w:eastAsia="zh-CN"/>
              </w:rPr>
            </w:pPr>
          </w:p>
          <w:p w14:paraId="0C73A82C">
            <w:pPr>
              <w:pStyle w:val="27"/>
              <w:spacing w:line="240" w:lineRule="auto"/>
              <w:jc w:val="center"/>
              <w:rPr>
                <w:rFonts w:hint="default" w:ascii="Times New Roman" w:hAnsi="Times New Roman" w:eastAsia="宋体" w:cs="Times New Roman"/>
                <w:b/>
                <w:bCs/>
                <w:color w:val="auto"/>
                <w:kern w:val="0"/>
                <w:sz w:val="21"/>
                <w:szCs w:val="21"/>
                <w:lang w:val="en-US" w:eastAsia="zh-CN"/>
              </w:rPr>
            </w:pPr>
          </w:p>
          <w:p w14:paraId="617F0490">
            <w:pPr>
              <w:pStyle w:val="27"/>
              <w:spacing w:line="240" w:lineRule="auto"/>
              <w:jc w:val="center"/>
              <w:rPr>
                <w:rFonts w:hint="default" w:ascii="Times New Roman" w:hAnsi="Times New Roman" w:eastAsia="宋体" w:cs="Times New Roman"/>
                <w:b/>
                <w:bCs/>
                <w:color w:val="auto"/>
                <w:kern w:val="0"/>
                <w:sz w:val="21"/>
                <w:szCs w:val="21"/>
                <w:lang w:val="en-US" w:eastAsia="zh-CN"/>
              </w:rPr>
            </w:pPr>
          </w:p>
          <w:p w14:paraId="6F60FED7">
            <w:pPr>
              <w:pStyle w:val="27"/>
              <w:spacing w:line="240" w:lineRule="auto"/>
              <w:jc w:val="center"/>
              <w:rPr>
                <w:rFonts w:hint="default" w:ascii="Times New Roman" w:hAnsi="Times New Roman" w:eastAsia="宋体" w:cs="Times New Roman"/>
                <w:b/>
                <w:bCs/>
                <w:color w:val="auto"/>
                <w:kern w:val="0"/>
                <w:sz w:val="21"/>
                <w:szCs w:val="21"/>
                <w:lang w:val="en-US" w:eastAsia="zh-CN"/>
              </w:rPr>
            </w:pPr>
          </w:p>
          <w:p w14:paraId="6E116681">
            <w:pPr>
              <w:pStyle w:val="27"/>
              <w:spacing w:line="240" w:lineRule="auto"/>
              <w:jc w:val="center"/>
              <w:rPr>
                <w:rFonts w:hint="default" w:ascii="Times New Roman" w:hAnsi="Times New Roman" w:eastAsia="宋体" w:cs="Times New Roman"/>
                <w:b/>
                <w:bCs/>
                <w:color w:val="auto"/>
                <w:kern w:val="0"/>
                <w:sz w:val="21"/>
                <w:szCs w:val="21"/>
                <w:lang w:val="en-US" w:eastAsia="zh-CN"/>
              </w:rPr>
            </w:pPr>
          </w:p>
          <w:p w14:paraId="0ED71112">
            <w:pPr>
              <w:pStyle w:val="27"/>
              <w:spacing w:line="240" w:lineRule="auto"/>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表1</w:t>
            </w:r>
            <w:r>
              <w:rPr>
                <w:rFonts w:hint="eastAsia" w:ascii="Times New Roman" w:hAnsi="Times New Roman" w:eastAsia="宋体" w:cs="Times New Roman"/>
                <w:b/>
                <w:bCs/>
                <w:color w:val="auto"/>
                <w:kern w:val="0"/>
                <w:sz w:val="21"/>
                <w:szCs w:val="21"/>
                <w:lang w:val="en-US" w:eastAsia="zh-CN"/>
              </w:rPr>
              <w:t>-1</w:t>
            </w:r>
            <w:r>
              <w:rPr>
                <w:rFonts w:hint="default" w:ascii="Times New Roman" w:hAnsi="Times New Roman" w:eastAsia="宋体" w:cs="Times New Roman"/>
                <w:b/>
                <w:bCs/>
                <w:color w:val="auto"/>
                <w:kern w:val="0"/>
                <w:sz w:val="21"/>
                <w:szCs w:val="21"/>
                <w:lang w:val="en-US" w:eastAsia="zh-CN"/>
              </w:rPr>
              <w:t xml:space="preserve">  专</w:t>
            </w:r>
            <w:r>
              <w:rPr>
                <w:rFonts w:hint="eastAsia" w:ascii="Times New Roman" w:hAnsi="Times New Roman" w:eastAsia="宋体" w:cs="Times New Roman"/>
                <w:b/>
                <w:bCs/>
                <w:color w:val="auto"/>
                <w:kern w:val="0"/>
                <w:sz w:val="21"/>
                <w:szCs w:val="21"/>
                <w:lang w:val="en-US" w:eastAsia="zh-CN"/>
              </w:rPr>
              <w:t>项评价设置比对表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4146"/>
              <w:gridCol w:w="1761"/>
            </w:tblGrid>
            <w:tr w14:paraId="0281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pct"/>
                  <w:noWrap w:val="0"/>
                  <w:vAlign w:val="center"/>
                </w:tcPr>
                <w:p w14:paraId="71ADEE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专项评价类别</w:t>
                  </w:r>
                </w:p>
              </w:tc>
              <w:tc>
                <w:tcPr>
                  <w:tcW w:w="3057" w:type="pct"/>
                  <w:noWrap w:val="0"/>
                  <w:vAlign w:val="center"/>
                </w:tcPr>
                <w:p w14:paraId="19E187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sz w:val="21"/>
                      <w:szCs w:val="21"/>
                      <w:lang w:eastAsia="zh-CN"/>
                    </w:rPr>
                  </w:pPr>
                  <w:r>
                    <w:rPr>
                      <w:rFonts w:hint="eastAsia" w:ascii="Times New Roman" w:hAnsi="Times New Roman" w:cs="Times New Roman"/>
                      <w:b/>
                      <w:bCs/>
                      <w:color w:val="auto"/>
                      <w:sz w:val="21"/>
                      <w:szCs w:val="21"/>
                      <w:lang w:eastAsia="zh-CN"/>
                    </w:rPr>
                    <w:t>涉及项目类别</w:t>
                  </w:r>
                </w:p>
              </w:tc>
              <w:tc>
                <w:tcPr>
                  <w:tcW w:w="1298" w:type="pct"/>
                  <w:noWrap w:val="0"/>
                  <w:vAlign w:val="center"/>
                </w:tcPr>
                <w:p w14:paraId="48F8C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lang w:eastAsia="zh-CN"/>
                    </w:rPr>
                  </w:pPr>
                  <w:r>
                    <w:rPr>
                      <w:rFonts w:hint="eastAsia" w:ascii="Times New Roman" w:hAnsi="Times New Roman" w:cs="Times New Roman"/>
                      <w:b/>
                      <w:bCs/>
                      <w:color w:val="auto"/>
                      <w:spacing w:val="-11"/>
                      <w:sz w:val="21"/>
                      <w:szCs w:val="21"/>
                      <w:lang w:val="en-US" w:eastAsia="zh-CN"/>
                    </w:rPr>
                    <w:t>本项目情况</w:t>
                  </w:r>
                </w:p>
              </w:tc>
            </w:tr>
            <w:tr w14:paraId="6047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pct"/>
                  <w:noWrap w:val="0"/>
                  <w:vAlign w:val="center"/>
                </w:tcPr>
                <w:p w14:paraId="03F508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地表水</w:t>
                  </w:r>
                </w:p>
              </w:tc>
              <w:tc>
                <w:tcPr>
                  <w:tcW w:w="3057" w:type="pct"/>
                  <w:noWrap w:val="0"/>
                  <w:vAlign w:val="center"/>
                </w:tcPr>
                <w:p w14:paraId="74469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水力发电：引水式发电、涉及调峰发电的项目；人工湖、人工湿地：全部；水库：全部；</w:t>
                  </w:r>
                </w:p>
                <w:p w14:paraId="76FC8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引水工程：全部（配套的管线工程等除外）；防洪除涝工程：包含水库的项目；</w:t>
                  </w:r>
                </w:p>
                <w:p w14:paraId="2E237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河湖整治：涉及清淤且底泥存在重金属污染的项目</w:t>
                  </w:r>
                </w:p>
              </w:tc>
              <w:tc>
                <w:tcPr>
                  <w:tcW w:w="1298" w:type="pct"/>
                  <w:noWrap w:val="0"/>
                  <w:vAlign w:val="center"/>
                </w:tcPr>
                <w:p w14:paraId="786091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w:t>
                  </w:r>
                  <w:r>
                    <w:rPr>
                      <w:rFonts w:hint="eastAsia" w:cs="Times New Roman"/>
                      <w:color w:val="auto"/>
                      <w:sz w:val="21"/>
                      <w:szCs w:val="21"/>
                      <w:lang w:val="en-US" w:eastAsia="zh-CN"/>
                    </w:rPr>
                    <w:t>工程</w:t>
                  </w:r>
                  <w:r>
                    <w:rPr>
                      <w:rFonts w:hint="eastAsia" w:ascii="Times New Roman" w:hAnsi="Times New Roman" w:eastAsia="宋体" w:cs="Times New Roman"/>
                      <w:color w:val="auto"/>
                      <w:sz w:val="21"/>
                      <w:szCs w:val="21"/>
                      <w:lang w:val="en-US" w:eastAsia="zh-CN"/>
                    </w:rPr>
                    <w:t>为</w:t>
                  </w:r>
                  <w:r>
                    <w:rPr>
                      <w:rFonts w:hint="eastAsia" w:cs="Times New Roman"/>
                      <w:color w:val="auto"/>
                      <w:sz w:val="21"/>
                      <w:szCs w:val="21"/>
                      <w:lang w:val="en-US" w:eastAsia="zh-CN"/>
                    </w:rPr>
                    <w:t>改建铁路桥工程</w:t>
                  </w:r>
                  <w:r>
                    <w:rPr>
                      <w:rFonts w:hint="eastAsia" w:ascii="Times New Roman" w:hAnsi="Times New Roman" w:eastAsia="宋体" w:cs="Times New Roman"/>
                      <w:color w:val="auto"/>
                      <w:sz w:val="21"/>
                      <w:szCs w:val="21"/>
                      <w:lang w:val="en-US" w:eastAsia="zh-CN"/>
                    </w:rPr>
                    <w:t>，不</w:t>
                  </w:r>
                  <w:r>
                    <w:rPr>
                      <w:rFonts w:hint="eastAsia" w:cs="Times New Roman"/>
                      <w:color w:val="auto"/>
                      <w:sz w:val="21"/>
                      <w:szCs w:val="21"/>
                      <w:lang w:val="en-US" w:eastAsia="zh-CN"/>
                    </w:rPr>
                    <w:t>属于</w:t>
                  </w:r>
                  <w:r>
                    <w:rPr>
                      <w:rFonts w:hint="eastAsia" w:ascii="Times New Roman" w:hAnsi="Times New Roman" w:eastAsia="宋体" w:cs="Times New Roman"/>
                      <w:color w:val="auto"/>
                      <w:sz w:val="21"/>
                      <w:szCs w:val="21"/>
                      <w:lang w:val="en-US" w:eastAsia="zh-CN"/>
                    </w:rPr>
                    <w:t>专项评价原则表所列行业，无须设置地表水专项评价</w:t>
                  </w:r>
                </w:p>
              </w:tc>
            </w:tr>
            <w:tr w14:paraId="43AF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3" w:type="pct"/>
                  <w:noWrap w:val="0"/>
                  <w:vAlign w:val="center"/>
                </w:tcPr>
                <w:p w14:paraId="09A7F6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地下水</w:t>
                  </w:r>
                </w:p>
              </w:tc>
              <w:tc>
                <w:tcPr>
                  <w:tcW w:w="3057" w:type="pct"/>
                  <w:noWrap w:val="0"/>
                  <w:vAlign w:val="center"/>
                </w:tcPr>
                <w:p w14:paraId="4E3C2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陆地石油和天然气开采：全部；</w:t>
                  </w:r>
                </w:p>
                <w:p w14:paraId="68F2C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地下水（含矿泉水）开采：全部；</w:t>
                  </w:r>
                </w:p>
                <w:p w14:paraId="08AD4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水利、水电、交通等：含穿越可溶岩地层隧道的项目</w:t>
                  </w:r>
                </w:p>
              </w:tc>
              <w:tc>
                <w:tcPr>
                  <w:tcW w:w="1298" w:type="pct"/>
                  <w:noWrap w:val="0"/>
                  <w:vAlign w:val="center"/>
                </w:tcPr>
                <w:p w14:paraId="298847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w:t>
                  </w:r>
                  <w:r>
                    <w:rPr>
                      <w:rFonts w:hint="eastAsia" w:cs="Times New Roman"/>
                      <w:color w:val="auto"/>
                      <w:sz w:val="21"/>
                      <w:szCs w:val="21"/>
                      <w:lang w:val="en-US" w:eastAsia="zh-CN"/>
                    </w:rPr>
                    <w:t>工程</w:t>
                  </w:r>
                  <w:r>
                    <w:rPr>
                      <w:rFonts w:hint="eastAsia" w:ascii="Times New Roman" w:hAnsi="Times New Roman" w:eastAsia="宋体" w:cs="Times New Roman"/>
                      <w:color w:val="auto"/>
                      <w:sz w:val="21"/>
                      <w:szCs w:val="21"/>
                      <w:lang w:val="en-US" w:eastAsia="zh-CN"/>
                    </w:rPr>
                    <w:t>不</w:t>
                  </w:r>
                  <w:r>
                    <w:rPr>
                      <w:rFonts w:hint="eastAsia" w:cs="Times New Roman"/>
                      <w:color w:val="auto"/>
                      <w:sz w:val="21"/>
                      <w:szCs w:val="21"/>
                      <w:lang w:val="en-US" w:eastAsia="zh-CN"/>
                    </w:rPr>
                    <w:t>属于</w:t>
                  </w:r>
                  <w:r>
                    <w:rPr>
                      <w:rFonts w:hint="eastAsia" w:ascii="Times New Roman" w:hAnsi="Times New Roman" w:eastAsia="宋体" w:cs="Times New Roman"/>
                      <w:color w:val="auto"/>
                      <w:sz w:val="21"/>
                      <w:szCs w:val="21"/>
                      <w:lang w:val="en-US" w:eastAsia="zh-CN"/>
                    </w:rPr>
                    <w:t>专项评价原则表所列行业，无须设置地下水专项评价</w:t>
                  </w:r>
                </w:p>
              </w:tc>
            </w:tr>
            <w:tr w14:paraId="71D7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noWrap w:val="0"/>
                  <w:vAlign w:val="center"/>
                </w:tcPr>
                <w:p w14:paraId="67A6E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生态</w:t>
                  </w:r>
                </w:p>
              </w:tc>
              <w:tc>
                <w:tcPr>
                  <w:tcW w:w="3057" w:type="pct"/>
                  <w:noWrap w:val="0"/>
                  <w:vAlign w:val="center"/>
                </w:tcPr>
                <w:p w14:paraId="427169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涉及环境敏感区（不包括饮用水水源保护区，以居住、医疗卫生、文化教育、科研、行政办公为主要功能的区域，以及文物保护单位）的项目</w:t>
                  </w:r>
                </w:p>
              </w:tc>
              <w:tc>
                <w:tcPr>
                  <w:tcW w:w="1298" w:type="pct"/>
                  <w:noWrap w:val="0"/>
                  <w:vAlign w:val="center"/>
                </w:tcPr>
                <w:p w14:paraId="584E93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highlight w:val="none"/>
                      <w:lang w:val="en-US" w:eastAsia="zh-CN"/>
                    </w:rPr>
                    <w:t>本项目属于改建铁路项目，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w:t>
                  </w:r>
                  <w:r>
                    <w:rPr>
                      <w:rFonts w:hint="default" w:ascii="Times New Roman" w:hAnsi="Times New Roman" w:eastAsia="宋体" w:cs="Times New Roman"/>
                      <w:color w:val="000000" w:themeColor="text1"/>
                      <w:sz w:val="21"/>
                      <w:szCs w:val="21"/>
                      <w:lang w:val="zh-CN"/>
                      <w14:textFill>
                        <w14:solidFill>
                          <w14:schemeClr w14:val="tx1"/>
                        </w14:solidFill>
                      </w14:textFill>
                    </w:rPr>
                    <w:t>《建设项目环境影响评价分类管理名录（2021年版）》1</w:t>
                  </w:r>
                  <w:r>
                    <w:rPr>
                      <w:rFonts w:hint="eastAsia" w:cs="Times New Roman"/>
                      <w:color w:val="000000" w:themeColor="text1"/>
                      <w:sz w:val="21"/>
                      <w:szCs w:val="21"/>
                      <w:lang w:val="en-US" w:eastAsia="zh-CN"/>
                      <w14:textFill>
                        <w14:solidFill>
                          <w14:schemeClr w14:val="tx1"/>
                        </w14:solidFill>
                      </w14:textFill>
                    </w:rPr>
                    <w:t>33</w:t>
                  </w:r>
                  <w:r>
                    <w:rPr>
                      <w:rFonts w:hint="default" w:ascii="Times New Roman" w:hAnsi="Times New Roman" w:eastAsia="宋体" w:cs="Times New Roman"/>
                      <w:color w:val="000000" w:themeColor="text1"/>
                      <w:sz w:val="21"/>
                      <w:szCs w:val="21"/>
                      <w:lang w:val="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改建铁路</w:t>
                  </w:r>
                  <w:r>
                    <w:rPr>
                      <w:rFonts w:hint="default" w:ascii="Times New Roman" w:hAnsi="Times New Roman" w:eastAsia="宋体" w:cs="Times New Roman"/>
                      <w:color w:val="000000" w:themeColor="text1"/>
                      <w:sz w:val="21"/>
                      <w:szCs w:val="21"/>
                      <w:lang w:val="zh-CN"/>
                      <w14:textFill>
                        <w14:solidFill>
                          <w14:schemeClr w14:val="tx1"/>
                        </w14:solidFill>
                      </w14:textFill>
                    </w:rPr>
                    <w:t>不设环境敏感区，因此不设置生态专题</w:t>
                  </w:r>
                </w:p>
              </w:tc>
            </w:tr>
            <w:tr w14:paraId="5BEC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643" w:type="pct"/>
                  <w:noWrap w:val="0"/>
                  <w:vAlign w:val="center"/>
                </w:tcPr>
                <w:p w14:paraId="69CCD4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大气</w:t>
                  </w:r>
                </w:p>
              </w:tc>
              <w:tc>
                <w:tcPr>
                  <w:tcW w:w="3057" w:type="pct"/>
                  <w:noWrap w:val="0"/>
                  <w:vAlign w:val="center"/>
                </w:tcPr>
                <w:p w14:paraId="22E1BC1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油气、液体化工码头：全部；</w:t>
                  </w:r>
                </w:p>
                <w:p w14:paraId="13BC01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干散货（含煤炭、矿石）、件杂、多用途、通用码头：涉及粉尘、挥发性有机物排放的项目</w:t>
                  </w:r>
                </w:p>
              </w:tc>
              <w:tc>
                <w:tcPr>
                  <w:tcW w:w="1298" w:type="pct"/>
                  <w:noWrap w:val="0"/>
                  <w:vAlign w:val="center"/>
                </w:tcPr>
                <w:p w14:paraId="6FCBCD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w:t>
                  </w:r>
                  <w:r>
                    <w:rPr>
                      <w:rFonts w:hint="eastAsia" w:cs="Times New Roman"/>
                      <w:color w:val="auto"/>
                      <w:sz w:val="21"/>
                      <w:szCs w:val="21"/>
                      <w:lang w:val="en-US" w:eastAsia="zh-CN"/>
                    </w:rPr>
                    <w:t>工程</w:t>
                  </w:r>
                  <w:r>
                    <w:rPr>
                      <w:rFonts w:hint="eastAsia" w:ascii="Times New Roman" w:hAnsi="Times New Roman" w:eastAsia="宋体" w:cs="Times New Roman"/>
                      <w:color w:val="auto"/>
                      <w:sz w:val="21"/>
                      <w:szCs w:val="21"/>
                      <w:lang w:val="en-US" w:eastAsia="zh-CN"/>
                    </w:rPr>
                    <w:t>不</w:t>
                  </w:r>
                  <w:r>
                    <w:rPr>
                      <w:rFonts w:hint="eastAsia" w:cs="Times New Roman"/>
                      <w:color w:val="auto"/>
                      <w:sz w:val="21"/>
                      <w:szCs w:val="21"/>
                      <w:lang w:val="en-US" w:eastAsia="zh-CN"/>
                    </w:rPr>
                    <w:t>属于</w:t>
                  </w:r>
                  <w:r>
                    <w:rPr>
                      <w:rFonts w:hint="eastAsia" w:ascii="Times New Roman" w:hAnsi="Times New Roman" w:eastAsia="宋体" w:cs="Times New Roman"/>
                      <w:color w:val="auto"/>
                      <w:sz w:val="21"/>
                      <w:szCs w:val="21"/>
                      <w:lang w:val="en-US" w:eastAsia="zh-CN"/>
                    </w:rPr>
                    <w:t>专项评价原则表所列行业，无须设置大气专项评价</w:t>
                  </w:r>
                </w:p>
              </w:tc>
            </w:tr>
            <w:tr w14:paraId="6EDC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643" w:type="pct"/>
                  <w:noWrap w:val="0"/>
                  <w:vAlign w:val="center"/>
                </w:tcPr>
                <w:p w14:paraId="6B4D61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噪声</w:t>
                  </w:r>
                </w:p>
              </w:tc>
              <w:tc>
                <w:tcPr>
                  <w:tcW w:w="3057" w:type="pct"/>
                  <w:noWrap w:val="0"/>
                  <w:vAlign w:val="center"/>
                </w:tcPr>
                <w:p w14:paraId="26A84F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公路、铁路、机场等交通运输业涉及环境敏感区（以居住、医疗卫生、文化教育、科研、行政办公为主要功能的区域）的项目；</w:t>
                  </w:r>
                </w:p>
                <w:p w14:paraId="5B5C02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城市道路（不含维护，不含支路、人行天桥、</w:t>
                  </w:r>
                </w:p>
                <w:p w14:paraId="2D30B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人行地道）：全部</w:t>
                  </w:r>
                </w:p>
              </w:tc>
              <w:tc>
                <w:tcPr>
                  <w:tcW w:w="1298" w:type="pct"/>
                  <w:noWrap w:val="0"/>
                  <w:vAlign w:val="center"/>
                </w:tcPr>
                <w:p w14:paraId="2C8BB3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w:t>
                  </w:r>
                  <w:r>
                    <w:rPr>
                      <w:rFonts w:hint="eastAsia" w:cs="Times New Roman"/>
                      <w:color w:val="auto"/>
                      <w:sz w:val="21"/>
                      <w:szCs w:val="21"/>
                      <w:lang w:val="en-US" w:eastAsia="zh-CN"/>
                    </w:rPr>
                    <w:t>工程</w:t>
                  </w:r>
                  <w:r>
                    <w:rPr>
                      <w:rFonts w:hint="eastAsia" w:cs="Times New Roman"/>
                      <w:color w:val="auto"/>
                      <w:sz w:val="21"/>
                      <w:szCs w:val="21"/>
                      <w:highlight w:val="none"/>
                      <w:lang w:val="en-US" w:eastAsia="zh-CN"/>
                    </w:rPr>
                    <w:t>属于改建铁路项目，不涉及环境敏感区</w:t>
                  </w:r>
                  <w:r>
                    <w:rPr>
                      <w:rFonts w:hint="eastAsia" w:ascii="Times New Roman" w:hAnsi="Times New Roman" w:eastAsia="宋体" w:cs="Times New Roman"/>
                      <w:color w:val="auto"/>
                      <w:sz w:val="21"/>
                      <w:szCs w:val="21"/>
                      <w:lang w:val="en-US" w:eastAsia="zh-CN"/>
                    </w:rPr>
                    <w:t>，无须设置噪声专项评价</w:t>
                  </w:r>
                </w:p>
              </w:tc>
            </w:tr>
            <w:tr w14:paraId="5FA4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643" w:type="pct"/>
                  <w:noWrap w:val="0"/>
                  <w:vAlign w:val="center"/>
                </w:tcPr>
                <w:p w14:paraId="49C9BB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环境风险</w:t>
                  </w:r>
                </w:p>
              </w:tc>
              <w:tc>
                <w:tcPr>
                  <w:tcW w:w="3057" w:type="pct"/>
                  <w:noWrap w:val="0"/>
                  <w:vAlign w:val="center"/>
                </w:tcPr>
                <w:p w14:paraId="638555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石油和天然气开采：全部；</w:t>
                  </w:r>
                </w:p>
                <w:p w14:paraId="1DED1A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油气、液体化工码头：全部；</w:t>
                  </w:r>
                </w:p>
                <w:p w14:paraId="275F2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原油、成品油、天然气管线（不含城镇天然气管线、企业厂区内管线），危险化学品输送管线（不含企业厂区内管线）：全部</w:t>
                  </w:r>
                </w:p>
              </w:tc>
              <w:tc>
                <w:tcPr>
                  <w:tcW w:w="1298" w:type="pct"/>
                  <w:noWrap w:val="0"/>
                  <w:vAlign w:val="center"/>
                </w:tcPr>
                <w:p w14:paraId="0C4A3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w:t>
                  </w:r>
                  <w:r>
                    <w:rPr>
                      <w:rFonts w:hint="eastAsia" w:cs="Times New Roman"/>
                      <w:color w:val="auto"/>
                      <w:sz w:val="21"/>
                      <w:szCs w:val="21"/>
                      <w:lang w:val="en-US" w:eastAsia="zh-CN"/>
                    </w:rPr>
                    <w:t>工程</w:t>
                  </w:r>
                  <w:r>
                    <w:rPr>
                      <w:rFonts w:hint="eastAsia" w:ascii="Times New Roman" w:hAnsi="Times New Roman" w:eastAsia="宋体" w:cs="Times New Roman"/>
                      <w:color w:val="auto"/>
                      <w:sz w:val="21"/>
                      <w:szCs w:val="21"/>
                      <w:lang w:val="en-US" w:eastAsia="zh-CN"/>
                    </w:rPr>
                    <w:t>不</w:t>
                  </w:r>
                  <w:r>
                    <w:rPr>
                      <w:rFonts w:hint="eastAsia" w:cs="Times New Roman"/>
                      <w:color w:val="auto"/>
                      <w:sz w:val="21"/>
                      <w:szCs w:val="21"/>
                      <w:lang w:val="en-US" w:eastAsia="zh-CN"/>
                    </w:rPr>
                    <w:t>属于</w:t>
                  </w:r>
                  <w:r>
                    <w:rPr>
                      <w:rFonts w:hint="eastAsia" w:ascii="Times New Roman" w:hAnsi="Times New Roman" w:eastAsia="宋体" w:cs="Times New Roman"/>
                      <w:color w:val="auto"/>
                      <w:sz w:val="21"/>
                      <w:szCs w:val="21"/>
                      <w:lang w:val="en-US" w:eastAsia="zh-CN"/>
                    </w:rPr>
                    <w:t>专项评价原则表所列行业，无须设置环境风险专项评价</w:t>
                  </w:r>
                </w:p>
              </w:tc>
            </w:tr>
          </w:tbl>
          <w:p w14:paraId="4F5967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lang w:val="en-US" w:eastAsia="zh-CN"/>
              </w:rPr>
            </w:pPr>
          </w:p>
        </w:tc>
      </w:tr>
      <w:tr w14:paraId="42640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968" w:type="dxa"/>
            <w:noWrap w:val="0"/>
            <w:vAlign w:val="center"/>
          </w:tcPr>
          <w:p w14:paraId="527403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规划情况</w:t>
            </w:r>
          </w:p>
        </w:tc>
        <w:tc>
          <w:tcPr>
            <w:tcW w:w="7005" w:type="dxa"/>
            <w:gridSpan w:val="3"/>
            <w:shd w:val="clear" w:color="auto" w:fill="auto"/>
            <w:noWrap w:val="0"/>
            <w:vAlign w:val="center"/>
          </w:tcPr>
          <w:p w14:paraId="1B82C4D1">
            <w:pPr>
              <w:keepNext w:val="0"/>
              <w:keepLines w:val="0"/>
              <w:pageBreakBefore w:val="0"/>
              <w:widowControl w:val="0"/>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无</w:t>
            </w:r>
          </w:p>
        </w:tc>
      </w:tr>
      <w:tr w14:paraId="114C8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968" w:type="dxa"/>
            <w:noWrap w:val="0"/>
            <w:vAlign w:val="center"/>
          </w:tcPr>
          <w:p w14:paraId="47F5E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规划环境影响</w:t>
            </w:r>
          </w:p>
          <w:p w14:paraId="5F5897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评价情况</w:t>
            </w:r>
          </w:p>
        </w:tc>
        <w:tc>
          <w:tcPr>
            <w:tcW w:w="7005" w:type="dxa"/>
            <w:gridSpan w:val="3"/>
            <w:shd w:val="clear" w:color="auto" w:fill="auto"/>
            <w:noWrap w:val="0"/>
            <w:vAlign w:val="center"/>
          </w:tcPr>
          <w:p w14:paraId="38C59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sz w:val="24"/>
                <w:szCs w:val="24"/>
                <w:highlight w:val="none"/>
                <w:lang w:val="en-US" w:eastAsia="zh-CN"/>
              </w:rPr>
              <w:t>无</w:t>
            </w:r>
          </w:p>
        </w:tc>
      </w:tr>
      <w:tr w14:paraId="0A2AFA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968" w:type="dxa"/>
            <w:noWrap w:val="0"/>
            <w:vAlign w:val="center"/>
          </w:tcPr>
          <w:p w14:paraId="12F4F1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规划及规划环境</w:t>
            </w:r>
          </w:p>
          <w:p w14:paraId="3C9314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影响评价符合性</w:t>
            </w:r>
          </w:p>
          <w:p w14:paraId="79D9E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rPr>
              <w:t>分析</w:t>
            </w:r>
          </w:p>
        </w:tc>
        <w:tc>
          <w:tcPr>
            <w:tcW w:w="7005" w:type="dxa"/>
            <w:gridSpan w:val="3"/>
            <w:noWrap w:val="0"/>
            <w:vAlign w:val="center"/>
          </w:tcPr>
          <w:p w14:paraId="088FCC97">
            <w:pPr>
              <w:jc w:val="center"/>
              <w:rPr>
                <w:rFonts w:hint="eastAsia" w:eastAsia="宋体"/>
                <w:color w:val="auto"/>
                <w:lang w:val="en-US" w:eastAsia="zh-CN"/>
              </w:rPr>
            </w:pPr>
            <w:r>
              <w:rPr>
                <w:rFonts w:hint="eastAsia"/>
                <w:color w:val="auto"/>
                <w:lang w:val="en-US" w:eastAsia="zh-CN"/>
              </w:rPr>
              <w:t>无</w:t>
            </w:r>
          </w:p>
        </w:tc>
      </w:tr>
      <w:tr w14:paraId="551AD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43" w:hRule="atLeast"/>
          <w:jc w:val="center"/>
        </w:trPr>
        <w:tc>
          <w:tcPr>
            <w:tcW w:w="1968" w:type="dxa"/>
            <w:noWrap w:val="0"/>
            <w:vAlign w:val="center"/>
          </w:tcPr>
          <w:p w14:paraId="17A544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eastAsia="宋体" w:cs="Times New Roman"/>
                <w:color w:val="auto"/>
                <w:kern w:val="0"/>
                <w:sz w:val="24"/>
                <w:szCs w:val="24"/>
              </w:rPr>
              <w:t>其他符合性分析</w:t>
            </w:r>
          </w:p>
        </w:tc>
        <w:tc>
          <w:tcPr>
            <w:tcW w:w="7005" w:type="dxa"/>
            <w:gridSpan w:val="3"/>
            <w:noWrap w:val="0"/>
            <w:vAlign w:val="top"/>
          </w:tcPr>
          <w:p w14:paraId="5DE9E5C4">
            <w:pPr>
              <w:numPr>
                <w:ilvl w:val="0"/>
                <w:numId w:val="0"/>
              </w:numPr>
              <w:autoSpaceDE w:val="0"/>
              <w:autoSpaceDN w:val="0"/>
              <w:spacing w:line="360" w:lineRule="auto"/>
              <w:ind w:firstLine="482" w:firstLineChars="200"/>
              <w:contextualSpacing/>
              <w:jc w:val="both"/>
              <w:rPr>
                <w:rFonts w:hint="eastAsia" w:ascii="Times New Roman" w:hAnsi="Times New Roman" w:eastAsia="宋体" w:cs="Times New Roman"/>
                <w:b/>
                <w:bCs/>
                <w:color w:val="auto"/>
                <w:kern w:val="0"/>
                <w:sz w:val="24"/>
              </w:rPr>
            </w:pPr>
            <w:r>
              <w:rPr>
                <w:rFonts w:hint="eastAsia" w:ascii="Times New Roman" w:hAnsi="Times New Roman" w:eastAsia="宋体" w:cs="Times New Roman"/>
                <w:b/>
                <w:bCs/>
                <w:color w:val="auto"/>
                <w:kern w:val="0"/>
                <w:sz w:val="24"/>
                <w:lang w:val="en-US" w:eastAsia="zh-CN"/>
              </w:rPr>
              <w:t>1、</w:t>
            </w:r>
            <w:r>
              <w:rPr>
                <w:rFonts w:hint="eastAsia" w:ascii="Times New Roman" w:hAnsi="Times New Roman" w:eastAsia="宋体" w:cs="Times New Roman"/>
                <w:b/>
                <w:bCs/>
                <w:color w:val="auto"/>
                <w:kern w:val="0"/>
                <w:sz w:val="24"/>
                <w:lang w:eastAsia="zh-CN"/>
              </w:rPr>
              <w:t>产业政策符合</w:t>
            </w:r>
            <w:r>
              <w:rPr>
                <w:rFonts w:hint="eastAsia" w:ascii="Times New Roman" w:hAnsi="Times New Roman" w:eastAsia="宋体" w:cs="Times New Roman"/>
                <w:b/>
                <w:bCs/>
                <w:color w:val="auto"/>
                <w:kern w:val="0"/>
                <w:sz w:val="24"/>
              </w:rPr>
              <w:t>性分析</w:t>
            </w:r>
          </w:p>
          <w:p w14:paraId="61797E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bCs/>
                <w:color w:val="auto"/>
                <w:sz w:val="24"/>
                <w:szCs w:val="24"/>
              </w:rPr>
            </w:pPr>
            <w:r>
              <w:rPr>
                <w:rFonts w:hint="eastAsia" w:ascii="Times New Roman" w:hAnsi="Times New Roman" w:eastAsia="宋体" w:cs="Times New Roman"/>
                <w:color w:val="auto"/>
                <w:sz w:val="24"/>
                <w:lang w:val="en-US" w:eastAsia="zh-CN"/>
              </w:rPr>
              <w:t>对照《产业结构调整指导目录（2024年本）》，本项目属于鼓励类第二十三条“铁路”中的第1条“既有铁路改扩建”</w:t>
            </w:r>
            <w:r>
              <w:rPr>
                <w:rFonts w:hint="eastAsia" w:cs="Times New Roman"/>
                <w:color w:val="auto"/>
                <w:sz w:val="24"/>
                <w:lang w:val="en-US" w:eastAsia="zh-CN"/>
              </w:rPr>
              <w:t>，</w:t>
            </w:r>
            <w:r>
              <w:rPr>
                <w:rFonts w:hint="eastAsia" w:ascii="Times New Roman" w:hAnsi="Times New Roman" w:eastAsia="宋体" w:cs="Times New Roman"/>
                <w:color w:val="auto"/>
                <w:sz w:val="24"/>
                <w:lang w:val="en-US" w:eastAsia="zh-CN"/>
              </w:rPr>
              <w:t>此外，项目未被列入</w:t>
            </w:r>
            <w:r>
              <w:rPr>
                <w:rFonts w:hint="default" w:ascii="Times New Roman" w:hAnsi="Times New Roman" w:eastAsia="宋体" w:cs="Times New Roman"/>
                <w:color w:val="auto"/>
                <w:sz w:val="24"/>
                <w:lang w:val="en-US" w:eastAsia="zh-CN"/>
              </w:rPr>
              <w:t>《市场准入负面清单（2025年版）》</w:t>
            </w:r>
            <w:r>
              <w:rPr>
                <w:rFonts w:hint="eastAsia" w:cs="Times New Roman"/>
                <w:color w:val="auto"/>
                <w:sz w:val="24"/>
                <w:lang w:val="en-US" w:eastAsia="zh-CN"/>
              </w:rPr>
              <w:t>。本项目属于中国铁路西安局集团有限公司防洪指挥部关于印发《9处重点病害整治工程推进协调会议纪要》的通知（西铁防洪电〔2026〕4号）中所涉及的病害整治工程，</w:t>
            </w:r>
            <w:r>
              <w:rPr>
                <w:rFonts w:hint="eastAsia"/>
                <w:color w:val="auto"/>
                <w:sz w:val="24"/>
                <w:lang w:val="en-US" w:eastAsia="zh-CN"/>
              </w:rPr>
              <w:t>因此，本项目的建设符合国家及地方产业政策。</w:t>
            </w:r>
          </w:p>
          <w:p w14:paraId="03A86B7E">
            <w:pPr>
              <w:numPr>
                <w:ilvl w:val="0"/>
                <w:numId w:val="0"/>
              </w:numPr>
              <w:autoSpaceDE w:val="0"/>
              <w:autoSpaceDN w:val="0"/>
              <w:spacing w:line="360" w:lineRule="auto"/>
              <w:ind w:firstLine="482" w:firstLineChars="200"/>
              <w:contextualSpacing/>
              <w:jc w:val="both"/>
              <w:rPr>
                <w:rFonts w:hint="eastAsia" w:ascii="Times New Roman" w:hAnsi="Times New Roman" w:eastAsia="宋体" w:cs="Times New Roman"/>
                <w:b/>
                <w:bCs/>
                <w:color w:val="auto"/>
                <w:sz w:val="24"/>
                <w:lang w:val="en-US" w:eastAsia="zh-CN"/>
              </w:rPr>
            </w:pPr>
            <w:r>
              <w:rPr>
                <w:rFonts w:hint="eastAsia" w:cs="Times New Roman"/>
                <w:b/>
                <w:bCs/>
                <w:color w:val="auto"/>
                <w:sz w:val="24"/>
                <w:lang w:val="en-US" w:eastAsia="zh-CN"/>
              </w:rPr>
              <w:t>2、</w:t>
            </w:r>
            <w:r>
              <w:rPr>
                <w:rFonts w:hint="eastAsia" w:ascii="Times New Roman" w:hAnsi="Times New Roman" w:eastAsia="宋体" w:cs="Times New Roman"/>
                <w:b/>
                <w:bCs/>
                <w:color w:val="auto"/>
                <w:sz w:val="24"/>
                <w:lang w:val="en-US" w:eastAsia="zh-CN"/>
              </w:rPr>
              <w:t>生态环境分区管控符合性分析</w:t>
            </w:r>
          </w:p>
          <w:p w14:paraId="4004A3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陕西省“三线一单”生态环境分区管控应用技术指南：环境影响评价（试行）》（陕环办发〔2022〕76号），建设项目环评文件涉及“三线一单”生态环境分区管控符合性分析采取“一图一表一说明”的表达方式，</w:t>
            </w:r>
            <w:r>
              <w:rPr>
                <w:rFonts w:hint="eastAsia" w:cs="Times New Roman"/>
                <w:color w:val="auto"/>
                <w:sz w:val="24"/>
                <w:lang w:val="en-US" w:eastAsia="zh-CN"/>
              </w:rPr>
              <w:t>本项目已完成与环境分区管控成果的对照，项目与汉中市生态环境分区管控成果对照分析数据来源于汉中市生态环境科学研究所，具体见附件3，符合性分析见下文“一图一表一说明”。</w:t>
            </w:r>
          </w:p>
          <w:p w14:paraId="00C6526A">
            <w:pPr>
              <w:numPr>
                <w:ilvl w:val="0"/>
                <w:numId w:val="1"/>
              </w:numPr>
              <w:autoSpaceDE w:val="0"/>
              <w:autoSpaceDN w:val="0"/>
              <w:spacing w:line="360" w:lineRule="auto"/>
              <w:ind w:firstLine="480" w:firstLineChars="200"/>
              <w:contextualSpacing/>
              <w:jc w:val="both"/>
              <w:rPr>
                <w:rFonts w:hint="eastAsia"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一图</w:t>
            </w:r>
          </w:p>
          <w:p w14:paraId="27103E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根据对照结果，</w:t>
            </w:r>
            <w:r>
              <w:rPr>
                <w:rFonts w:hint="default" w:ascii="Times New Roman" w:hAnsi="Times New Roman" w:eastAsia="宋体" w:cs="Times New Roman"/>
                <w:color w:val="auto"/>
                <w:sz w:val="24"/>
                <w:lang w:val="en-US" w:eastAsia="zh-CN"/>
              </w:rPr>
              <w:t>本项目位</w:t>
            </w:r>
            <w:r>
              <w:rPr>
                <w:rFonts w:hint="eastAsia" w:cs="Times New Roman"/>
                <w:color w:val="auto"/>
                <w:sz w:val="24"/>
                <w:lang w:val="en-US" w:eastAsia="zh-CN"/>
              </w:rPr>
              <w:t>于优先保护</w:t>
            </w:r>
            <w:r>
              <w:rPr>
                <w:rFonts w:hint="default" w:ascii="Times New Roman" w:hAnsi="Times New Roman" w:eastAsia="宋体" w:cs="Times New Roman"/>
                <w:color w:val="auto"/>
                <w:sz w:val="24"/>
                <w:lang w:val="en-US" w:eastAsia="zh-CN"/>
              </w:rPr>
              <w:t>单元</w:t>
            </w:r>
            <w:r>
              <w:rPr>
                <w:rFonts w:hint="eastAsia" w:cs="Times New Roman"/>
                <w:color w:val="auto"/>
                <w:sz w:val="24"/>
                <w:lang w:val="en-US" w:eastAsia="zh-CN"/>
              </w:rPr>
              <w:t>和重点管控单元</w:t>
            </w: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项目与生态环境分区管控的位置关系</w:t>
            </w:r>
            <w:r>
              <w:rPr>
                <w:rFonts w:hint="eastAsia" w:ascii="Times New Roman" w:hAnsi="Times New Roman" w:eastAsia="宋体" w:cs="Times New Roman"/>
                <w:color w:val="auto"/>
                <w:sz w:val="24"/>
                <w:lang w:val="en-US" w:eastAsia="zh-CN"/>
              </w:rPr>
              <w:t>见图1-</w:t>
            </w:r>
            <w:r>
              <w:rPr>
                <w:rFonts w:hint="eastAsia" w:eastAsia="宋体" w:cs="Times New Roman"/>
                <w:color w:val="auto"/>
                <w:sz w:val="24"/>
                <w:lang w:val="en-US" w:eastAsia="zh-CN"/>
              </w:rPr>
              <w:t>2</w:t>
            </w:r>
            <w:r>
              <w:rPr>
                <w:rFonts w:hint="eastAsia" w:ascii="Times New Roman" w:hAnsi="Times New Roman" w:eastAsia="宋体" w:cs="Times New Roman"/>
                <w:color w:val="auto"/>
                <w:sz w:val="24"/>
                <w:lang w:val="en-US" w:eastAsia="zh-CN"/>
              </w:rPr>
              <w:t>。</w:t>
            </w:r>
          </w:p>
          <w:p w14:paraId="4624518F">
            <w:pPr>
              <w:autoSpaceDE w:val="0"/>
              <w:autoSpaceDN w:val="0"/>
              <w:spacing w:line="360" w:lineRule="auto"/>
              <w:ind w:firstLine="480" w:firstLineChars="200"/>
              <w:contextualSpacing/>
              <w:jc w:val="both"/>
              <w:rPr>
                <w:rFonts w:hint="eastAsia" w:ascii="Times New Roman" w:hAnsi="Times New Roman" w:eastAsia="宋体" w:cs="Times New Roman"/>
                <w:color w:val="auto"/>
                <w:sz w:val="24"/>
                <w:szCs w:val="32"/>
                <w:highlight w:val="none"/>
                <w:lang w:val="en-US" w:eastAsia="zh-CN"/>
              </w:rPr>
            </w:pPr>
          </w:p>
          <w:p w14:paraId="26F2F7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kern w:val="0"/>
                <w:sz w:val="24"/>
                <w:szCs w:val="24"/>
                <w:lang w:val="en-US" w:eastAsia="zh-CN"/>
              </w:rPr>
            </w:pPr>
          </w:p>
        </w:tc>
      </w:tr>
    </w:tbl>
    <w:p w14:paraId="0F5C39FC">
      <w:pPr>
        <w:spacing w:line="360" w:lineRule="auto"/>
        <w:outlineLvl w:val="0"/>
        <w:rPr>
          <w:rFonts w:eastAsia="黑体"/>
          <w:color w:val="auto"/>
          <w:sz w:val="30"/>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4663C233">
      <w:pPr>
        <w:spacing w:line="240" w:lineRule="auto"/>
        <w:ind w:right="-38" w:rightChars="-18"/>
        <w:jc w:val="both"/>
        <w:rPr>
          <w:rFonts w:hint="eastAsia" w:ascii="Times New Roman" w:hAnsi="Times New Roman" w:eastAsia="宋体" w:cs="Times New Roman"/>
          <w:b/>
          <w:bCs/>
          <w:color w:val="auto"/>
          <w:sz w:val="21"/>
          <w:szCs w:val="21"/>
          <w:lang w:val="en-US" w:eastAsia="zh-CN"/>
        </w:rPr>
      </w:pPr>
      <w:r>
        <w:drawing>
          <wp:inline distT="0" distB="0" distL="114300" distR="114300">
            <wp:extent cx="5629910" cy="8282940"/>
            <wp:effectExtent l="0" t="0" r="889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629910" cy="8282940"/>
                    </a:xfrm>
                    <a:prstGeom prst="rect">
                      <a:avLst/>
                    </a:prstGeom>
                    <a:noFill/>
                    <a:ln>
                      <a:noFill/>
                    </a:ln>
                  </pic:spPr>
                </pic:pic>
              </a:graphicData>
            </a:graphic>
          </wp:inline>
        </w:drawing>
      </w:r>
      <w:r>
        <w:rPr>
          <w:rFonts w:hint="eastAsia" w:ascii="Times New Roman" w:hAnsi="Times New Roman" w:eastAsia="宋体" w:cs="Times New Roman"/>
          <w:b/>
          <w:bCs/>
          <w:color w:val="auto"/>
          <w:sz w:val="21"/>
          <w:szCs w:val="21"/>
          <w:lang w:val="en-US" w:eastAsia="zh-CN"/>
        </w:rPr>
        <mc:AlternateContent>
          <mc:Choice Requires="wps">
            <w:drawing>
              <wp:anchor distT="0" distB="0" distL="114300" distR="114300" simplePos="0" relativeHeight="251666432" behindDoc="0" locked="0" layoutInCell="1" allowOverlap="1">
                <wp:simplePos x="0" y="0"/>
                <wp:positionH relativeFrom="column">
                  <wp:posOffset>4472305</wp:posOffset>
                </wp:positionH>
                <wp:positionV relativeFrom="paragraph">
                  <wp:posOffset>-1707515</wp:posOffset>
                </wp:positionV>
                <wp:extent cx="1136650" cy="353695"/>
                <wp:effectExtent l="328295" t="4445" r="20955" b="22860"/>
                <wp:wrapNone/>
                <wp:docPr id="11" name="自选图形 44"/>
                <wp:cNvGraphicFramePr/>
                <a:graphic xmlns:a="http://schemas.openxmlformats.org/drawingml/2006/main">
                  <a:graphicData uri="http://schemas.microsoft.com/office/word/2010/wordprocessingShape">
                    <wps:wsp>
                      <wps:cNvSpPr/>
                      <wps:spPr>
                        <a:xfrm>
                          <a:off x="0" y="0"/>
                          <a:ext cx="1136650" cy="353695"/>
                        </a:xfrm>
                        <a:prstGeom prst="wedgeEllipseCallout">
                          <a:avLst>
                            <a:gd name="adj1" fmla="val -75528"/>
                            <a:gd name="adj2" fmla="val 10079"/>
                          </a:avLst>
                        </a:prstGeom>
                        <a:noFill/>
                        <a:ln w="9525" cap="flat" cmpd="sng">
                          <a:solidFill>
                            <a:srgbClr val="000000"/>
                          </a:solidFill>
                          <a:prstDash val="solid"/>
                          <a:miter/>
                          <a:headEnd type="none" w="med" len="med"/>
                          <a:tailEnd type="none" w="med" len="med"/>
                        </a:ln>
                      </wps:spPr>
                      <wps:txbx>
                        <w:txbxContent>
                          <w:p w14:paraId="4083C4D2">
                            <w:pPr>
                              <w:rPr>
                                <w:rFonts w:hint="default" w:eastAsia="宋体"/>
                                <w:sz w:val="20"/>
                                <w:szCs w:val="22"/>
                                <w:lang w:val="en-US" w:eastAsia="zh-CN"/>
                              </w:rPr>
                            </w:pPr>
                            <w:r>
                              <w:rPr>
                                <w:rFonts w:hint="eastAsia"/>
                                <w:sz w:val="20"/>
                                <w:szCs w:val="22"/>
                                <w:lang w:val="en-US" w:eastAsia="zh-CN"/>
                              </w:rPr>
                              <w:t>官沟村段</w:t>
                            </w:r>
                          </w:p>
                        </w:txbxContent>
                      </wps:txbx>
                      <wps:bodyPr vert="horz" wrap="square" anchor="t" anchorCtr="0" upright="1"/>
                    </wps:wsp>
                  </a:graphicData>
                </a:graphic>
              </wp:anchor>
            </w:drawing>
          </mc:Choice>
          <mc:Fallback>
            <w:pict>
              <v:shape id="自选图形 44" o:spid="_x0000_s1026" o:spt="63" type="#_x0000_t63" style="position:absolute;left:0pt;margin-left:352.15pt;margin-top:-134.45pt;height:27.85pt;width:89.5pt;z-index:251666432;mso-width-relative:page;mso-height-relative:page;" filled="f" stroked="t" coordsize="21600,21600" o:gfxdata="UEsDBAoAAAAAAIdO4kAAAAAAAAAAAAAAAAAEAAAAZHJzL1BLAwQUAAAACACHTuJAd/TJjdkAAAAN&#10;AQAADwAAAGRycy9kb3ducmV2LnhtbE2PTU/DMAyG70j8h8hI3Lak7bSV0nRCSDvtMDG4cMsa01ZL&#10;nNJkH/x7vBMc/frR68f1+uqdOOMUh0AasrkCgdQGO1Cn4eN9MytBxGTIGhcINfxghHVzf1ebyoYL&#10;veF5nzrBJRQro6FPaaykjG2P3sR5GJF49xUmbxKPUyftZC5c7p3MlVpKbwbiC70Z8bXH9rg/eQ07&#10;2h77nftWuFpsN/LzJW+t81o/PmTqGUTCa/qD4abP6tCw0yGcyEbhNKzUomBUwyxflk8gGCnLgqPD&#10;LcqKHGRTy/9fNL9QSwMEFAAAAAgAh07iQEjAwdJXAgAAnAQAAA4AAABkcnMvZTJvRG9jLnhtbK1U&#10;zXLTMBC+M8M7aHRvbSd12mTi9JC0XBjoTOEBFEm2xegPSYkTTtwYnoEbR94B3qYz8BasZJOGcskB&#10;H+yVtPr22293Pb/eKYm23HlhdIWL8xwjrqlhQjcVfvvm9uwKIx+IZkQazSu85x5fL54/m3d2xkem&#10;NZJxhwBE+1lnK9yGYGdZ5mnLFfHnxnINh7VxigRYuiZjjnSArmQ2yvNJ1hnHrDOUew+7q/4QD4ju&#10;FEBT14LylaEbxXXoUR2XJEBKvhXW40ViW9echtd17XlAssKQaUhvCAL2Or6zxZzMGkdsK+hAgZxC&#10;4UlOiggNQQ9QKxII2jjxD5QS1Blv6nBOjcr6RJIikEWRP9HmviWWp1xAam8Povv/B0tfbe8cEgw6&#10;ocBIEwUV//np26+Pnx++/Hj4/hVdXESNOutn4Hpv79yw8mDGhHe1U/ELqaBd0nV/0JXvAqKwWRTj&#10;yaQEySmcjcvxZFpG0OzxtnU+vOBGoWhUuOOs4TdSQin5kkhpNiGpS7YvfUgys4ErYe+Ad60kVG1L&#10;JDq7LMvR1VDWI6fRsVOR55fTgcEACVz+cIj42twKKVNzSI26Ck/LUQn8CTR8DY0GprIgmtdNIuaN&#10;FCxeiZe9a9ZL6RDwASnSMwT7yy3GWxHf9n7pqOetROAuxW45YTeaobC3UBcN84gjGcUZRpLD+EYr&#10;eQYi5CmekKfUIH0saF/CaIXdegcw0VwbtoeOgB8E1KE17gNEhPGAVN9viIP4RFPYrjBo0JvL0M/T&#10;xjrRtHCrSNlGMGjaVOZhwOJUHK8Tj8efyu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TJjdkA&#10;AAANAQAADwAAAAAAAAABACAAAAAiAAAAZHJzL2Rvd25yZXYueG1sUEsBAhQAFAAAAAgAh07iQEjA&#10;wdJXAgAAnAQAAA4AAAAAAAAAAQAgAAAAKAEAAGRycy9lMm9Eb2MueG1sUEsFBgAAAAAGAAYAWQEA&#10;APEFAAAAAA==&#10;" adj="-5514,12977">
                <v:fill on="f" focussize="0,0"/>
                <v:stroke color="#000000" joinstyle="miter"/>
                <v:imagedata o:title=""/>
                <o:lock v:ext="edit" aspectratio="f"/>
                <v:textbox>
                  <w:txbxContent>
                    <w:p w14:paraId="4083C4D2">
                      <w:pPr>
                        <w:rPr>
                          <w:rFonts w:hint="default" w:eastAsia="宋体"/>
                          <w:sz w:val="20"/>
                          <w:szCs w:val="22"/>
                          <w:lang w:val="en-US" w:eastAsia="zh-CN"/>
                        </w:rPr>
                      </w:pPr>
                      <w:r>
                        <w:rPr>
                          <w:rFonts w:hint="eastAsia"/>
                          <w:sz w:val="20"/>
                          <w:szCs w:val="22"/>
                          <w:lang w:val="en-US" w:eastAsia="zh-CN"/>
                        </w:rPr>
                        <w:t>官沟村段</w:t>
                      </w:r>
                    </w:p>
                  </w:txbxContent>
                </v:textbox>
              </v:shape>
            </w:pict>
          </mc:Fallback>
        </mc:AlternateContent>
      </w:r>
      <w:r>
        <w:rPr>
          <w:rFonts w:hint="eastAsia" w:ascii="Times New Roman" w:hAnsi="Times New Roman" w:eastAsia="宋体" w:cs="Times New Roman"/>
          <w:b/>
          <w:bCs/>
          <w:color w:val="auto"/>
          <w:sz w:val="21"/>
          <w:szCs w:val="21"/>
          <w:lang w:val="en-US" w:eastAsia="zh-CN"/>
        </w:rPr>
        <mc:AlternateContent>
          <mc:Choice Requires="wps">
            <w:drawing>
              <wp:anchor distT="0" distB="0" distL="114300" distR="114300" simplePos="0" relativeHeight="251665408" behindDoc="0" locked="0" layoutInCell="1" allowOverlap="1">
                <wp:simplePos x="0" y="0"/>
                <wp:positionH relativeFrom="column">
                  <wp:posOffset>3982720</wp:posOffset>
                </wp:positionH>
                <wp:positionV relativeFrom="paragraph">
                  <wp:posOffset>-2164715</wp:posOffset>
                </wp:positionV>
                <wp:extent cx="1136650" cy="342265"/>
                <wp:effectExtent l="48895" t="5080" r="14605" b="205105"/>
                <wp:wrapNone/>
                <wp:docPr id="10" name="自选图形 43"/>
                <wp:cNvGraphicFramePr/>
                <a:graphic xmlns:a="http://schemas.openxmlformats.org/drawingml/2006/main">
                  <a:graphicData uri="http://schemas.microsoft.com/office/word/2010/wordprocessingShape">
                    <wps:wsp>
                      <wps:cNvSpPr/>
                      <wps:spPr>
                        <a:xfrm>
                          <a:off x="0" y="0"/>
                          <a:ext cx="1136650" cy="342265"/>
                        </a:xfrm>
                        <a:prstGeom prst="wedgeEllipseCallout">
                          <a:avLst>
                            <a:gd name="adj1" fmla="val -52120"/>
                            <a:gd name="adj2" fmla="val 101898"/>
                          </a:avLst>
                        </a:prstGeom>
                        <a:noFill/>
                        <a:ln w="9525" cap="flat" cmpd="sng">
                          <a:solidFill>
                            <a:srgbClr val="000000"/>
                          </a:solidFill>
                          <a:prstDash val="solid"/>
                          <a:miter/>
                          <a:headEnd type="none" w="med" len="med"/>
                          <a:tailEnd type="none" w="med" len="med"/>
                        </a:ln>
                      </wps:spPr>
                      <wps:txbx>
                        <w:txbxContent>
                          <w:p w14:paraId="59114592">
                            <w:pPr>
                              <w:rPr>
                                <w:rFonts w:hint="default" w:eastAsia="宋体"/>
                                <w:sz w:val="20"/>
                                <w:szCs w:val="22"/>
                                <w:lang w:val="en-US" w:eastAsia="zh-CN"/>
                              </w:rPr>
                            </w:pPr>
                            <w:r>
                              <w:rPr>
                                <w:rFonts w:hint="eastAsia"/>
                                <w:sz w:val="20"/>
                                <w:szCs w:val="22"/>
                                <w:lang w:val="en-US" w:eastAsia="zh-CN"/>
                              </w:rPr>
                              <w:t>陈家坪村段</w:t>
                            </w:r>
                          </w:p>
                        </w:txbxContent>
                      </wps:txbx>
                      <wps:bodyPr vert="horz" wrap="square" anchor="t" anchorCtr="0" upright="1"/>
                    </wps:wsp>
                  </a:graphicData>
                </a:graphic>
              </wp:anchor>
            </w:drawing>
          </mc:Choice>
          <mc:Fallback>
            <w:pict>
              <v:shape id="自选图形 43" o:spid="_x0000_s1026" o:spt="63" type="#_x0000_t63" style="position:absolute;left:0pt;margin-left:313.6pt;margin-top:-170.45pt;height:26.95pt;width:89.5pt;z-index:251665408;mso-width-relative:page;mso-height-relative:page;" filled="f" stroked="t" coordsize="21600,21600" o:gfxdata="UEsDBAoAAAAAAIdO4kAAAAAAAAAAAAAAAAAEAAAAZHJzL1BLAwQUAAAACACHTuJAxSicONkAAAAN&#10;AQAADwAAAGRycy9kb3ducmV2LnhtbE2Py07DMBBF90j8gzVI7Fq7BtIQ4lSAqMSWghBLxx6SKH5E&#10;sfvg7xlWdDl3ju6cqTcn79gB5zTEoGC1FMAwmGiH0Cn4eN8uSmAp62C1iwEV/GCCTXN5UevKxmN4&#10;w8Mud4xKQqq0gj7nqeI8mR69Tss4YaDdd5y9zjTOHbezPlK5d1wKUXCvh0AXej3hc49m3O29gkm8&#10;Ghldbh+fzPZltF583X2OSl1frcQDsIyn/A/Dnz6pQ0NObdwHm5hTUMi1JFTB4uZW3AMjpBQFRS1F&#10;slwL4E3Nz79ofgFQSwMEFAAAAAgAh07iQPhvmptYAgAAnQQAAA4AAABkcnMvZTJvRG9jLnhtbK1U&#10;zW7UMBC+I/EOlu9tNml31a4220O35YKgUuEBZm0nMfIftnezy4kb4hm4cew7wNtUgrdg7KQ/lEsP&#10;5JCM7fE3830zk8XZTiuyFT5Ia2paHk4oEYZZLk1b0/fvLg9OKAkRDAdljajpXgR6tnz5YtG7uahs&#10;ZxUXniCICfPe1bSL0c2LIrBOaAiH1gmDh431GiIufVtwDz2ia1VUk8ms6K3nzlsmQsDd1XBIR0T/&#10;HEDbNJKJlWUbLUwcUL1QEJFS6KQLdJmzbRrB4tumCSISVVNkGvMbg6C9Tu9iuYB568F1ko0pwHNS&#10;eMJJgzQY9B5qBRHIxst/oLRk3gbbxENmdTEQyYogi3LyRJvrDpzIXFDq4O5FD/8Plr3ZXnkiOXYC&#10;SmJAY8V/fbn5/fnr7beftz++k+OjpFHvwhxdr92VH1cBzUR413idvkiF7LKu+3tdxS4ShptleTSb&#10;TRGf4dnRcVXNpgm0eLjtfIivhNUkGTXtBW/FhVJYSnEOStlNzOrC9nWIWWY+5gr8Q0lJoxVWbQuK&#10;HEyrsror6yOn6rFTOSlPTk/GFEZMTOYuiRTA2EupVO4OZUhf09NpNUUCgB3fYKehqR2qFkybMwtW&#10;SZ6upMvBt+tz5QkmhFrkZwz2l1uKt4LQDX75KLnBXMsofLY6AfzCcBL3DgtjcCBpSkYLTokSOL/J&#10;yp4RpHqOJ/JUBrVPFR1qmKy4W+8QJplry/fYEviHwEJ01n/CiDgfSPXjBjzGB8Nwu6aowWCex2Gg&#10;Ns7LtsNbZWabwLBrc53HCUtj8Xid83j4qy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onDjZ&#10;AAAADQEAAA8AAAAAAAAAAQAgAAAAIgAAAGRycy9kb3ducmV2LnhtbFBLAQIUABQAAAAIAIdO4kD4&#10;b5qbWAIAAJ0EAAAOAAAAAAAAAAEAIAAAACgBAABkcnMvZTJvRG9jLnhtbFBLBQYAAAAABgAGAFkB&#10;AADyBQAAAAA=&#10;" adj="-458,32810">
                <v:fill on="f" focussize="0,0"/>
                <v:stroke color="#000000" joinstyle="miter"/>
                <v:imagedata o:title=""/>
                <o:lock v:ext="edit" aspectratio="f"/>
                <v:textbox>
                  <w:txbxContent>
                    <w:p w14:paraId="59114592">
                      <w:pPr>
                        <w:rPr>
                          <w:rFonts w:hint="default" w:eastAsia="宋体"/>
                          <w:sz w:val="20"/>
                          <w:szCs w:val="22"/>
                          <w:lang w:val="en-US" w:eastAsia="zh-CN"/>
                        </w:rPr>
                      </w:pPr>
                      <w:r>
                        <w:rPr>
                          <w:rFonts w:hint="eastAsia"/>
                          <w:sz w:val="20"/>
                          <w:szCs w:val="22"/>
                          <w:lang w:val="en-US" w:eastAsia="zh-CN"/>
                        </w:rPr>
                        <w:t>陈家坪村段</w:t>
                      </w:r>
                    </w:p>
                  </w:txbxContent>
                </v:textbox>
              </v:shape>
            </w:pict>
          </mc:Fallback>
        </mc:AlternateContent>
      </w:r>
      <w:r>
        <w:rPr>
          <w:rFonts w:hint="eastAsia" w:ascii="Times New Roman" w:hAnsi="Times New Roman" w:eastAsia="宋体" w:cs="Times New Roman"/>
          <w:b/>
          <w:bCs/>
          <w:color w:val="auto"/>
          <w:sz w:val="21"/>
          <w:szCs w:val="21"/>
          <w:lang w:val="en-US" w:eastAsia="zh-CN"/>
        </w:rPr>
        <mc:AlternateContent>
          <mc:Choice Requires="wps">
            <w:drawing>
              <wp:anchor distT="0" distB="0" distL="114300" distR="114300" simplePos="0" relativeHeight="251664384" behindDoc="0" locked="0" layoutInCell="1" allowOverlap="1">
                <wp:simplePos x="0" y="0"/>
                <wp:positionH relativeFrom="column">
                  <wp:posOffset>2167890</wp:posOffset>
                </wp:positionH>
                <wp:positionV relativeFrom="paragraph">
                  <wp:posOffset>-1954530</wp:posOffset>
                </wp:positionV>
                <wp:extent cx="1136650" cy="360045"/>
                <wp:effectExtent l="5080" t="5080" r="477520" b="15875"/>
                <wp:wrapNone/>
                <wp:docPr id="8" name="自选图形 41"/>
                <wp:cNvGraphicFramePr/>
                <a:graphic xmlns:a="http://schemas.openxmlformats.org/drawingml/2006/main">
                  <a:graphicData uri="http://schemas.microsoft.com/office/word/2010/wordprocessingShape">
                    <wps:wsp>
                      <wps:cNvSpPr/>
                      <wps:spPr>
                        <a:xfrm>
                          <a:off x="0" y="0"/>
                          <a:ext cx="1136650" cy="360045"/>
                        </a:xfrm>
                        <a:prstGeom prst="wedgeEllipseCallout">
                          <a:avLst>
                            <a:gd name="adj1" fmla="val 87764"/>
                            <a:gd name="adj2" fmla="val 31236"/>
                          </a:avLst>
                        </a:prstGeom>
                        <a:noFill/>
                        <a:ln w="9525" cap="flat" cmpd="sng">
                          <a:solidFill>
                            <a:srgbClr val="000000"/>
                          </a:solidFill>
                          <a:prstDash val="solid"/>
                          <a:miter/>
                          <a:headEnd type="none" w="med" len="med"/>
                          <a:tailEnd type="none" w="med" len="med"/>
                        </a:ln>
                      </wps:spPr>
                      <wps:txbx>
                        <w:txbxContent>
                          <w:p w14:paraId="67A36FA4">
                            <w:pPr>
                              <w:rPr>
                                <w:rFonts w:hint="default" w:eastAsia="宋体"/>
                                <w:sz w:val="20"/>
                                <w:szCs w:val="22"/>
                                <w:lang w:val="en-US" w:eastAsia="zh-CN"/>
                              </w:rPr>
                            </w:pPr>
                            <w:r>
                              <w:rPr>
                                <w:rFonts w:hint="eastAsia"/>
                                <w:sz w:val="20"/>
                                <w:szCs w:val="22"/>
                                <w:lang w:val="en-US" w:eastAsia="zh-CN"/>
                              </w:rPr>
                              <w:t>于家沟村段</w:t>
                            </w:r>
                          </w:p>
                        </w:txbxContent>
                      </wps:txbx>
                      <wps:bodyPr vert="horz" wrap="square" anchor="t" anchorCtr="0" upright="1"/>
                    </wps:wsp>
                  </a:graphicData>
                </a:graphic>
              </wp:anchor>
            </w:drawing>
          </mc:Choice>
          <mc:Fallback>
            <w:pict>
              <v:shape id="自选图形 41" o:spid="_x0000_s1026" o:spt="63" type="#_x0000_t63" style="position:absolute;left:0pt;margin-left:170.7pt;margin-top:-153.9pt;height:28.35pt;width:89.5pt;z-index:251664384;mso-width-relative:page;mso-height-relative:page;" filled="f" stroked="t" coordsize="21600,21600" o:gfxdata="UEsDBAoAAAAAAIdO4kAAAAAAAAAAAAAAAAAEAAAAZHJzL1BLAwQUAAAACACHTuJAPTCqQNoAAAAN&#10;AQAADwAAAGRycy9kb3ducmV2LnhtbE2Py07DMBBF90j8gzVI7FrbSRuqEKcCJKRsSZEQOzd2k6jx&#10;OIrdpu3XM6xgOXeO7qPYXtzAznYKvUcFcimAWWy86bFV8Ll7X2yAhajR6MGjVXC1Abbl/V2hc+Nn&#10;/LDnOraMTDDkWkEX45hzHprOOh2WfrRIv4OfnI50Ti03k57J3A08ESLjTvdICZ0e7Vtnm2N9chQi&#10;XpuX71tVz9nxWt3SryrrkkqpxwcpnoFFe4l/MPzWp+pQUqe9P6EJbFCQruSKUAWLVDzRCELWiSBp&#10;T1KylhJ4WfD/K8ofUEsDBBQAAAAIAIdO4kCb/QvbVAIAAJoEAAAOAAAAZHJzL2Uyb0RvYy54bWyt&#10;VEuS0zAQ3VPFHVTaE9v5zZCKM4tkhg0FUzVwAEWSbVH6ISmxw4odxRnYseQOcJupglvQkk0mDJss&#10;8MJuSa3Xr193e3nVKYn23HlhdImLUY4R19QwoesSv31z8+wSIx+IZkQazUt84B5frZ4+WbZ2wcem&#10;MZJxhwBE+0VrS9yEYBdZ5mnDFfEjY7mGw8o4RQIsXZ0xR1pAVzIb5/k8a41j1hnKvYfdTX+IB0R3&#10;DqCpKkH5xtCd4jr0qI5LEiAl3wjr8SqxrSpOw+uq8jwgWWLINKQ3BAF7G9/ZakkWtSO2EXSgQM6h&#10;8CgnRYSGoEeoDQkE7Zz4B0oJ6ow3VRhRo7I+kaQIZFHkj7S5a4jlKReQ2tuj6P7/wdJX+1uHBCsx&#10;lF0TBQX/+enbr4+f77/8uP/+FU2LKFFr/QI87+ytG1YezJhvVzkVv5AJ6pKsh6OsvAuIwmZRTObz&#10;GShO4Wwyz/PpLIJmD7et8+EFNwpFo8QtZzW/lhIqyddESrMLSVyyf+lDUpkNXAl7V2BUKQlF2xOJ&#10;Li8u5tOhqCc+41OfSTGezAcCAyJQ+UMhwmtzI6RMrSE1akv8fDaeAX0C7V5Bm4GpLEjmdZ14eSMF&#10;i1fiZe/q7Vo6BHRAifQMwf5yi/E2xDe9XzrqeSsRuEuxG07YtWYoHCyURcM04khGcYaR5DC80Uqe&#10;gQh5jifkKTUoH+vZVzBaodt2ABPNrWEH6Af4PUAZGuM+QEQYDkj1/Y44iE80he0Sgwa9uQ79NO2s&#10;E3UDt1LDpAjQsqnKw3jFmThdJx4Pv5T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0wqkDaAAAA&#10;DQEAAA8AAAAAAAAAAQAgAAAAIgAAAGRycy9kb3ducmV2LnhtbFBLAQIUABQAAAAIAIdO4kCb/Qvb&#10;VAIAAJoEAAAOAAAAAAAAAAEAIAAAACkBAABkcnMvZTJvRG9jLnhtbFBLBQYAAAAABgAGAFkBAADv&#10;BQAAAAA=&#10;" adj="29757,17547">
                <v:fill on="f" focussize="0,0"/>
                <v:stroke color="#000000" joinstyle="miter"/>
                <v:imagedata o:title=""/>
                <o:lock v:ext="edit" aspectratio="f"/>
                <v:textbox>
                  <w:txbxContent>
                    <w:p w14:paraId="67A36FA4">
                      <w:pPr>
                        <w:rPr>
                          <w:rFonts w:hint="default" w:eastAsia="宋体"/>
                          <w:sz w:val="20"/>
                          <w:szCs w:val="22"/>
                          <w:lang w:val="en-US" w:eastAsia="zh-CN"/>
                        </w:rPr>
                      </w:pPr>
                      <w:r>
                        <w:rPr>
                          <w:rFonts w:hint="eastAsia"/>
                          <w:sz w:val="20"/>
                          <w:szCs w:val="22"/>
                          <w:lang w:val="en-US" w:eastAsia="zh-CN"/>
                        </w:rPr>
                        <w:t>于家沟村段</w:t>
                      </w:r>
                    </w:p>
                  </w:txbxContent>
                </v:textbox>
              </v:shape>
            </w:pict>
          </mc:Fallback>
        </mc:AlternateContent>
      </w:r>
      <w:r>
        <w:rPr>
          <w:rFonts w:hint="eastAsia" w:ascii="Times New Roman" w:hAnsi="Times New Roman" w:eastAsia="宋体" w:cs="Times New Roman"/>
          <w:b/>
          <w:bCs/>
          <w:color w:val="auto"/>
          <w:sz w:val="21"/>
          <w:szCs w:val="21"/>
          <w:lang w:val="en-US" w:eastAsia="zh-CN"/>
        </w:rPr>
        <mc:AlternateContent>
          <mc:Choice Requires="wps">
            <w:drawing>
              <wp:anchor distT="0" distB="0" distL="114300" distR="114300" simplePos="0" relativeHeight="251662336" behindDoc="0" locked="0" layoutInCell="1" allowOverlap="1">
                <wp:simplePos x="0" y="0"/>
                <wp:positionH relativeFrom="column">
                  <wp:posOffset>3011805</wp:posOffset>
                </wp:positionH>
                <wp:positionV relativeFrom="paragraph">
                  <wp:posOffset>-3372485</wp:posOffset>
                </wp:positionV>
                <wp:extent cx="1100455" cy="335915"/>
                <wp:effectExtent l="4445" t="5080" r="19050" b="287655"/>
                <wp:wrapNone/>
                <wp:docPr id="6" name="自选图形 39"/>
                <wp:cNvGraphicFramePr/>
                <a:graphic xmlns:a="http://schemas.openxmlformats.org/drawingml/2006/main">
                  <a:graphicData uri="http://schemas.microsoft.com/office/word/2010/wordprocessingShape">
                    <wps:wsp>
                      <wps:cNvSpPr/>
                      <wps:spPr>
                        <a:xfrm>
                          <a:off x="0" y="0"/>
                          <a:ext cx="1100455" cy="335915"/>
                        </a:xfrm>
                        <a:prstGeom prst="wedgeEllipseCallout">
                          <a:avLst>
                            <a:gd name="adj1" fmla="val -44287"/>
                            <a:gd name="adj2" fmla="val 125847"/>
                          </a:avLst>
                        </a:prstGeom>
                        <a:noFill/>
                        <a:ln w="9525" cap="flat" cmpd="sng">
                          <a:solidFill>
                            <a:srgbClr val="000000"/>
                          </a:solidFill>
                          <a:prstDash val="solid"/>
                          <a:miter/>
                          <a:headEnd type="none" w="med" len="med"/>
                          <a:tailEnd type="none" w="med" len="med"/>
                        </a:ln>
                      </wps:spPr>
                      <wps:txbx>
                        <w:txbxContent>
                          <w:p w14:paraId="30787177">
                            <w:pPr>
                              <w:rPr>
                                <w:rFonts w:hint="default" w:eastAsia="宋体"/>
                                <w:sz w:val="20"/>
                                <w:szCs w:val="22"/>
                                <w:lang w:val="en-US" w:eastAsia="zh-CN"/>
                              </w:rPr>
                            </w:pPr>
                            <w:r>
                              <w:rPr>
                                <w:rFonts w:hint="eastAsia"/>
                                <w:sz w:val="20"/>
                                <w:szCs w:val="22"/>
                                <w:lang w:val="en-US" w:eastAsia="zh-CN"/>
                              </w:rPr>
                              <w:t>红花寺村段</w:t>
                            </w:r>
                          </w:p>
                        </w:txbxContent>
                      </wps:txbx>
                      <wps:bodyPr vert="horz" wrap="square" anchor="t" anchorCtr="0" upright="1"/>
                    </wps:wsp>
                  </a:graphicData>
                </a:graphic>
              </wp:anchor>
            </w:drawing>
          </mc:Choice>
          <mc:Fallback>
            <w:pict>
              <v:shape id="自选图形 39" o:spid="_x0000_s1026" o:spt="63" type="#_x0000_t63" style="position:absolute;left:0pt;margin-left:237.15pt;margin-top:-265.55pt;height:26.45pt;width:86.65pt;z-index:251662336;mso-width-relative:page;mso-height-relative:page;" filled="f" stroked="t" coordsize="21600,21600" o:gfxdata="UEsDBAoAAAAAAIdO4kAAAAAAAAAAAAAAAAAEAAAAZHJzL1BLAwQUAAAACACHTuJAJTSLVt0AAAAN&#10;AQAADwAAAGRycy9kb3ducmV2LnhtbE2PTU+EMBCG7yb+h2ZMvJjdAotAkLIHE2JWT7t+Xbt0BGI7&#10;RVrY9d9bT3qcmSfvPG+1PRvNFpzcYElAvI6AIbVWDdQJeHluVgUw5yUpqS2hgG90sK0vLypZKnui&#10;PS4H37EQQq6UAnrvx5Jz1/ZopFvbESncPuxkpA/j1HE1yVMIN5onUZRxIwcKH3o54n2P7edhNgKe&#10;HnhTNLN6vfl6ax7fm2U3J3onxPVVHN0B83j2fzD86gd1qIPT0c6kHNMC0jzdBFTA6nYTx8ACkqV5&#10;BuwYVmleJMDriv9vUf8AUEsDBBQAAAAIAIdO4kBCmfjFWAIAAJwEAAAOAAAAZHJzL2Uyb0RvYy54&#10;bWytVEuS0zAQ3VPFHVTaTxznMySpOLNIZthQMFUDB1Ak2RalH5ISO6zYUZyB3Sy5A9xmquAWtGST&#10;CcMmC7JwWlbr9Xuv1V5etUqiPXdeGF3gfDDEiGtqmNBVgd+9vbmYYeQD0YxIo3mBD9zjq9XzZ8vG&#10;LvjI1EYy7hCAaL9obIHrEOwiyzytuSJ+YCzXsFkap0iApasy5kgD6Epmo+HwMmuMY9YZyr2Ht5tu&#10;E/eI7hxAU5aC8o2hO8V16FAdlySAJF8L6/EqsS1LTsObsvQ8IFlgUBrSE4pAvI3PbLUki8oRWwva&#10;UyDnUHiiSRGhoegRakMCQTsn/oFSgjrjTRkG1KisE5IcARX58Ik3dzWxPGkBq709mu7/Hyx9vb91&#10;SLACX2KkiYKG//z87denLw9ffzx8v0fjebSosX4BmXf21vUrD2HU25ZOxX9Qgtpk6+FoK28DovAy&#10;z4fDyXSKEYW98Xg6z6cRNHs8bZ0PL7lRKAYFbjir+LWU0Em+JlKaXUjmkv0rH5LLrOdK2Psco1JJ&#10;aNqeSHQxmYxmL/quniSNTpPy0XQ2SUlAoceE6A+JWECbGyFluhxSo6bA8+koCiBw4Uu4aBAqC6Z5&#10;XSVm3kjB4pF42Ltqu5YOASHwIv16vX+lxXob4usuL211xJUI3KXaNSfsWjMUDhYao2EecSSjOMNI&#10;chjfGKXMQIQ8JxN0Sg3ex452PYxRaLctwMRwa9gBbgR8IKARtXEfoSKMB0j9sCMO6hNN4XWBwYMu&#10;XIdunnbWiaqGU3lSG8Hg0qY+9wMWp+J0nXg8flR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l&#10;NItW3QAAAA0BAAAPAAAAAAAAAAEAIAAAACIAAABkcnMvZG93bnJldi54bWxQSwECFAAUAAAACACH&#10;TuJAQpn4xVgCAACcBAAADgAAAAAAAAABACAAAAAsAQAAZHJzL2Uyb0RvYy54bWxQSwUGAAAAAAYA&#10;BgBZAQAA9gUAAAAA&#10;" adj="1234,37983">
                <v:fill on="f" focussize="0,0"/>
                <v:stroke color="#000000" joinstyle="miter"/>
                <v:imagedata o:title=""/>
                <o:lock v:ext="edit" aspectratio="f"/>
                <v:textbox>
                  <w:txbxContent>
                    <w:p w14:paraId="30787177">
                      <w:pPr>
                        <w:rPr>
                          <w:rFonts w:hint="default" w:eastAsia="宋体"/>
                          <w:sz w:val="20"/>
                          <w:szCs w:val="22"/>
                          <w:lang w:val="en-US" w:eastAsia="zh-CN"/>
                        </w:rPr>
                      </w:pPr>
                      <w:r>
                        <w:rPr>
                          <w:rFonts w:hint="eastAsia"/>
                          <w:sz w:val="20"/>
                          <w:szCs w:val="22"/>
                          <w:lang w:val="en-US" w:eastAsia="zh-CN"/>
                        </w:rPr>
                        <w:t>红花寺村段</w:t>
                      </w:r>
                    </w:p>
                  </w:txbxContent>
                </v:textbox>
              </v:shape>
            </w:pict>
          </mc:Fallback>
        </mc:AlternateContent>
      </w:r>
      <w:r>
        <w:rPr>
          <w:rFonts w:hint="eastAsia" w:ascii="Times New Roman" w:hAnsi="Times New Roman" w:eastAsia="宋体" w:cs="Times New Roman"/>
          <w:b/>
          <w:bCs/>
          <w:color w:val="auto"/>
          <w:sz w:val="21"/>
          <w:szCs w:val="21"/>
          <w:lang w:val="en-US" w:eastAsia="zh-CN"/>
        </w:rPr>
        <mc:AlternateContent>
          <mc:Choice Requires="wps">
            <w:drawing>
              <wp:anchor distT="0" distB="0" distL="114300" distR="114300" simplePos="0" relativeHeight="251663360" behindDoc="0" locked="0" layoutInCell="1" allowOverlap="1">
                <wp:simplePos x="0" y="0"/>
                <wp:positionH relativeFrom="column">
                  <wp:posOffset>3481705</wp:posOffset>
                </wp:positionH>
                <wp:positionV relativeFrom="paragraph">
                  <wp:posOffset>-2527935</wp:posOffset>
                </wp:positionV>
                <wp:extent cx="1136650" cy="335915"/>
                <wp:effectExtent l="4445" t="5080" r="20955" b="287655"/>
                <wp:wrapNone/>
                <wp:docPr id="7" name="自选图形 40"/>
                <wp:cNvGraphicFramePr/>
                <a:graphic xmlns:a="http://schemas.openxmlformats.org/drawingml/2006/main">
                  <a:graphicData uri="http://schemas.microsoft.com/office/word/2010/wordprocessingShape">
                    <wps:wsp>
                      <wps:cNvSpPr/>
                      <wps:spPr>
                        <a:xfrm>
                          <a:off x="0" y="0"/>
                          <a:ext cx="1136650" cy="335915"/>
                        </a:xfrm>
                        <a:prstGeom prst="wedgeEllipseCallout">
                          <a:avLst>
                            <a:gd name="adj1" fmla="val -44287"/>
                            <a:gd name="adj2" fmla="val 125847"/>
                          </a:avLst>
                        </a:prstGeom>
                        <a:noFill/>
                        <a:ln w="9525" cap="flat" cmpd="sng">
                          <a:solidFill>
                            <a:srgbClr val="000000"/>
                          </a:solidFill>
                          <a:prstDash val="solid"/>
                          <a:miter/>
                          <a:headEnd type="none" w="med" len="med"/>
                          <a:tailEnd type="none" w="med" len="med"/>
                        </a:ln>
                      </wps:spPr>
                      <wps:txbx>
                        <w:txbxContent>
                          <w:p w14:paraId="3D213CF7">
                            <w:pPr>
                              <w:rPr>
                                <w:rFonts w:hint="default" w:eastAsia="宋体"/>
                                <w:sz w:val="20"/>
                                <w:szCs w:val="22"/>
                                <w:lang w:val="en-US" w:eastAsia="zh-CN"/>
                              </w:rPr>
                            </w:pPr>
                            <w:r>
                              <w:rPr>
                                <w:rFonts w:hint="eastAsia"/>
                                <w:sz w:val="20"/>
                                <w:szCs w:val="22"/>
                                <w:lang w:val="en-US" w:eastAsia="zh-CN"/>
                              </w:rPr>
                              <w:t>凳槽村段</w:t>
                            </w:r>
                          </w:p>
                        </w:txbxContent>
                      </wps:txbx>
                      <wps:bodyPr wrap="square" upright="1"/>
                    </wps:wsp>
                  </a:graphicData>
                </a:graphic>
              </wp:anchor>
            </w:drawing>
          </mc:Choice>
          <mc:Fallback>
            <w:pict>
              <v:shape id="自选图形 40" o:spid="_x0000_s1026" o:spt="63" type="#_x0000_t63" style="position:absolute;left:0pt;margin-left:274.15pt;margin-top:-199.05pt;height:26.45pt;width:89.5pt;z-index:251663360;mso-width-relative:page;mso-height-relative:page;" filled="f" stroked="t" coordsize="21600,21600" o:gfxdata="UEsDBAoAAAAAAIdO4kAAAAAAAAAAAAAAAAAEAAAAZHJzL1BLAwQUAAAACACHTuJA1dDNxNwAAAAN&#10;AQAADwAAAGRycy9kb3ducmV2LnhtbE2Py07DMBBF90j8gzVIbFDrJG1pCHG6QLJQ6Yry2rrxkETY&#10;4xA7afl73BUs587RnTPl5mQNm3DwnSMB6TwBhlQ73VEj4PVFznJgPijSyjhCAT/oYVNdXpSq0O5I&#10;zzjtQ8NiCflCCWhD6AvOfd2iVX7ueqS4+3SDVSGOQ8P1oI6x3BqeJcktt6qjeKFVPT60WH/tRytg&#10;98hlLkf9dvP9Lp8+5LQdM7MV4voqTe6BBTyFPxjO+lEdquh0cCNpz4yA1TJfRFTAbHGXp8Aiss7W&#10;MTqco+UqA16V/P8X1S9QSwMEFAAAAAgAh07iQEkwKSpDAgAAdwQAAA4AAABkcnMvZTJvRG9jLnht&#10;bK1UTXLTMBTeM8MdNNo3jp04TTNxumhaNgx0pnAARZJtMfpDUuJkx47hDOxY9g5wm87ALXhSTBLK&#10;JguycJ6sp+993/eePL/eKok23HlhdIXzwRAjrqlhQjcVfv/u7mKKkQ9EMyKN5hXecY+vFy9fzDs7&#10;44VpjWTcIQDRftbZCrch2FmWedpyRfzAWK5hszZOkQBL12TMkQ7QlcyK4XCSdcYx6wzl3sPb5X4T&#10;94juHEBT14LypaFrxXXYozouSQBJvhXW40ViW9echrd17XlAssKgNKQnFIF4FZ/ZYk5mjSO2FbSn&#10;QM6h8EyTIkJD0QPUkgSC1k78A6UEdcabOgyoUdleSHIEVOTDZ948tMTypAWs9vZguv9/sPTN5t4h&#10;wSp8iZEmChr+8/Pjr09fnr7+ePr+DY2TRZ31M8h8sPcODIsrD2HUu62div+gBG2TrbuDrXwbEIWX&#10;eT6aTEpwnMLeaFRe5WX0PTuets6HV9woFIMKd5w1/FZK6CS/IVKadUjmks1rH5LLrOdK2Icco1pJ&#10;aNqGSHQxHhfTy76rJ0nFaVJelNNxSgIKPSZEf0jEAtrcCSnTcEiNugpflUUJAggMfA2DBqGyYJrX&#10;TWLmjRQsHomHvWtWN9IhIARepF+v96+0WG9JfLvPS1t74koE7lLtlhN2qxkKOwuN0XAfcSSjOMNI&#10;cri+MUqZgQh5TibolBq8P/YwRmG72gJMDFeG7WAiOrgSIO/jmjioubZONC10Jk9CYh7MY2phf3fi&#10;wJ+uU4nj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XQzcTcAAAADQEAAA8AAAAAAAAAAQAg&#10;AAAAIgAAAGRycy9kb3ducmV2LnhtbFBLAQIUABQAAAAIAIdO4kBJMCkqQwIAAHcEAAAOAAAAAAAA&#10;AAEAIAAAACsBAABkcnMvZTJvRG9jLnhtbFBLBQYAAAAABgAGAFkBAADgBQAAAAA=&#10;" adj="1234,37983">
                <v:fill on="f" focussize="0,0"/>
                <v:stroke color="#000000" joinstyle="miter"/>
                <v:imagedata o:title=""/>
                <o:lock v:ext="edit" aspectratio="f"/>
                <v:textbox>
                  <w:txbxContent>
                    <w:p w14:paraId="3D213CF7">
                      <w:pPr>
                        <w:rPr>
                          <w:rFonts w:hint="default" w:eastAsia="宋体"/>
                          <w:sz w:val="20"/>
                          <w:szCs w:val="22"/>
                          <w:lang w:val="en-US" w:eastAsia="zh-CN"/>
                        </w:rPr>
                      </w:pPr>
                      <w:r>
                        <w:rPr>
                          <w:rFonts w:hint="eastAsia"/>
                          <w:sz w:val="20"/>
                          <w:szCs w:val="22"/>
                          <w:lang w:val="en-US" w:eastAsia="zh-CN"/>
                        </w:rPr>
                        <w:t>凳槽村段</w:t>
                      </w:r>
                    </w:p>
                  </w:txbxContent>
                </v:textbox>
              </v:shape>
            </w:pict>
          </mc:Fallback>
        </mc:AlternateContent>
      </w:r>
    </w:p>
    <w:p w14:paraId="58217C9A">
      <w:pPr>
        <w:spacing w:line="240" w:lineRule="auto"/>
        <w:ind w:right="-38" w:rightChars="-18" w:firstLine="480"/>
        <w:jc w:val="center"/>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b/>
          <w:bCs/>
          <w:color w:val="auto"/>
          <w:sz w:val="21"/>
          <w:szCs w:val="21"/>
          <w:lang w:val="en-US" w:eastAsia="zh-CN"/>
        </w:rPr>
        <w:t xml:space="preserve">图1-1  </w:t>
      </w:r>
      <w:r>
        <w:rPr>
          <w:rFonts w:hint="eastAsia" w:cs="Times New Roman"/>
          <w:b/>
          <w:bCs/>
          <w:color w:val="auto"/>
          <w:sz w:val="21"/>
          <w:szCs w:val="21"/>
          <w:lang w:val="en-US" w:eastAsia="zh-CN"/>
        </w:rPr>
        <w:t>项目与</w:t>
      </w:r>
      <w:r>
        <w:rPr>
          <w:rFonts w:hint="eastAsia" w:ascii="Times New Roman" w:hAnsi="Times New Roman" w:eastAsia="宋体" w:cs="Times New Roman"/>
          <w:b/>
          <w:bCs/>
          <w:color w:val="auto"/>
          <w:sz w:val="21"/>
          <w:szCs w:val="21"/>
          <w:lang w:val="en-US" w:eastAsia="zh-CN"/>
        </w:rPr>
        <w:t>生态环境管控单元分类对照分析示意图</w:t>
      </w:r>
    </w:p>
    <w:p w14:paraId="1CD833B4">
      <w:pPr>
        <w:jc w:val="center"/>
        <w:rPr>
          <w:rFonts w:hint="default"/>
          <w:lang w:val="en-US" w:eastAsia="zh-CN"/>
        </w:rPr>
        <w:sectPr>
          <w:pgSz w:w="11906" w:h="16838"/>
          <w:pgMar w:top="1701" w:right="1474" w:bottom="1701" w:left="1474" w:header="851" w:footer="1077" w:gutter="0"/>
          <w:pgBorders>
            <w:top w:val="none" w:sz="0" w:space="0"/>
            <w:left w:val="none" w:sz="0" w:space="0"/>
            <w:bottom w:val="none" w:sz="0" w:space="0"/>
            <w:right w:val="none" w:sz="0" w:space="0"/>
          </w:pgBorders>
          <w:pgNumType w:fmt="decimal"/>
          <w:cols w:space="0" w:num="1"/>
          <w:rtlGutter w:val="0"/>
          <w:docGrid w:linePitch="312" w:charSpace="0"/>
        </w:sectPr>
      </w:pPr>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2804"/>
      </w:tblGrid>
      <w:tr w14:paraId="236C68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85" w:hRule="atLeast"/>
          <w:jc w:val="center"/>
        </w:trPr>
        <w:tc>
          <w:tcPr>
            <w:tcW w:w="848" w:type="dxa"/>
            <w:noWrap w:val="0"/>
            <w:vAlign w:val="center"/>
          </w:tcPr>
          <w:p w14:paraId="7E18568E">
            <w:pPr>
              <w:autoSpaceDE w:val="0"/>
              <w:autoSpaceDN w:val="0"/>
              <w:adjustRightInd w:val="0"/>
              <w:snapToGrid w:val="0"/>
              <w:jc w:val="center"/>
              <w:rPr>
                <w:color w:val="auto"/>
              </w:rPr>
            </w:pPr>
            <w:r>
              <w:rPr>
                <w:color w:val="auto"/>
                <w:kern w:val="0"/>
                <w:sz w:val="24"/>
              </w:rPr>
              <w:t>其他符合性分析</w:t>
            </w:r>
          </w:p>
        </w:tc>
        <w:tc>
          <w:tcPr>
            <w:tcW w:w="12804" w:type="dxa"/>
            <w:noWrap w:val="0"/>
            <w:vAlign w:val="center"/>
          </w:tcPr>
          <w:p w14:paraId="5B7681B3">
            <w:pPr>
              <w:numPr>
                <w:ilvl w:val="0"/>
                <w:numId w:val="1"/>
              </w:numPr>
              <w:autoSpaceDE w:val="0"/>
              <w:autoSpaceDN w:val="0"/>
              <w:spacing w:line="360" w:lineRule="auto"/>
              <w:ind w:firstLine="480" w:firstLineChars="200"/>
              <w:contextualSpacing/>
              <w:rPr>
                <w:rFonts w:hint="eastAsia" w:ascii="Times New Roman" w:hAnsi="Times New Roman" w:eastAsia="宋体" w:cs="Times New Roman"/>
                <w:color w:val="auto"/>
                <w:sz w:val="24"/>
                <w:szCs w:val="32"/>
                <w:lang w:val="en-US" w:eastAsia="zh-CN"/>
              </w:rPr>
            </w:pPr>
            <w:r>
              <w:rPr>
                <w:rFonts w:hint="eastAsia" w:ascii="Times New Roman" w:hAnsi="Times New Roman" w:eastAsia="宋体" w:cs="Times New Roman"/>
                <w:color w:val="auto"/>
                <w:sz w:val="24"/>
                <w:szCs w:val="32"/>
                <w:lang w:val="en-US" w:eastAsia="zh-CN"/>
              </w:rPr>
              <w:t>一表</w:t>
            </w:r>
          </w:p>
          <w:p w14:paraId="79C830D7">
            <w:pPr>
              <w:spacing w:line="240" w:lineRule="auto"/>
              <w:ind w:right="-38" w:rightChars="-18" w:firstLine="480"/>
              <w:jc w:val="center"/>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表1-</w:t>
            </w:r>
            <w:r>
              <w:rPr>
                <w:rFonts w:hint="eastAsia" w:cs="Times New Roman"/>
                <w:b/>
                <w:bCs/>
                <w:color w:val="auto"/>
                <w:sz w:val="21"/>
                <w:szCs w:val="21"/>
                <w:lang w:val="en-US" w:eastAsia="zh-CN"/>
              </w:rPr>
              <w:t>3</w:t>
            </w:r>
            <w:r>
              <w:rPr>
                <w:rFonts w:hint="eastAsia" w:ascii="Times New Roman" w:hAnsi="Times New Roman" w:eastAsia="宋体" w:cs="Times New Roman"/>
                <w:b/>
                <w:bCs/>
                <w:color w:val="auto"/>
                <w:sz w:val="21"/>
                <w:szCs w:val="21"/>
                <w:lang w:val="en-US" w:eastAsia="zh-CN"/>
              </w:rPr>
              <w:t xml:space="preserve">  本工程与</w:t>
            </w:r>
            <w:r>
              <w:rPr>
                <w:rFonts w:hint="eastAsia" w:cs="Times New Roman"/>
                <w:b/>
                <w:bCs/>
                <w:color w:val="auto"/>
                <w:sz w:val="21"/>
                <w:szCs w:val="21"/>
                <w:lang w:val="en-US" w:eastAsia="zh-CN"/>
              </w:rPr>
              <w:t>陕西省</w:t>
            </w:r>
            <w:r>
              <w:rPr>
                <w:rFonts w:hint="eastAsia" w:ascii="Times New Roman" w:hAnsi="Times New Roman" w:eastAsia="宋体" w:cs="Times New Roman"/>
                <w:b/>
                <w:bCs/>
                <w:color w:val="auto"/>
                <w:sz w:val="21"/>
                <w:szCs w:val="21"/>
                <w:lang w:val="en-US" w:eastAsia="zh-CN"/>
              </w:rPr>
              <w:t>生态环境分区管控方案符合性分析</w:t>
            </w:r>
          </w:p>
          <w:tbl>
            <w:tblPr>
              <w:tblStyle w:val="19"/>
              <w:tblW w:w="12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650"/>
              <w:gridCol w:w="777"/>
              <w:gridCol w:w="650"/>
              <w:gridCol w:w="4866"/>
              <w:gridCol w:w="867"/>
              <w:gridCol w:w="3295"/>
              <w:gridCol w:w="734"/>
            </w:tblGrid>
            <w:tr w14:paraId="0A8C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noWrap w:val="0"/>
                  <w:vAlign w:val="center"/>
                </w:tcPr>
                <w:p w14:paraId="609A268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b/>
                      <w:bCs/>
                      <w:i w:val="0"/>
                      <w:iCs w:val="0"/>
                      <w:color w:val="auto"/>
                      <w:sz w:val="21"/>
                      <w:szCs w:val="21"/>
                      <w:lang w:val="en-US" w:eastAsia="zh-CN"/>
                    </w:rPr>
                  </w:pPr>
                  <w:r>
                    <w:rPr>
                      <w:rFonts w:hint="eastAsia" w:ascii="Times New Roman" w:hAnsi="Times New Roman" w:eastAsia="宋体" w:cs="Times New Roman"/>
                      <w:b/>
                      <w:bCs/>
                      <w:i w:val="0"/>
                      <w:iCs w:val="0"/>
                      <w:color w:val="auto"/>
                      <w:sz w:val="21"/>
                      <w:szCs w:val="21"/>
                      <w:lang w:val="en-US" w:eastAsia="zh-CN"/>
                    </w:rPr>
                    <w:t>环境管控单元名称</w:t>
                  </w:r>
                </w:p>
              </w:tc>
              <w:tc>
                <w:tcPr>
                  <w:tcW w:w="650" w:type="dxa"/>
                  <w:noWrap w:val="0"/>
                  <w:vAlign w:val="center"/>
                </w:tcPr>
                <w:p w14:paraId="2989FB2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b/>
                      <w:bCs/>
                      <w:i w:val="0"/>
                      <w:iCs w:val="0"/>
                      <w:color w:val="auto"/>
                      <w:spacing w:val="0"/>
                      <w:kern w:val="0"/>
                      <w:sz w:val="21"/>
                      <w:szCs w:val="21"/>
                      <w:lang w:val="en-US" w:eastAsia="zh-CN" w:bidi="ar"/>
                    </w:rPr>
                  </w:pPr>
                  <w:r>
                    <w:rPr>
                      <w:rFonts w:hint="eastAsia" w:ascii="Times New Roman" w:hAnsi="Times New Roman" w:eastAsia="宋体" w:cs="Times New Roman"/>
                      <w:b/>
                      <w:bCs/>
                      <w:i w:val="0"/>
                      <w:iCs w:val="0"/>
                      <w:color w:val="auto"/>
                      <w:sz w:val="21"/>
                      <w:szCs w:val="21"/>
                      <w:lang w:val="en-US" w:eastAsia="zh-CN"/>
                    </w:rPr>
                    <w:t>单元要素属性</w:t>
                  </w:r>
                </w:p>
              </w:tc>
              <w:tc>
                <w:tcPr>
                  <w:tcW w:w="777" w:type="dxa"/>
                  <w:noWrap w:val="0"/>
                  <w:vAlign w:val="center"/>
                </w:tcPr>
                <w:p w14:paraId="1E1EC235">
                  <w:pPr>
                    <w:keepNext w:val="0"/>
                    <w:keepLines w:val="0"/>
                    <w:pageBreakBefore w:val="0"/>
                    <w:widowControl w:val="0"/>
                    <w:suppressLineNumbers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b/>
                      <w:bCs/>
                      <w:i w:val="0"/>
                      <w:iCs w:val="0"/>
                      <w:color w:val="auto"/>
                      <w:sz w:val="21"/>
                      <w:szCs w:val="21"/>
                      <w:lang w:val="en-US" w:eastAsia="zh-CN"/>
                    </w:rPr>
                  </w:pPr>
                  <w:r>
                    <w:rPr>
                      <w:rFonts w:hint="eastAsia" w:cs="Times New Roman"/>
                      <w:b/>
                      <w:bCs/>
                      <w:i w:val="0"/>
                      <w:iCs w:val="0"/>
                      <w:color w:val="auto"/>
                      <w:sz w:val="21"/>
                      <w:szCs w:val="21"/>
                      <w:lang w:val="en-US" w:eastAsia="zh-CN"/>
                    </w:rPr>
                    <w:t>管控单元分类</w:t>
                  </w:r>
                </w:p>
              </w:tc>
              <w:tc>
                <w:tcPr>
                  <w:tcW w:w="5516" w:type="dxa"/>
                  <w:gridSpan w:val="2"/>
                  <w:noWrap w:val="0"/>
                  <w:vAlign w:val="center"/>
                </w:tcPr>
                <w:p w14:paraId="343DB011">
                  <w:pPr>
                    <w:keepNext w:val="0"/>
                    <w:keepLines w:val="0"/>
                    <w:pageBreakBefore w:val="0"/>
                    <w:widowControl w:val="0"/>
                    <w:suppressLineNumbers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b/>
                      <w:bCs/>
                      <w:i w:val="0"/>
                      <w:iCs w:val="0"/>
                      <w:color w:val="auto"/>
                      <w:sz w:val="21"/>
                      <w:szCs w:val="21"/>
                      <w:lang w:val="en-US" w:eastAsia="zh-CN"/>
                    </w:rPr>
                  </w:pPr>
                  <w:r>
                    <w:rPr>
                      <w:rFonts w:hint="eastAsia" w:ascii="Times New Roman" w:hAnsi="Times New Roman" w:eastAsia="宋体" w:cs="Times New Roman"/>
                      <w:b/>
                      <w:bCs/>
                      <w:i w:val="0"/>
                      <w:iCs w:val="0"/>
                      <w:color w:val="auto"/>
                      <w:sz w:val="21"/>
                      <w:szCs w:val="21"/>
                      <w:lang w:val="en-US" w:eastAsia="zh-CN"/>
                    </w:rPr>
                    <w:t>管控要求</w:t>
                  </w:r>
                </w:p>
              </w:tc>
              <w:tc>
                <w:tcPr>
                  <w:tcW w:w="867" w:type="dxa"/>
                  <w:noWrap w:val="0"/>
                  <w:vAlign w:val="center"/>
                </w:tcPr>
                <w:p w14:paraId="623E5E72">
                  <w:pPr>
                    <w:keepNext w:val="0"/>
                    <w:keepLines w:val="0"/>
                    <w:pageBreakBefore w:val="0"/>
                    <w:widowControl w:val="0"/>
                    <w:suppressLineNumbers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b/>
                      <w:bCs/>
                      <w:i w:val="0"/>
                      <w:iCs w:val="0"/>
                      <w:color w:val="auto"/>
                      <w:sz w:val="21"/>
                      <w:szCs w:val="21"/>
                      <w:lang w:val="en-US" w:eastAsia="zh-CN"/>
                    </w:rPr>
                  </w:pPr>
                  <w:r>
                    <w:rPr>
                      <w:rFonts w:hint="eastAsia" w:ascii="Times New Roman" w:hAnsi="Times New Roman" w:eastAsia="宋体" w:cs="Times New Roman"/>
                      <w:b/>
                      <w:bCs/>
                      <w:i w:val="0"/>
                      <w:iCs w:val="0"/>
                      <w:color w:val="auto"/>
                      <w:sz w:val="21"/>
                      <w:szCs w:val="21"/>
                      <w:lang w:val="en-US" w:eastAsia="zh-CN"/>
                    </w:rPr>
                    <w:t>长度（m）</w:t>
                  </w:r>
                </w:p>
              </w:tc>
              <w:tc>
                <w:tcPr>
                  <w:tcW w:w="3295" w:type="dxa"/>
                  <w:noWrap w:val="0"/>
                  <w:vAlign w:val="center"/>
                </w:tcPr>
                <w:p w14:paraId="438FFE6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s="Times New Roman"/>
                      <w:b/>
                      <w:bCs/>
                      <w:i w:val="0"/>
                      <w:iCs w:val="0"/>
                      <w:color w:val="auto"/>
                      <w:sz w:val="21"/>
                      <w:szCs w:val="21"/>
                      <w:lang w:val="en-US" w:eastAsia="zh-CN"/>
                    </w:rPr>
                  </w:pPr>
                  <w:r>
                    <w:rPr>
                      <w:rFonts w:hint="default" w:ascii="Times New Roman" w:hAnsi="Times New Roman" w:eastAsia="宋体" w:cs="Times New Roman"/>
                      <w:b/>
                      <w:bCs/>
                      <w:i w:val="0"/>
                      <w:iCs w:val="0"/>
                      <w:color w:val="auto"/>
                      <w:sz w:val="21"/>
                      <w:szCs w:val="21"/>
                    </w:rPr>
                    <w:t>本项目情况</w:t>
                  </w:r>
                </w:p>
              </w:tc>
              <w:tc>
                <w:tcPr>
                  <w:tcW w:w="734" w:type="dxa"/>
                  <w:noWrap w:val="0"/>
                  <w:vAlign w:val="center"/>
                </w:tcPr>
                <w:p w14:paraId="3BF79FC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rPr>
                    <w:t>符合性</w:t>
                  </w:r>
                </w:p>
              </w:tc>
            </w:tr>
            <w:tr w14:paraId="65AE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noWrap w:val="0"/>
                  <w:vAlign w:val="center"/>
                </w:tcPr>
                <w:p w14:paraId="503575E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color w:val="auto"/>
                      <w:kern w:val="0"/>
                      <w:szCs w:val="21"/>
                      <w:lang w:val="en-US" w:eastAsia="zh-CN"/>
                    </w:rPr>
                  </w:pPr>
                  <w:r>
                    <w:rPr>
                      <w:rFonts w:hint="eastAsia"/>
                      <w:color w:val="auto"/>
                      <w:kern w:val="0"/>
                      <w:szCs w:val="21"/>
                      <w:lang w:val="en-US" w:eastAsia="zh-CN"/>
                    </w:rPr>
                    <w:t>陕西汉中朱鹮国家级自然保护区</w:t>
                  </w:r>
                </w:p>
              </w:tc>
              <w:tc>
                <w:tcPr>
                  <w:tcW w:w="650" w:type="dxa"/>
                  <w:noWrap w:val="0"/>
                  <w:vAlign w:val="center"/>
                </w:tcPr>
                <w:p w14:paraId="54C331A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eastAsia="宋体"/>
                      <w:color w:val="auto"/>
                      <w:kern w:val="0"/>
                      <w:szCs w:val="21"/>
                      <w:lang w:val="en-US" w:eastAsia="zh-CN"/>
                    </w:rPr>
                  </w:pPr>
                  <w:r>
                    <w:rPr>
                      <w:rFonts w:hint="eastAsia" w:eastAsia="宋体"/>
                      <w:color w:val="auto"/>
                      <w:kern w:val="0"/>
                      <w:szCs w:val="21"/>
                      <w:lang w:val="en-US" w:eastAsia="zh-CN"/>
                    </w:rPr>
                    <w:t>生态保护红线—自然保护区</w:t>
                  </w:r>
                </w:p>
              </w:tc>
              <w:tc>
                <w:tcPr>
                  <w:tcW w:w="777" w:type="dxa"/>
                  <w:noWrap w:val="0"/>
                  <w:vAlign w:val="center"/>
                </w:tcPr>
                <w:p w14:paraId="7D407C8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eastAsia="宋体"/>
                      <w:color w:val="auto"/>
                      <w:kern w:val="0"/>
                      <w:szCs w:val="21"/>
                      <w:lang w:val="en-US" w:eastAsia="zh-CN"/>
                    </w:rPr>
                  </w:pPr>
                  <w:r>
                    <w:rPr>
                      <w:rFonts w:hint="eastAsia" w:eastAsia="宋体"/>
                      <w:color w:val="auto"/>
                      <w:kern w:val="0"/>
                      <w:szCs w:val="21"/>
                      <w:lang w:val="en-US" w:eastAsia="zh-CN"/>
                    </w:rPr>
                    <w:t>优先保护单元</w:t>
                  </w:r>
                </w:p>
              </w:tc>
              <w:tc>
                <w:tcPr>
                  <w:tcW w:w="650" w:type="dxa"/>
                  <w:noWrap w:val="0"/>
                  <w:vAlign w:val="center"/>
                </w:tcPr>
                <w:p w14:paraId="38978E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default"/>
                      <w:color w:val="auto"/>
                      <w:kern w:val="0"/>
                      <w:szCs w:val="21"/>
                      <w:lang w:val="en-US" w:eastAsia="zh-CN"/>
                    </w:rPr>
                  </w:pPr>
                  <w:r>
                    <w:rPr>
                      <w:rFonts w:hint="eastAsia"/>
                      <w:color w:val="auto"/>
                      <w:kern w:val="0"/>
                      <w:szCs w:val="21"/>
                      <w:lang w:val="en-US" w:eastAsia="zh-CN"/>
                    </w:rPr>
                    <w:t>空间布局约束</w:t>
                  </w:r>
                </w:p>
              </w:tc>
              <w:tc>
                <w:tcPr>
                  <w:tcW w:w="4866" w:type="dxa"/>
                  <w:noWrap w:val="0"/>
                  <w:vAlign w:val="center"/>
                </w:tcPr>
                <w:p w14:paraId="20777B8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b/>
                      <w:bCs/>
                      <w:color w:val="auto"/>
                      <w:kern w:val="0"/>
                      <w:szCs w:val="21"/>
                      <w:lang w:val="zh-CN" w:eastAsia="zh-CN"/>
                    </w:rPr>
                  </w:pPr>
                  <w:r>
                    <w:rPr>
                      <w:rFonts w:hint="eastAsia" w:eastAsia="宋体"/>
                      <w:b/>
                      <w:bCs/>
                      <w:color w:val="auto"/>
                      <w:kern w:val="0"/>
                      <w:szCs w:val="21"/>
                      <w:lang w:val="zh-CN" w:eastAsia="zh-CN"/>
                    </w:rPr>
                    <w:t>自然保护区相关管控要求：</w:t>
                  </w:r>
                </w:p>
                <w:p w14:paraId="278CB29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按照《中华人民共和国自然保护区条例》《</w:t>
                  </w:r>
                  <w:r>
                    <w:rPr>
                      <w:rFonts w:hint="eastAsia" w:eastAsia="宋体"/>
                      <w:color w:val="auto"/>
                      <w:kern w:val="0"/>
                      <w:szCs w:val="21"/>
                      <w:lang w:val="en-US" w:eastAsia="zh-CN"/>
                    </w:rPr>
                    <w:t>自然资源部 国家林业和草原局</w:t>
                  </w:r>
                  <w:r>
                    <w:rPr>
                      <w:rFonts w:hint="eastAsia" w:eastAsia="宋体"/>
                      <w:color w:val="auto"/>
                      <w:kern w:val="0"/>
                      <w:szCs w:val="21"/>
                      <w:lang w:val="zh-CN" w:eastAsia="zh-CN"/>
                    </w:rPr>
                    <w:t>关于做好自然保护区范围及功能分区优化调整前期有关工作的函》相关</w:t>
                  </w:r>
                  <w:r>
                    <w:rPr>
                      <w:rFonts w:hint="eastAsia" w:eastAsia="宋体"/>
                      <w:color w:val="auto"/>
                      <w:kern w:val="0"/>
                      <w:szCs w:val="21"/>
                      <w:lang w:val="en-US" w:eastAsia="zh-CN"/>
                    </w:rPr>
                    <w:t>规定及</w:t>
                  </w:r>
                  <w:r>
                    <w:rPr>
                      <w:rFonts w:hint="eastAsia" w:eastAsia="宋体"/>
                      <w:color w:val="auto"/>
                      <w:kern w:val="0"/>
                      <w:szCs w:val="21"/>
                      <w:lang w:val="zh-CN" w:eastAsia="zh-CN"/>
                    </w:rPr>
                    <w:t>要求进行</w:t>
                  </w:r>
                  <w:r>
                    <w:rPr>
                      <w:rFonts w:hint="eastAsia" w:eastAsia="宋体"/>
                      <w:color w:val="auto"/>
                      <w:kern w:val="0"/>
                      <w:szCs w:val="21"/>
                      <w:lang w:val="en-US" w:eastAsia="zh-CN"/>
                    </w:rPr>
                    <w:t>管控</w:t>
                  </w:r>
                  <w:r>
                    <w:rPr>
                      <w:rFonts w:hint="eastAsia" w:eastAsia="宋体"/>
                      <w:color w:val="auto"/>
                      <w:kern w:val="0"/>
                      <w:szCs w:val="21"/>
                      <w:lang w:val="zh-CN" w:eastAsia="zh-CN"/>
                    </w:rPr>
                    <w:t>。一般控制区：除满足国家特殊战略需要的有关活动外，原则上禁止开发性、生产性建设活动。仅允许对生态功能不造成破坏的有限人为活动按照《</w:t>
                  </w:r>
                  <w:r>
                    <w:rPr>
                      <w:rFonts w:hint="eastAsia" w:eastAsia="宋体"/>
                      <w:color w:val="auto"/>
                      <w:kern w:val="0"/>
                      <w:szCs w:val="21"/>
                      <w:lang w:val="en-US" w:eastAsia="zh-CN"/>
                    </w:rPr>
                    <w:t>自然资源部 国家林业和草原局</w:t>
                  </w:r>
                  <w:r>
                    <w:rPr>
                      <w:rFonts w:hint="eastAsia" w:eastAsia="宋体"/>
                      <w:color w:val="auto"/>
                      <w:kern w:val="0"/>
                      <w:szCs w:val="21"/>
                      <w:lang w:val="zh-CN" w:eastAsia="zh-CN"/>
                    </w:rPr>
                    <w:t>关于做好自然保护区范围及功能分区优化调整前期有关工作的函》相关要求进行</w:t>
                  </w:r>
                  <w:r>
                    <w:rPr>
                      <w:rFonts w:hint="eastAsia" w:eastAsia="宋体"/>
                      <w:color w:val="auto"/>
                      <w:kern w:val="0"/>
                      <w:szCs w:val="21"/>
                      <w:lang w:val="en-US" w:eastAsia="zh-CN"/>
                    </w:rPr>
                    <w:t>管控</w:t>
                  </w:r>
                  <w:r>
                    <w:rPr>
                      <w:rFonts w:hint="eastAsia" w:eastAsia="宋体"/>
                      <w:color w:val="auto"/>
                      <w:kern w:val="0"/>
                      <w:szCs w:val="21"/>
                      <w:lang w:val="zh-CN" w:eastAsia="zh-CN"/>
                    </w:rPr>
                    <w:t>。</w:t>
                  </w:r>
                </w:p>
                <w:p w14:paraId="6417A32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b/>
                      <w:bCs/>
                      <w:color w:val="auto"/>
                      <w:kern w:val="0"/>
                      <w:szCs w:val="21"/>
                      <w:lang w:val="en-US" w:eastAsia="zh-CN"/>
                    </w:rPr>
                  </w:pPr>
                  <w:r>
                    <w:rPr>
                      <w:rFonts w:hint="eastAsia"/>
                      <w:b/>
                      <w:bCs/>
                      <w:color w:val="auto"/>
                      <w:kern w:val="0"/>
                      <w:szCs w:val="21"/>
                      <w:lang w:val="en-US" w:eastAsia="zh-CN"/>
                    </w:rPr>
                    <w:t>生态保护红线相关要求：</w:t>
                  </w:r>
                </w:p>
                <w:p w14:paraId="42C152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按照《中共中央办公厅 国务院办公厅关于在国土空间规划中统筹划定落实三条控制线的指导意见》《自然资源部 生态环境部 国家林业和草原局关于加强生态保护红线管理的通知（试行）》《陕西省自然资源厅 陕西省生态环境厅陕西省林业局关于加强生态保护红线管理的通知（试行）》等相关要求进行管控。</w:t>
                  </w:r>
                </w:p>
                <w:p w14:paraId="0489874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一、加强人为活动管控</w:t>
                  </w:r>
                </w:p>
                <w:p w14:paraId="6A20C9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（一）规范有限人为活动准入</w:t>
                  </w:r>
                </w:p>
                <w:p w14:paraId="622BC4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生态保护红线内自然保护地核心保护区外，禁止开发性、生产性建设活动，在符合法律法规的前提下，允许以下对生态功能不造成破坏的有限人为活动。</w:t>
                  </w:r>
                </w:p>
                <w:p w14:paraId="385C24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1.（略）</w:t>
                  </w:r>
                </w:p>
                <w:p w14:paraId="2691716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2.（略）</w:t>
                  </w:r>
                </w:p>
                <w:p w14:paraId="16B3C9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3.（略）</w:t>
                  </w:r>
                </w:p>
                <w:p w14:paraId="2A9BE3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4.（略）</w:t>
                  </w:r>
                </w:p>
                <w:p w14:paraId="0B8918E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5.不破坏生态功能的适度参观旅游、科普宣教及符合相关规划的配套性服务设施和相关的必要公共设施建设及维护。</w:t>
                  </w:r>
                </w:p>
                <w:p w14:paraId="0B65CD5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6.必须且无法避让、符合县级以上国土空间规划的线性基础设施、通讯和防洪、供水、水文设施建设和船舶航行、航道疏浚清淤等活动；已有的合法水利、交通运输等设施运行维护改造。</w:t>
                  </w:r>
                </w:p>
                <w:p w14:paraId="20EFA6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7.（略）</w:t>
                  </w:r>
                </w:p>
                <w:p w14:paraId="79B775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8.依据县级以上国土空间规划和生态保护修复专项规划开展的生态修复。</w:t>
                  </w:r>
                </w:p>
                <w:p w14:paraId="2FA31B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9.法律法规规定允许的其他人为活动。</w:t>
                  </w:r>
                </w:p>
                <w:p w14:paraId="09A0B8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生态保护红线内自然保护区、风景名胜区、饮用水水源保护区等区域，依照法律法规执行。生态保护红线内允许的有限人为活动及涉及上述区域的，应当征求相关主管部门意见，涉及自然保护地的，应征求林业主管部门或自然保护地管理机构意见。</w:t>
                  </w:r>
                </w:p>
                <w:p w14:paraId="5C32CD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w:t>
                  </w:r>
                  <w:r>
                    <w:rPr>
                      <w:rFonts w:hint="eastAsia" w:eastAsia="宋体"/>
                      <w:color w:val="auto"/>
                      <w:kern w:val="0"/>
                      <w:szCs w:val="21"/>
                      <w:lang w:val="en-US" w:eastAsia="zh-CN"/>
                    </w:rPr>
                    <w:t>二</w:t>
                  </w:r>
                  <w:r>
                    <w:rPr>
                      <w:rFonts w:hint="eastAsia" w:eastAsia="宋体"/>
                      <w:color w:val="auto"/>
                      <w:kern w:val="0"/>
                      <w:szCs w:val="21"/>
                      <w:lang w:val="zh-CN" w:eastAsia="zh-CN"/>
                    </w:rPr>
                    <w:t>）加强有限人为活动管理</w:t>
                  </w:r>
                </w:p>
                <w:p w14:paraId="26F372B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1.有限人为活动不涉及新增建设用地审批的，应严格控制活动强度和规模，避免对生态功能造成破坏。其中，无具体建设活动的，由相关部门按规定做好管理；有具体建设活动的，由建设活动所在地县级政府组织自然资源、生态环境、林业等主管部门进行审查，对符合要求的，形成认定意见，明确建设活动符合生态保护红线内允许有限人为活动要求，作为有关部门做好建设活动管理的依据和办理有关手续的要件。原住居民和其他合法权益主体在不扩大现有建设用地范围和规模前提下修筑生活设施的，可免予审查。</w:t>
                  </w:r>
                </w:p>
                <w:p w14:paraId="6FF4151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2.有限人为活动涉及新增建设用地审批的，在建设项目用地预审时，由建设项目所在地市、县级政府逐级组织自然资源、生态环境、林业等主管部门开展论证。符合要求的，由市、县分别提出初步认定意见，并明确“建设活动符合生态保护红线内允许有限人为活动要求”初步认定意见纳入预审材料中，同时逐级向省政府提出出具认定意见的申请。申请材料包括：①请示文件；②市、县级政府出具的符合允许有限人为活动的初步认定意见；③市、县级政府组织的专家论证有关材料。包括论证报告、专家意见等；④法律法规规定的其他材料。省自然资源厅按照省政府批办意见组织开展审查，并根据实际情况征求省生态环境厅、省林业局以及其他省级相关部门意见。符合要求的，报请省政府出具认定意见，明确“建设活动符合生态保护红线内允许有限人为活动要求”。省政府的认定意见在报批农用地转用和土地征收时，作为要件纳入用地报批材料中。</w:t>
                  </w:r>
                </w:p>
                <w:p w14:paraId="11639E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（三）妥善有序处理生态保护红线内的历史遗留问题</w:t>
                  </w:r>
                </w:p>
                <w:p w14:paraId="254C12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（略）</w:t>
                  </w:r>
                </w:p>
                <w:p w14:paraId="029BC6B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二、严格生态保护红线占用审批</w:t>
                  </w:r>
                </w:p>
                <w:p w14:paraId="22E2DE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生态保护红线内允许有限人为活动之外，确需占用生态保护红线的国家重大项目，按照《陕西省自然资源厅 陕西省生态环境厅陕西省林业局关于加强生态保护红线管理的通知（试行）》要求办理用地审批。</w:t>
                  </w:r>
                </w:p>
                <w:p w14:paraId="1DF78BE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ascii="Times New Roman" w:hAnsi="Times New Roman" w:eastAsia="宋体" w:cs="Times New Roman"/>
                      <w:color w:val="auto"/>
                      <w:sz w:val="21"/>
                      <w:szCs w:val="21"/>
                      <w:lang w:val="en-US" w:eastAsia="zh-CN"/>
                    </w:rPr>
                  </w:pPr>
                  <w:r>
                    <w:rPr>
                      <w:rFonts w:hint="eastAsia" w:eastAsia="宋体"/>
                      <w:color w:val="auto"/>
                      <w:kern w:val="0"/>
                      <w:szCs w:val="21"/>
                      <w:lang w:val="zh-CN" w:eastAsia="zh-CN"/>
                    </w:rPr>
                    <w:t>1.国家重大项目范围。党中央、国务院发布文件或批准规划中明确具体名称的项目和国务院批准的项目。中央军委及其有关部门批准的军事国防项目。国家级规划（指国务院及其有关部门正式颁布）明确的交通、水利项目。国家级规划明确的电网项目。国家级规划明确的且符合国家产业政策的能源矿产勘查开采、油气管线、水电、核电项目。为贯彻落实党中央、国务院重大决策部署，由国务院投资主管部门或国务院投资主管部门会同有关部门确认的交通、能源、水利等基础设施项目。按照国家重大项目用地保障工作机制要求，国家发展改革委会同有关部门确认的需中央加大建设用地保障力度，确实难以避让的国家重大项目。</w:t>
                  </w:r>
                </w:p>
              </w:tc>
              <w:tc>
                <w:tcPr>
                  <w:tcW w:w="867" w:type="dxa"/>
                  <w:noWrap w:val="0"/>
                  <w:vAlign w:val="center"/>
                </w:tcPr>
                <w:p w14:paraId="76454F4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color w:val="auto"/>
                      <w:kern w:val="0"/>
                      <w:szCs w:val="21"/>
                      <w:lang w:val="en-US" w:eastAsia="zh-CN"/>
                    </w:rPr>
                  </w:pPr>
                  <w:r>
                    <w:rPr>
                      <w:rFonts w:hint="eastAsia"/>
                      <w:color w:val="auto"/>
                      <w:kern w:val="0"/>
                      <w:szCs w:val="21"/>
                      <w:lang w:val="en-US" w:eastAsia="zh-CN"/>
                    </w:rPr>
                    <w:t>646m</w:t>
                  </w:r>
                </w:p>
              </w:tc>
              <w:tc>
                <w:tcPr>
                  <w:tcW w:w="3295" w:type="dxa"/>
                  <w:noWrap w:val="0"/>
                  <w:vAlign w:val="center"/>
                </w:tcPr>
                <w:p w14:paraId="6B22181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b/>
                      <w:bCs/>
                      <w:color w:val="auto"/>
                      <w:sz w:val="21"/>
                      <w:szCs w:val="21"/>
                      <w:lang w:val="en-US" w:eastAsia="zh-CN"/>
                    </w:rPr>
                  </w:pPr>
                  <w:r>
                    <w:rPr>
                      <w:rFonts w:hint="eastAsia"/>
                      <w:b/>
                      <w:bCs/>
                      <w:color w:val="auto"/>
                      <w:sz w:val="21"/>
                      <w:szCs w:val="21"/>
                      <w:lang w:val="en-US" w:eastAsia="zh-CN"/>
                    </w:rPr>
                    <w:t>自然保护区：</w:t>
                  </w:r>
                </w:p>
                <w:p w14:paraId="216E137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imes New Roman" w:hAnsi="Times New Roman" w:eastAsia="宋体"/>
                      <w:color w:val="FF0000"/>
                      <w:sz w:val="21"/>
                      <w:szCs w:val="21"/>
                      <w:lang w:val="en-US" w:eastAsia="zh-CN"/>
                    </w:rPr>
                  </w:pPr>
                  <w:r>
                    <w:rPr>
                      <w:rFonts w:hint="eastAsia" w:ascii="Times New Roman" w:hAnsi="Times New Roman" w:eastAsia="宋体"/>
                      <w:color w:val="auto"/>
                      <w:sz w:val="21"/>
                      <w:szCs w:val="21"/>
                      <w:lang w:eastAsia="zh-CN"/>
                    </w:rPr>
                    <w:t>本项目</w:t>
                  </w:r>
                  <w:r>
                    <w:rPr>
                      <w:rFonts w:hint="eastAsia"/>
                      <w:color w:val="auto"/>
                      <w:sz w:val="21"/>
                      <w:szCs w:val="21"/>
                      <w:lang w:val="en-US" w:eastAsia="zh-CN"/>
                    </w:rPr>
                    <w:t>位于</w:t>
                  </w:r>
                  <w:r>
                    <w:rPr>
                      <w:rFonts w:hint="eastAsia"/>
                      <w:color w:val="auto"/>
                      <w:kern w:val="0"/>
                      <w:szCs w:val="21"/>
                      <w:lang w:val="en-US" w:eastAsia="zh-CN"/>
                    </w:rPr>
                    <w:t>陕西汉中朱鹮国家级自然保护区一般管控区，项目为</w:t>
                  </w:r>
                  <w:r>
                    <w:rPr>
                      <w:rFonts w:hint="eastAsia"/>
                      <w:color w:val="auto"/>
                      <w:sz w:val="21"/>
                      <w:szCs w:val="21"/>
                      <w:lang w:val="en-US" w:eastAsia="zh-CN"/>
                    </w:rPr>
                    <w:t>改建铁路项目，属于</w:t>
                  </w:r>
                  <w:r>
                    <w:rPr>
                      <w:rFonts w:hint="eastAsia"/>
                      <w:color w:val="auto"/>
                      <w:kern w:val="0"/>
                      <w:szCs w:val="21"/>
                      <w:lang w:val="en-US" w:eastAsia="zh-CN"/>
                    </w:rPr>
                    <w:t>《自然资源部国家林业和草原局关于做好自然保护区范围及功能分区优化调整前期有关工作的函》一般管控区允许的有限人为活动</w:t>
                  </w:r>
                  <w:r>
                    <w:rPr>
                      <w:rFonts w:hint="eastAsia" w:ascii="Times New Roman" w:hAnsi="Times New Roman" w:eastAsia="宋体"/>
                      <w:color w:val="auto"/>
                      <w:sz w:val="21"/>
                      <w:szCs w:val="21"/>
                      <w:lang w:val="en-US" w:eastAsia="zh-CN"/>
                    </w:rPr>
                    <w:t>。</w:t>
                  </w:r>
                </w:p>
                <w:p w14:paraId="119B40D5">
                  <w:pPr>
                    <w:numPr>
                      <w:ilvl w:val="0"/>
                      <w:numId w:val="0"/>
                    </w:numPr>
                    <w:ind w:leftChars="0"/>
                    <w:rPr>
                      <w:rFonts w:hint="eastAsia"/>
                      <w:b/>
                      <w:bCs/>
                      <w:lang w:val="en-US" w:eastAsia="zh-CN"/>
                    </w:rPr>
                  </w:pPr>
                  <w:r>
                    <w:rPr>
                      <w:rFonts w:hint="eastAsia"/>
                      <w:b/>
                      <w:bCs/>
                      <w:lang w:val="en-US" w:eastAsia="zh-CN"/>
                    </w:rPr>
                    <w:t>生态保护红线：</w:t>
                  </w:r>
                </w:p>
                <w:p w14:paraId="31B811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b/>
                      <w:bCs/>
                      <w:color w:val="auto"/>
                      <w:kern w:val="0"/>
                      <w:szCs w:val="21"/>
                      <w:lang w:val="en-US" w:eastAsia="zh-CN"/>
                    </w:rPr>
                  </w:pPr>
                  <w:r>
                    <w:rPr>
                      <w:rFonts w:hint="eastAsia"/>
                      <w:b/>
                      <w:bCs/>
                      <w:color w:val="auto"/>
                      <w:kern w:val="0"/>
                      <w:szCs w:val="21"/>
                      <w:lang w:val="en-US" w:eastAsia="zh-CN"/>
                    </w:rPr>
                    <w:t>一、加强人为活动管控</w:t>
                  </w:r>
                </w:p>
                <w:p w14:paraId="142B425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color w:val="auto"/>
                      <w:kern w:val="0"/>
                      <w:szCs w:val="21"/>
                      <w:lang w:val="en-US" w:eastAsia="zh-CN"/>
                    </w:rPr>
                  </w:pPr>
                  <w:r>
                    <w:rPr>
                      <w:rFonts w:hint="eastAsia"/>
                      <w:color w:val="auto"/>
                      <w:kern w:val="0"/>
                      <w:szCs w:val="21"/>
                      <w:lang w:val="en-US" w:eastAsia="zh-CN"/>
                    </w:rPr>
                    <w:t>（一）规范有限人为活动准入</w:t>
                  </w:r>
                </w:p>
                <w:p w14:paraId="5108751B">
                  <w:pPr>
                    <w:numPr>
                      <w:ilvl w:val="0"/>
                      <w:numId w:val="0"/>
                    </w:numPr>
                    <w:ind w:leftChars="0"/>
                    <w:rPr>
                      <w:rFonts w:hint="eastAsia"/>
                      <w:color w:val="auto"/>
                      <w:kern w:val="0"/>
                      <w:szCs w:val="21"/>
                      <w:lang w:val="en-US" w:eastAsia="zh-CN"/>
                    </w:rPr>
                  </w:pPr>
                  <w:r>
                    <w:rPr>
                      <w:rFonts w:hint="eastAsia"/>
                      <w:color w:val="auto"/>
                      <w:kern w:val="0"/>
                      <w:szCs w:val="21"/>
                      <w:lang w:val="en-US" w:eastAsia="zh-CN"/>
                    </w:rPr>
                    <w:t>1.</w:t>
                  </w:r>
                  <w:r>
                    <w:rPr>
                      <w:rFonts w:hint="eastAsia" w:eastAsia="宋体"/>
                      <w:color w:val="auto"/>
                      <w:kern w:val="0"/>
                      <w:szCs w:val="21"/>
                      <w:lang w:val="zh-CN" w:eastAsia="zh-CN"/>
                    </w:rPr>
                    <w:t>（略）</w:t>
                  </w:r>
                </w:p>
                <w:p w14:paraId="450C2136">
                  <w:pPr>
                    <w:numPr>
                      <w:ilvl w:val="0"/>
                      <w:numId w:val="0"/>
                    </w:numPr>
                    <w:ind w:leftChars="0"/>
                    <w:rPr>
                      <w:rFonts w:hint="eastAsia"/>
                      <w:color w:val="auto"/>
                      <w:kern w:val="0"/>
                      <w:szCs w:val="21"/>
                      <w:lang w:val="en-US" w:eastAsia="zh-CN"/>
                    </w:rPr>
                  </w:pPr>
                  <w:r>
                    <w:rPr>
                      <w:rFonts w:hint="eastAsia"/>
                      <w:color w:val="auto"/>
                      <w:kern w:val="0"/>
                      <w:szCs w:val="21"/>
                      <w:lang w:val="en-US" w:eastAsia="zh-CN"/>
                    </w:rPr>
                    <w:t>2.</w:t>
                  </w:r>
                  <w:r>
                    <w:rPr>
                      <w:rFonts w:hint="eastAsia" w:eastAsia="宋体"/>
                      <w:color w:val="auto"/>
                      <w:kern w:val="0"/>
                      <w:szCs w:val="21"/>
                      <w:lang w:val="zh-CN" w:eastAsia="zh-CN"/>
                    </w:rPr>
                    <w:t>（略）</w:t>
                  </w:r>
                </w:p>
                <w:p w14:paraId="5E4494E1">
                  <w:pPr>
                    <w:numPr>
                      <w:ilvl w:val="0"/>
                      <w:numId w:val="0"/>
                    </w:numPr>
                    <w:ind w:leftChars="0"/>
                    <w:rPr>
                      <w:rFonts w:hint="eastAsia" w:eastAsia="宋体"/>
                      <w:color w:val="auto"/>
                      <w:kern w:val="0"/>
                      <w:szCs w:val="21"/>
                      <w:lang w:val="zh-CN" w:eastAsia="zh-CN"/>
                    </w:rPr>
                  </w:pPr>
                  <w:r>
                    <w:rPr>
                      <w:rFonts w:hint="eastAsia"/>
                      <w:color w:val="auto"/>
                      <w:kern w:val="0"/>
                      <w:szCs w:val="21"/>
                      <w:lang w:val="en-US" w:eastAsia="zh-CN"/>
                    </w:rPr>
                    <w:t>3.</w:t>
                  </w:r>
                  <w:r>
                    <w:rPr>
                      <w:rFonts w:hint="eastAsia" w:eastAsia="宋体"/>
                      <w:color w:val="auto"/>
                      <w:kern w:val="0"/>
                      <w:szCs w:val="21"/>
                      <w:lang w:val="zh-CN" w:eastAsia="zh-CN"/>
                    </w:rPr>
                    <w:t>（略）</w:t>
                  </w:r>
                </w:p>
                <w:p w14:paraId="2E1EEA3B">
                  <w:pPr>
                    <w:numPr>
                      <w:ilvl w:val="0"/>
                      <w:numId w:val="0"/>
                    </w:numPr>
                    <w:ind w:leftChars="0"/>
                    <w:rPr>
                      <w:rFonts w:hint="eastAsia" w:eastAsia="宋体"/>
                      <w:color w:val="auto"/>
                      <w:kern w:val="0"/>
                      <w:szCs w:val="21"/>
                      <w:lang w:val="zh-CN" w:eastAsia="zh-CN"/>
                    </w:rPr>
                  </w:pPr>
                  <w:r>
                    <w:rPr>
                      <w:rFonts w:hint="eastAsia"/>
                      <w:color w:val="auto"/>
                      <w:kern w:val="0"/>
                      <w:szCs w:val="21"/>
                      <w:lang w:val="en-US" w:eastAsia="zh-CN"/>
                    </w:rPr>
                    <w:t>4.</w:t>
                  </w:r>
                  <w:r>
                    <w:rPr>
                      <w:rFonts w:hint="eastAsia" w:eastAsia="宋体"/>
                      <w:color w:val="auto"/>
                      <w:kern w:val="0"/>
                      <w:szCs w:val="21"/>
                      <w:lang w:val="zh-CN" w:eastAsia="zh-CN"/>
                    </w:rPr>
                    <w:t>（略）</w:t>
                  </w:r>
                </w:p>
                <w:p w14:paraId="41D0A08A">
                  <w:pPr>
                    <w:numPr>
                      <w:ilvl w:val="0"/>
                      <w:numId w:val="0"/>
                    </w:numPr>
                    <w:ind w:leftChars="0"/>
                    <w:rPr>
                      <w:rFonts w:hint="eastAsia"/>
                      <w:color w:val="auto"/>
                      <w:kern w:val="0"/>
                      <w:szCs w:val="21"/>
                      <w:lang w:val="en-US" w:eastAsia="zh-CN"/>
                    </w:rPr>
                  </w:pPr>
                  <w:r>
                    <w:rPr>
                      <w:rFonts w:hint="eastAsia"/>
                      <w:color w:val="auto"/>
                      <w:kern w:val="0"/>
                      <w:szCs w:val="21"/>
                      <w:lang w:val="en-US" w:eastAsia="zh-CN"/>
                    </w:rPr>
                    <w:t>5.本项目属于配套的服务设施和相关必要公共设施维护改造。</w:t>
                  </w:r>
                </w:p>
                <w:p w14:paraId="0085E9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color w:val="auto"/>
                      <w:kern w:val="0"/>
                      <w:szCs w:val="21"/>
                      <w:lang w:val="en-US" w:eastAsia="zh-CN"/>
                    </w:rPr>
                    <w:t>6.本项目属于</w:t>
                  </w:r>
                  <w:r>
                    <w:rPr>
                      <w:rFonts w:hint="eastAsia" w:eastAsia="宋体"/>
                      <w:color w:val="auto"/>
                      <w:kern w:val="0"/>
                      <w:szCs w:val="21"/>
                      <w:lang w:val="zh-CN" w:eastAsia="zh-CN"/>
                    </w:rPr>
                    <w:t>已有的合法交通运输等设施运行维护改造。</w:t>
                  </w:r>
                </w:p>
                <w:p w14:paraId="6D8A1242">
                  <w:pPr>
                    <w:numPr>
                      <w:ilvl w:val="0"/>
                      <w:numId w:val="0"/>
                    </w:numPr>
                    <w:ind w:leftChars="0"/>
                    <w:rPr>
                      <w:rFonts w:hint="eastAsia"/>
                      <w:color w:val="auto"/>
                      <w:kern w:val="0"/>
                      <w:szCs w:val="21"/>
                      <w:lang w:val="en-US" w:eastAsia="zh-CN"/>
                    </w:rPr>
                  </w:pPr>
                  <w:r>
                    <w:rPr>
                      <w:rFonts w:hint="eastAsia"/>
                      <w:color w:val="auto"/>
                      <w:kern w:val="0"/>
                      <w:szCs w:val="21"/>
                      <w:lang w:val="en-US" w:eastAsia="zh-CN"/>
                    </w:rPr>
                    <w:t>7.</w:t>
                  </w:r>
                  <w:r>
                    <w:rPr>
                      <w:rFonts w:hint="eastAsia" w:eastAsia="宋体"/>
                      <w:color w:val="auto"/>
                      <w:kern w:val="0"/>
                      <w:szCs w:val="21"/>
                      <w:lang w:val="zh-CN" w:eastAsia="zh-CN"/>
                    </w:rPr>
                    <w:t>（略）</w:t>
                  </w:r>
                </w:p>
                <w:p w14:paraId="13D5CA18">
                  <w:pPr>
                    <w:numPr>
                      <w:ilvl w:val="0"/>
                      <w:numId w:val="0"/>
                    </w:numPr>
                    <w:ind w:leftChars="0"/>
                    <w:rPr>
                      <w:rFonts w:hint="eastAsia"/>
                      <w:color w:val="auto"/>
                      <w:kern w:val="0"/>
                      <w:szCs w:val="21"/>
                      <w:lang w:val="en-US" w:eastAsia="zh-CN"/>
                    </w:rPr>
                  </w:pPr>
                  <w:r>
                    <w:rPr>
                      <w:rFonts w:hint="eastAsia"/>
                      <w:color w:val="auto"/>
                      <w:kern w:val="0"/>
                      <w:szCs w:val="21"/>
                      <w:lang w:val="en-US" w:eastAsia="zh-CN"/>
                    </w:rPr>
                    <w:t>8.本项目不涉及</w:t>
                  </w:r>
                </w:p>
                <w:p w14:paraId="2ECF9AE8">
                  <w:pPr>
                    <w:numPr>
                      <w:ilvl w:val="0"/>
                      <w:numId w:val="0"/>
                    </w:numPr>
                    <w:ind w:leftChars="0"/>
                    <w:rPr>
                      <w:rFonts w:hint="eastAsia"/>
                      <w:color w:val="auto"/>
                      <w:kern w:val="0"/>
                      <w:szCs w:val="21"/>
                      <w:lang w:val="en-US" w:eastAsia="zh-CN"/>
                    </w:rPr>
                  </w:pPr>
                  <w:r>
                    <w:rPr>
                      <w:rFonts w:hint="eastAsia"/>
                      <w:color w:val="auto"/>
                      <w:kern w:val="0"/>
                      <w:szCs w:val="21"/>
                      <w:lang w:val="en-US" w:eastAsia="zh-CN"/>
                    </w:rPr>
                    <w:t>9.本项目不涉及</w:t>
                  </w:r>
                </w:p>
                <w:p w14:paraId="35B6979B">
                  <w:pPr>
                    <w:numPr>
                      <w:ilvl w:val="0"/>
                      <w:numId w:val="0"/>
                    </w:numPr>
                    <w:ind w:leftChars="0"/>
                    <w:rPr>
                      <w:rFonts w:hint="eastAsia"/>
                      <w:color w:val="auto"/>
                      <w:kern w:val="0"/>
                      <w:szCs w:val="21"/>
                      <w:lang w:val="en-US" w:eastAsia="zh-CN"/>
                    </w:rPr>
                  </w:pPr>
                  <w:r>
                    <w:rPr>
                      <w:rFonts w:hint="eastAsia"/>
                      <w:color w:val="auto"/>
                      <w:kern w:val="0"/>
                      <w:szCs w:val="21"/>
                      <w:lang w:val="en-US" w:eastAsia="zh-CN"/>
                    </w:rPr>
                    <w:t>本项目属于允许的有限人为活动，取得了陕西省汉中朱鹮国家级自然保护区的同意（附件4）。</w:t>
                  </w:r>
                </w:p>
                <w:p w14:paraId="2964408D">
                  <w:pPr>
                    <w:numPr>
                      <w:ilvl w:val="0"/>
                      <w:numId w:val="2"/>
                    </w:numPr>
                    <w:ind w:leftChars="0"/>
                    <w:rPr>
                      <w:rFonts w:hint="eastAsia"/>
                      <w:color w:val="auto"/>
                      <w:kern w:val="0"/>
                      <w:szCs w:val="21"/>
                      <w:lang w:val="en-US" w:eastAsia="zh-CN"/>
                    </w:rPr>
                  </w:pPr>
                  <w:r>
                    <w:rPr>
                      <w:rFonts w:hint="eastAsia"/>
                      <w:color w:val="auto"/>
                      <w:kern w:val="0"/>
                      <w:szCs w:val="21"/>
                      <w:lang w:val="en-US" w:eastAsia="zh-CN"/>
                    </w:rPr>
                    <w:t>加强有限人为活动管理</w:t>
                  </w:r>
                </w:p>
                <w:p w14:paraId="5E6FEDF3">
                  <w:pPr>
                    <w:numPr>
                      <w:ilvl w:val="0"/>
                      <w:numId w:val="0"/>
                    </w:numPr>
                    <w:rPr>
                      <w:rFonts w:hint="eastAsia"/>
                      <w:color w:val="FF0000"/>
                      <w:kern w:val="0"/>
                      <w:szCs w:val="21"/>
                      <w:lang w:val="en-US" w:eastAsia="zh-CN"/>
                    </w:rPr>
                  </w:pPr>
                  <w:r>
                    <w:rPr>
                      <w:rFonts w:hint="eastAsia"/>
                      <w:color w:val="auto"/>
                      <w:kern w:val="0"/>
                      <w:szCs w:val="21"/>
                      <w:lang w:val="en-US" w:eastAsia="zh-CN"/>
                    </w:rPr>
                    <w:t>本项目不涉及新增建设用地审批，施工期严格控制施工范围，采取环评提出的保护措施，不会对生态功能造成破坏；属于有具体建设活动的，取得了陕西省汉中朱鹮国家级自然保护区的同意。</w:t>
                  </w:r>
                </w:p>
                <w:p w14:paraId="7B1B10A1">
                  <w:pPr>
                    <w:numPr>
                      <w:ilvl w:val="0"/>
                      <w:numId w:val="2"/>
                    </w:numPr>
                    <w:ind w:left="0" w:leftChars="0" w:firstLine="0" w:firstLineChars="0"/>
                    <w:rPr>
                      <w:rFonts w:hint="eastAsia"/>
                      <w:color w:val="auto"/>
                      <w:kern w:val="0"/>
                      <w:szCs w:val="21"/>
                      <w:lang w:val="en-US" w:eastAsia="zh-CN"/>
                    </w:rPr>
                  </w:pPr>
                  <w:r>
                    <w:rPr>
                      <w:rFonts w:hint="eastAsia"/>
                      <w:color w:val="auto"/>
                      <w:kern w:val="0"/>
                      <w:szCs w:val="21"/>
                      <w:lang w:val="en-US" w:eastAsia="zh-CN"/>
                    </w:rPr>
                    <w:t>妥善有序处理生态保护红线内的历史遗留问题</w:t>
                  </w:r>
                </w:p>
                <w:p w14:paraId="1193E606">
                  <w:pPr>
                    <w:numPr>
                      <w:ilvl w:val="0"/>
                      <w:numId w:val="0"/>
                    </w:numPr>
                    <w:ind w:leftChars="0"/>
                    <w:rPr>
                      <w:rFonts w:hint="eastAsia"/>
                      <w:b/>
                      <w:bCs/>
                      <w:color w:val="auto"/>
                      <w:kern w:val="0"/>
                      <w:szCs w:val="21"/>
                      <w:lang w:val="en-US" w:eastAsia="zh-CN"/>
                    </w:rPr>
                  </w:pPr>
                  <w:r>
                    <w:rPr>
                      <w:rFonts w:hint="eastAsia" w:eastAsia="宋体"/>
                      <w:color w:val="auto"/>
                      <w:kern w:val="0"/>
                      <w:szCs w:val="21"/>
                      <w:lang w:val="zh-CN" w:eastAsia="zh-CN"/>
                    </w:rPr>
                    <w:t>（略）</w:t>
                  </w:r>
                </w:p>
                <w:p w14:paraId="7FE72D5B">
                  <w:pPr>
                    <w:numPr>
                      <w:ilvl w:val="0"/>
                      <w:numId w:val="0"/>
                    </w:numPr>
                    <w:ind w:leftChars="0"/>
                    <w:rPr>
                      <w:rFonts w:hint="eastAsia"/>
                      <w:b/>
                      <w:bCs/>
                      <w:color w:val="auto"/>
                      <w:kern w:val="0"/>
                      <w:szCs w:val="21"/>
                      <w:lang w:val="en-US" w:eastAsia="zh-CN"/>
                    </w:rPr>
                  </w:pPr>
                  <w:r>
                    <w:rPr>
                      <w:rFonts w:hint="eastAsia"/>
                      <w:b/>
                      <w:bCs/>
                      <w:color w:val="auto"/>
                      <w:kern w:val="0"/>
                      <w:szCs w:val="21"/>
                      <w:lang w:val="en-US" w:eastAsia="zh-CN"/>
                    </w:rPr>
                    <w:t>二、严格生态保护红线占用审批</w:t>
                  </w:r>
                </w:p>
                <w:p w14:paraId="3FA50E23">
                  <w:pPr>
                    <w:numPr>
                      <w:ilvl w:val="0"/>
                      <w:numId w:val="0"/>
                    </w:numPr>
                    <w:rPr>
                      <w:rFonts w:hint="default"/>
                      <w:b/>
                      <w:bCs/>
                      <w:color w:val="auto"/>
                      <w:kern w:val="0"/>
                      <w:szCs w:val="21"/>
                      <w:lang w:val="en-US" w:eastAsia="zh-CN"/>
                    </w:rPr>
                  </w:pPr>
                  <w:r>
                    <w:rPr>
                      <w:rFonts w:hint="eastAsia"/>
                      <w:color w:val="auto"/>
                      <w:kern w:val="0"/>
                      <w:szCs w:val="21"/>
                      <w:lang w:val="en-US" w:eastAsia="zh-CN"/>
                    </w:rPr>
                    <w:t>本项目属于允许的有限人为活动。</w:t>
                  </w:r>
                </w:p>
              </w:tc>
              <w:tc>
                <w:tcPr>
                  <w:tcW w:w="734" w:type="dxa"/>
                  <w:noWrap w:val="0"/>
                  <w:vAlign w:val="center"/>
                </w:tcPr>
                <w:p w14:paraId="4DDBD2A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color w:val="auto"/>
                      <w:kern w:val="0"/>
                      <w:szCs w:val="21"/>
                      <w:lang w:val="en-US" w:eastAsia="zh-CN"/>
                    </w:rPr>
                  </w:pPr>
                  <w:r>
                    <w:rPr>
                      <w:rFonts w:hint="eastAsia"/>
                      <w:color w:val="auto"/>
                      <w:kern w:val="0"/>
                      <w:szCs w:val="21"/>
                      <w:lang w:val="en-US" w:eastAsia="zh-CN"/>
                    </w:rPr>
                    <w:t>符合</w:t>
                  </w:r>
                </w:p>
              </w:tc>
            </w:tr>
            <w:tr w14:paraId="6C29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vMerge w:val="restart"/>
                  <w:noWrap w:val="0"/>
                  <w:vAlign w:val="center"/>
                </w:tcPr>
                <w:p w14:paraId="7B5BD37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olor w:val="auto"/>
                      <w:kern w:val="0"/>
                      <w:szCs w:val="21"/>
                      <w:lang w:val="en-US" w:eastAsia="zh-CN"/>
                    </w:rPr>
                  </w:pPr>
                  <w:r>
                    <w:rPr>
                      <w:rFonts w:hint="eastAsia"/>
                      <w:color w:val="auto"/>
                      <w:kern w:val="0"/>
                      <w:szCs w:val="21"/>
                      <w:lang w:val="en-US" w:eastAsia="zh-CN"/>
                    </w:rPr>
                    <w:t>陕西省汉中市洋县优先保护单元1</w:t>
                  </w:r>
                </w:p>
              </w:tc>
              <w:tc>
                <w:tcPr>
                  <w:tcW w:w="650" w:type="dxa"/>
                  <w:vMerge w:val="restart"/>
                  <w:noWrap w:val="0"/>
                  <w:vAlign w:val="center"/>
                </w:tcPr>
                <w:p w14:paraId="02EB6F5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eastAsia="宋体"/>
                      <w:color w:val="auto"/>
                      <w:kern w:val="0"/>
                      <w:szCs w:val="21"/>
                      <w:lang w:val="en-US" w:eastAsia="zh-CN"/>
                    </w:rPr>
                  </w:pPr>
                  <w:r>
                    <w:rPr>
                      <w:rFonts w:hint="eastAsia" w:eastAsia="宋体"/>
                      <w:color w:val="auto"/>
                      <w:kern w:val="0"/>
                      <w:szCs w:val="21"/>
                      <w:lang w:val="en-US" w:eastAsia="zh-CN"/>
                    </w:rPr>
                    <w:t>大气环境布局敏感重点管控区、水环境城镇生活污染重点管控区</w:t>
                  </w:r>
                </w:p>
              </w:tc>
              <w:tc>
                <w:tcPr>
                  <w:tcW w:w="777" w:type="dxa"/>
                  <w:vMerge w:val="restart"/>
                  <w:noWrap w:val="0"/>
                  <w:vAlign w:val="center"/>
                </w:tcPr>
                <w:p w14:paraId="780C8DB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eastAsia="宋体"/>
                      <w:color w:val="auto"/>
                      <w:kern w:val="0"/>
                      <w:szCs w:val="21"/>
                      <w:lang w:val="en-US" w:eastAsia="zh-CN"/>
                    </w:rPr>
                  </w:pPr>
                  <w:r>
                    <w:rPr>
                      <w:rFonts w:hint="eastAsia" w:eastAsia="宋体"/>
                      <w:color w:val="auto"/>
                      <w:kern w:val="0"/>
                      <w:szCs w:val="21"/>
                      <w:lang w:val="en-US" w:eastAsia="zh-CN"/>
                    </w:rPr>
                    <w:t>重点管控单元</w:t>
                  </w:r>
                </w:p>
              </w:tc>
              <w:tc>
                <w:tcPr>
                  <w:tcW w:w="650" w:type="dxa"/>
                  <w:shd w:val="clear" w:color="auto" w:fill="auto"/>
                  <w:noWrap w:val="0"/>
                  <w:vAlign w:val="center"/>
                </w:tcPr>
                <w:p w14:paraId="221211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both"/>
                    <w:textAlignment w:val="auto"/>
                    <w:rPr>
                      <w:rFonts w:hint="eastAsia"/>
                      <w:color w:val="auto"/>
                      <w:kern w:val="0"/>
                      <w:szCs w:val="21"/>
                      <w:lang w:val="en-US" w:eastAsia="zh-CN"/>
                    </w:rPr>
                  </w:pPr>
                  <w:r>
                    <w:rPr>
                      <w:rFonts w:hint="eastAsia"/>
                      <w:color w:val="auto"/>
                      <w:kern w:val="0"/>
                      <w:szCs w:val="21"/>
                      <w:lang w:val="en-US" w:eastAsia="zh-CN"/>
                    </w:rPr>
                    <w:t>空间布局约束</w:t>
                  </w:r>
                </w:p>
              </w:tc>
              <w:tc>
                <w:tcPr>
                  <w:tcW w:w="4866" w:type="dxa"/>
                  <w:shd w:val="clear" w:color="auto" w:fill="auto"/>
                  <w:noWrap w:val="0"/>
                  <w:vAlign w:val="center"/>
                </w:tcPr>
                <w:p w14:paraId="5F10827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1.严格控制新增《陕西省“两高”项目管理暂行目录》行业项目（民生等项目除外，后续对“两高”范围国家如有新规定的，从其规定）。</w:t>
                  </w:r>
                </w:p>
                <w:p w14:paraId="6CE804C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2.推动重污染企业搬迁入园或依法关闭。</w:t>
                  </w:r>
                </w:p>
                <w:p w14:paraId="2C9B09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cs="Times New Roman"/>
                      <w:color w:val="auto"/>
                      <w:kern w:val="0"/>
                      <w:szCs w:val="21"/>
                      <w:lang w:val="en-US" w:eastAsia="zh-CN"/>
                    </w:rPr>
                  </w:pPr>
                  <w:r>
                    <w:rPr>
                      <w:rFonts w:hint="eastAsia" w:eastAsia="宋体"/>
                      <w:color w:val="auto"/>
                      <w:kern w:val="0"/>
                      <w:szCs w:val="21"/>
                      <w:lang w:val="zh-CN" w:eastAsia="zh-CN"/>
                    </w:rPr>
                    <w:t>加快建设城中村、老旧城区、建制镇、城乡结合部等生活污水收集管网，填补污水收集管网空白区。</w:t>
                  </w:r>
                  <w:r>
                    <w:rPr>
                      <w:rFonts w:hint="eastAsia" w:eastAsia="宋体"/>
                      <w:color w:val="auto"/>
                      <w:kern w:val="0"/>
                      <w:szCs w:val="21"/>
                      <w:lang w:val="en-US" w:eastAsia="zh-CN"/>
                    </w:rPr>
                    <w:t>3.</w:t>
                  </w:r>
                  <w:r>
                    <w:rPr>
                      <w:rFonts w:hint="eastAsia" w:eastAsia="宋体"/>
                      <w:color w:val="auto"/>
                      <w:kern w:val="0"/>
                      <w:szCs w:val="21"/>
                      <w:lang w:val="zh-CN" w:eastAsia="zh-CN"/>
                    </w:rPr>
                    <w:t>新建居住社区应同步规划、建设污水收集管网，推动支线管网和出户管的连接建设。</w:t>
                  </w:r>
                </w:p>
              </w:tc>
              <w:tc>
                <w:tcPr>
                  <w:tcW w:w="867" w:type="dxa"/>
                  <w:vMerge w:val="restart"/>
                  <w:noWrap w:val="0"/>
                  <w:vAlign w:val="center"/>
                </w:tcPr>
                <w:p w14:paraId="26E9B24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color w:val="auto"/>
                      <w:kern w:val="0"/>
                      <w:szCs w:val="21"/>
                      <w:lang w:val="en-US" w:eastAsia="zh-CN"/>
                    </w:rPr>
                  </w:pPr>
                  <w:r>
                    <w:rPr>
                      <w:rFonts w:hint="eastAsia"/>
                      <w:color w:val="auto"/>
                      <w:kern w:val="0"/>
                      <w:szCs w:val="21"/>
                      <w:lang w:val="en-US" w:eastAsia="zh-CN"/>
                    </w:rPr>
                    <w:t>91m</w:t>
                  </w:r>
                </w:p>
              </w:tc>
              <w:tc>
                <w:tcPr>
                  <w:tcW w:w="3295" w:type="dxa"/>
                  <w:noWrap w:val="0"/>
                  <w:vAlign w:val="center"/>
                </w:tcPr>
                <w:p w14:paraId="74FC8C41">
                  <w:pPr>
                    <w:numPr>
                      <w:ilvl w:val="0"/>
                      <w:numId w:val="0"/>
                    </w:numPr>
                    <w:autoSpaceDE w:val="0"/>
                    <w:autoSpaceDN w:val="0"/>
                    <w:adjustRightInd w:val="0"/>
                    <w:snapToGrid w:val="0"/>
                    <w:ind w:leftChars="0"/>
                    <w:jc w:val="both"/>
                    <w:rPr>
                      <w:rFonts w:hint="eastAsia" w:cs="Times New Roman"/>
                      <w:color w:val="auto"/>
                      <w:kern w:val="0"/>
                      <w:szCs w:val="21"/>
                      <w:lang w:val="en-US" w:eastAsia="zh-CN"/>
                    </w:rPr>
                  </w:pPr>
                  <w:r>
                    <w:rPr>
                      <w:rFonts w:hint="eastAsia" w:cs="Times New Roman"/>
                      <w:color w:val="auto"/>
                      <w:kern w:val="0"/>
                      <w:szCs w:val="21"/>
                      <w:lang w:val="en-US" w:eastAsia="zh-CN"/>
                    </w:rPr>
                    <w:t>1.本项目为铁路桥基础冲刷病害整治工程，不属于“两高”项目。</w:t>
                  </w:r>
                </w:p>
                <w:p w14:paraId="3162B5CF">
                  <w:pPr>
                    <w:numPr>
                      <w:ilvl w:val="0"/>
                      <w:numId w:val="0"/>
                    </w:numPr>
                    <w:autoSpaceDE w:val="0"/>
                    <w:autoSpaceDN w:val="0"/>
                    <w:adjustRightInd w:val="0"/>
                    <w:snapToGrid w:val="0"/>
                    <w:ind w:left="0" w:leftChars="0" w:firstLine="0" w:firstLineChars="0"/>
                    <w:jc w:val="both"/>
                    <w:rPr>
                      <w:rFonts w:hint="eastAsia"/>
                      <w:lang w:val="en-US" w:eastAsia="zh-CN"/>
                    </w:rPr>
                  </w:pPr>
                  <w:r>
                    <w:rPr>
                      <w:rFonts w:hint="eastAsia"/>
                      <w:lang w:val="en-US" w:eastAsia="zh-CN"/>
                    </w:rPr>
                    <w:t>2.本项目不涉及。</w:t>
                  </w:r>
                </w:p>
                <w:p w14:paraId="1C8DF18D">
                  <w:pPr>
                    <w:numPr>
                      <w:ilvl w:val="0"/>
                      <w:numId w:val="0"/>
                    </w:numPr>
                    <w:autoSpaceDE w:val="0"/>
                    <w:autoSpaceDN w:val="0"/>
                    <w:adjustRightInd w:val="0"/>
                    <w:snapToGrid w:val="0"/>
                    <w:ind w:left="0" w:leftChars="0" w:firstLine="0" w:firstLineChars="0"/>
                    <w:jc w:val="both"/>
                    <w:rPr>
                      <w:rFonts w:hint="default"/>
                      <w:lang w:val="en-US" w:eastAsia="zh-CN"/>
                    </w:rPr>
                  </w:pPr>
                  <w:r>
                    <w:rPr>
                      <w:rFonts w:hint="eastAsia"/>
                      <w:lang w:val="en-US" w:eastAsia="zh-CN"/>
                    </w:rPr>
                    <w:t>3.本项目不涉及。</w:t>
                  </w:r>
                </w:p>
              </w:tc>
              <w:tc>
                <w:tcPr>
                  <w:tcW w:w="734" w:type="dxa"/>
                  <w:noWrap w:val="0"/>
                  <w:vAlign w:val="center"/>
                </w:tcPr>
                <w:p w14:paraId="77F0993A">
                  <w:pPr>
                    <w:numPr>
                      <w:ilvl w:val="0"/>
                      <w:numId w:val="0"/>
                    </w:numPr>
                    <w:autoSpaceDE w:val="0"/>
                    <w:autoSpaceDN w:val="0"/>
                    <w:adjustRightInd w:val="0"/>
                    <w:snapToGrid w:val="0"/>
                    <w:ind w:left="0" w:leftChars="0" w:firstLine="0" w:firstLineChars="0"/>
                    <w:jc w:val="center"/>
                    <w:rPr>
                      <w:rFonts w:hint="default" w:cs="Times New Roman"/>
                      <w:color w:val="auto"/>
                      <w:kern w:val="0"/>
                      <w:szCs w:val="21"/>
                      <w:lang w:val="en-US" w:eastAsia="zh-CN"/>
                    </w:rPr>
                  </w:pPr>
                  <w:r>
                    <w:rPr>
                      <w:rFonts w:hint="eastAsia" w:cs="Times New Roman"/>
                      <w:color w:val="auto"/>
                      <w:kern w:val="0"/>
                      <w:szCs w:val="21"/>
                      <w:lang w:val="en-US" w:eastAsia="zh-CN"/>
                    </w:rPr>
                    <w:t>符合</w:t>
                  </w:r>
                </w:p>
              </w:tc>
            </w:tr>
            <w:tr w14:paraId="56D5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vMerge w:val="continue"/>
                  <w:noWrap w:val="0"/>
                  <w:vAlign w:val="center"/>
                </w:tcPr>
                <w:p w14:paraId="7C1D940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olor w:val="auto"/>
                      <w:kern w:val="0"/>
                      <w:szCs w:val="21"/>
                      <w:lang w:val="en-US" w:eastAsia="zh-CN"/>
                    </w:rPr>
                  </w:pPr>
                </w:p>
              </w:tc>
              <w:tc>
                <w:tcPr>
                  <w:tcW w:w="650" w:type="dxa"/>
                  <w:vMerge w:val="continue"/>
                  <w:noWrap w:val="0"/>
                  <w:vAlign w:val="center"/>
                </w:tcPr>
                <w:p w14:paraId="6075BFD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s="Times New Roman"/>
                      <w:color w:val="auto"/>
                      <w:spacing w:val="0"/>
                      <w:kern w:val="0"/>
                      <w:sz w:val="21"/>
                      <w:szCs w:val="21"/>
                      <w:lang w:val="en-US" w:eastAsia="zh-CN" w:bidi="ar"/>
                    </w:rPr>
                  </w:pPr>
                </w:p>
              </w:tc>
              <w:tc>
                <w:tcPr>
                  <w:tcW w:w="777" w:type="dxa"/>
                  <w:vMerge w:val="continue"/>
                  <w:noWrap w:val="0"/>
                  <w:vAlign w:val="center"/>
                </w:tcPr>
                <w:p w14:paraId="30A467A6">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s="Times New Roman"/>
                      <w:color w:val="auto"/>
                      <w:spacing w:val="0"/>
                      <w:kern w:val="0"/>
                      <w:sz w:val="21"/>
                      <w:szCs w:val="21"/>
                      <w:lang w:val="en-US" w:eastAsia="zh-CN" w:bidi="ar"/>
                    </w:rPr>
                  </w:pPr>
                </w:p>
              </w:tc>
              <w:tc>
                <w:tcPr>
                  <w:tcW w:w="650" w:type="dxa"/>
                  <w:shd w:val="clear" w:color="auto" w:fill="auto"/>
                  <w:noWrap w:val="0"/>
                  <w:vAlign w:val="center"/>
                </w:tcPr>
                <w:p w14:paraId="06862F7A">
                  <w:pPr>
                    <w:autoSpaceDE w:val="0"/>
                    <w:autoSpaceDN w:val="0"/>
                    <w:adjustRightInd w:val="0"/>
                    <w:snapToGrid w:val="0"/>
                    <w:jc w:val="both"/>
                    <w:rPr>
                      <w:rFonts w:hint="eastAsia"/>
                      <w:color w:val="auto"/>
                      <w:kern w:val="0"/>
                      <w:szCs w:val="21"/>
                      <w:lang w:val="en-US" w:eastAsia="zh-CN"/>
                    </w:rPr>
                  </w:pPr>
                  <w:r>
                    <w:rPr>
                      <w:rFonts w:hint="eastAsia"/>
                      <w:color w:val="auto"/>
                      <w:kern w:val="0"/>
                      <w:szCs w:val="21"/>
                      <w:lang w:val="en-US" w:eastAsia="zh-CN"/>
                    </w:rPr>
                    <w:t>污染物排放管控</w:t>
                  </w:r>
                </w:p>
              </w:tc>
              <w:tc>
                <w:tcPr>
                  <w:tcW w:w="4866" w:type="dxa"/>
                  <w:shd w:val="clear" w:color="auto" w:fill="auto"/>
                  <w:noWrap w:val="0"/>
                  <w:vAlign w:val="center"/>
                </w:tcPr>
                <w:p w14:paraId="51216A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en-US" w:eastAsia="zh-CN"/>
                    </w:rPr>
                    <w:t>1.</w:t>
                  </w:r>
                  <w:r>
                    <w:rPr>
                      <w:rFonts w:hint="eastAsia" w:eastAsia="宋体"/>
                      <w:color w:val="auto"/>
                      <w:kern w:val="0"/>
                      <w:szCs w:val="21"/>
                      <w:lang w:val="zh-CN" w:eastAsia="zh-CN"/>
                    </w:rPr>
                    <w:t>鼓励将老旧车辆和非道路移动机械替换为清洁能源车辆。推进新能源或清洁能源汽车使用。</w:t>
                  </w:r>
                </w:p>
                <w:p w14:paraId="0DC914CB">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en-US" w:eastAsia="zh-CN"/>
                    </w:rPr>
                    <w:t>2</w:t>
                  </w:r>
                  <w:r>
                    <w:rPr>
                      <w:rFonts w:hint="eastAsia" w:eastAsia="宋体"/>
                      <w:color w:val="auto"/>
                      <w:kern w:val="0"/>
                      <w:szCs w:val="21"/>
                      <w:lang w:val="zh-CN" w:eastAsia="zh-CN"/>
                    </w:rPr>
                    <w:t>.加强城镇污水收集处理设施建设与提标改造。</w:t>
                  </w:r>
                </w:p>
                <w:p w14:paraId="6D8CEC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en-US" w:eastAsia="zh-CN"/>
                    </w:rPr>
                    <w:t>3</w:t>
                  </w:r>
                  <w:r>
                    <w:rPr>
                      <w:rFonts w:hint="eastAsia" w:eastAsia="宋体"/>
                      <w:color w:val="auto"/>
                      <w:kern w:val="0"/>
                      <w:szCs w:val="21"/>
                      <w:lang w:val="zh-CN" w:eastAsia="zh-CN"/>
                    </w:rPr>
                    <w:t>.城镇新区管网建设及老旧城区管网升级改造中实行雨污分流，鼓励推进初期雨水收集、处理和资源化利用，建设人工湿地水质净化工程，对处理达标后的尾水进一步净化。</w:t>
                  </w:r>
                </w:p>
                <w:p w14:paraId="12D91B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cs="Times New Roman"/>
                      <w:color w:val="auto"/>
                      <w:kern w:val="0"/>
                      <w:szCs w:val="21"/>
                      <w:lang w:val="en-US" w:eastAsia="zh-CN"/>
                    </w:rPr>
                  </w:pPr>
                  <w:r>
                    <w:rPr>
                      <w:rFonts w:hint="eastAsia" w:eastAsia="宋体"/>
                      <w:color w:val="auto"/>
                      <w:kern w:val="0"/>
                      <w:szCs w:val="21"/>
                      <w:lang w:val="en-US" w:eastAsia="zh-CN"/>
                    </w:rPr>
                    <w:t>4</w:t>
                  </w:r>
                  <w:r>
                    <w:rPr>
                      <w:rFonts w:hint="eastAsia" w:eastAsia="宋体"/>
                      <w:color w:val="auto"/>
                      <w:kern w:val="0"/>
                      <w:szCs w:val="21"/>
                      <w:lang w:val="zh-CN" w:eastAsia="zh-CN"/>
                    </w:rPr>
                    <w:t>.污水处理厂出水用于绿化、农灌等用途的，合理确定管控要求，确保达到相应污水再生利用标准。</w:t>
                  </w:r>
                </w:p>
              </w:tc>
              <w:tc>
                <w:tcPr>
                  <w:tcW w:w="867" w:type="dxa"/>
                  <w:vMerge w:val="continue"/>
                  <w:noWrap w:val="0"/>
                  <w:vAlign w:val="center"/>
                </w:tcPr>
                <w:p w14:paraId="550724F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color w:val="auto"/>
                      <w:kern w:val="0"/>
                      <w:szCs w:val="21"/>
                      <w:lang w:val="en-US" w:eastAsia="zh-CN"/>
                    </w:rPr>
                  </w:pPr>
                </w:p>
              </w:tc>
              <w:tc>
                <w:tcPr>
                  <w:tcW w:w="3295" w:type="dxa"/>
                  <w:noWrap w:val="0"/>
                  <w:vAlign w:val="center"/>
                </w:tcPr>
                <w:p w14:paraId="174FB1ED">
                  <w:pPr>
                    <w:numPr>
                      <w:ilvl w:val="0"/>
                      <w:numId w:val="0"/>
                    </w:numPr>
                    <w:autoSpaceDE w:val="0"/>
                    <w:autoSpaceDN w:val="0"/>
                    <w:adjustRightInd w:val="0"/>
                    <w:snapToGrid w:val="0"/>
                    <w:ind w:leftChars="0"/>
                    <w:jc w:val="both"/>
                    <w:rPr>
                      <w:rFonts w:hint="eastAsia"/>
                      <w:color w:val="auto"/>
                      <w:kern w:val="0"/>
                      <w:szCs w:val="21"/>
                      <w:lang w:val="en-US" w:eastAsia="zh-CN"/>
                    </w:rPr>
                  </w:pPr>
                  <w:r>
                    <w:rPr>
                      <w:rFonts w:hint="eastAsia" w:cs="Times New Roman"/>
                      <w:color w:val="auto"/>
                      <w:kern w:val="0"/>
                      <w:szCs w:val="21"/>
                      <w:lang w:val="en-US" w:eastAsia="zh-CN"/>
                    </w:rPr>
                    <w:t>1.本项目施工期施工车辆和施工机械使用新能源或清洁能源。</w:t>
                  </w:r>
                </w:p>
                <w:p w14:paraId="32E6EAE7">
                  <w:pPr>
                    <w:numPr>
                      <w:ilvl w:val="0"/>
                      <w:numId w:val="0"/>
                    </w:numPr>
                    <w:autoSpaceDE w:val="0"/>
                    <w:autoSpaceDN w:val="0"/>
                    <w:adjustRightInd w:val="0"/>
                    <w:snapToGrid w:val="0"/>
                    <w:jc w:val="both"/>
                    <w:rPr>
                      <w:rFonts w:hint="eastAsia"/>
                      <w:color w:val="auto"/>
                      <w:kern w:val="0"/>
                      <w:szCs w:val="21"/>
                      <w:lang w:val="en-US" w:eastAsia="zh-CN"/>
                    </w:rPr>
                  </w:pPr>
                  <w:r>
                    <w:rPr>
                      <w:rFonts w:hint="eastAsia"/>
                      <w:color w:val="auto"/>
                      <w:kern w:val="0"/>
                      <w:szCs w:val="21"/>
                      <w:lang w:val="en-US" w:eastAsia="zh-CN"/>
                    </w:rPr>
                    <w:t>2.本项目施工期生活污水依托租用办公用房的农户化粪池处理后，还田施肥。</w:t>
                  </w:r>
                </w:p>
                <w:p w14:paraId="582E0A4C">
                  <w:pPr>
                    <w:numPr>
                      <w:ilvl w:val="0"/>
                      <w:numId w:val="0"/>
                    </w:numPr>
                    <w:autoSpaceDE w:val="0"/>
                    <w:autoSpaceDN w:val="0"/>
                    <w:adjustRightInd w:val="0"/>
                    <w:snapToGrid w:val="0"/>
                    <w:jc w:val="both"/>
                    <w:rPr>
                      <w:rFonts w:hint="eastAsia"/>
                      <w:color w:val="auto"/>
                      <w:kern w:val="0"/>
                      <w:szCs w:val="21"/>
                      <w:lang w:val="en-US" w:eastAsia="zh-CN"/>
                    </w:rPr>
                  </w:pPr>
                  <w:r>
                    <w:rPr>
                      <w:rFonts w:hint="eastAsia"/>
                      <w:color w:val="auto"/>
                      <w:kern w:val="0"/>
                      <w:szCs w:val="21"/>
                      <w:lang w:val="en-US" w:eastAsia="zh-CN"/>
                    </w:rPr>
                    <w:t>3.本项目不涉及。</w:t>
                  </w:r>
                </w:p>
                <w:p w14:paraId="17531E91">
                  <w:pPr>
                    <w:numPr>
                      <w:ilvl w:val="0"/>
                      <w:numId w:val="0"/>
                    </w:numPr>
                    <w:autoSpaceDE w:val="0"/>
                    <w:autoSpaceDN w:val="0"/>
                    <w:adjustRightInd w:val="0"/>
                    <w:snapToGrid w:val="0"/>
                    <w:ind w:left="0" w:leftChars="0" w:firstLine="0" w:firstLineChars="0"/>
                    <w:jc w:val="both"/>
                    <w:rPr>
                      <w:rFonts w:hint="eastAsia"/>
                      <w:lang w:val="en-US" w:eastAsia="zh-CN"/>
                    </w:rPr>
                  </w:pPr>
                  <w:r>
                    <w:rPr>
                      <w:rFonts w:hint="eastAsia"/>
                      <w:color w:val="auto"/>
                      <w:kern w:val="0"/>
                      <w:szCs w:val="21"/>
                      <w:lang w:val="en-US" w:eastAsia="zh-CN"/>
                    </w:rPr>
                    <w:t>4.本项目不涉及</w:t>
                  </w:r>
                  <w:r>
                    <w:rPr>
                      <w:rFonts w:hint="eastAsia" w:cs="Times New Roman"/>
                      <w:color w:val="auto"/>
                      <w:kern w:val="0"/>
                      <w:szCs w:val="21"/>
                      <w:lang w:val="en-US" w:eastAsia="zh-CN"/>
                    </w:rPr>
                    <w:t>。</w:t>
                  </w:r>
                </w:p>
              </w:tc>
              <w:tc>
                <w:tcPr>
                  <w:tcW w:w="734" w:type="dxa"/>
                  <w:noWrap w:val="0"/>
                  <w:vAlign w:val="center"/>
                </w:tcPr>
                <w:p w14:paraId="0BD57A4D">
                  <w:pPr>
                    <w:numPr>
                      <w:ilvl w:val="0"/>
                      <w:numId w:val="0"/>
                    </w:numPr>
                    <w:autoSpaceDE w:val="0"/>
                    <w:autoSpaceDN w:val="0"/>
                    <w:adjustRightInd w:val="0"/>
                    <w:snapToGrid w:val="0"/>
                    <w:ind w:left="0" w:leftChars="0" w:firstLine="0" w:firstLineChars="0"/>
                    <w:jc w:val="center"/>
                    <w:rPr>
                      <w:rFonts w:hint="eastAsia" w:cs="Times New Roman"/>
                      <w:color w:val="auto"/>
                      <w:kern w:val="0"/>
                      <w:szCs w:val="21"/>
                      <w:lang w:val="en-US" w:eastAsia="zh-CN"/>
                    </w:rPr>
                  </w:pPr>
                  <w:r>
                    <w:rPr>
                      <w:rFonts w:hint="eastAsia" w:cs="Times New Roman"/>
                      <w:color w:val="auto"/>
                      <w:kern w:val="0"/>
                      <w:szCs w:val="21"/>
                      <w:lang w:val="en-US" w:eastAsia="zh-CN"/>
                    </w:rPr>
                    <w:t>/</w:t>
                  </w:r>
                </w:p>
              </w:tc>
            </w:tr>
            <w:tr w14:paraId="05F1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vMerge w:val="restart"/>
                  <w:noWrap w:val="0"/>
                  <w:vAlign w:val="center"/>
                </w:tcPr>
                <w:p w14:paraId="6A8D603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color w:val="auto"/>
                      <w:kern w:val="0"/>
                      <w:szCs w:val="21"/>
                      <w:lang w:val="en-US" w:eastAsia="zh-CN"/>
                    </w:rPr>
                  </w:pPr>
                  <w:r>
                    <w:rPr>
                      <w:rFonts w:hint="eastAsia"/>
                      <w:color w:val="auto"/>
                      <w:kern w:val="0"/>
                      <w:szCs w:val="21"/>
                      <w:lang w:val="en-US" w:eastAsia="zh-CN"/>
                    </w:rPr>
                    <w:t>陕西省汉中市洋县重点管控单元1</w:t>
                  </w:r>
                </w:p>
              </w:tc>
              <w:tc>
                <w:tcPr>
                  <w:tcW w:w="650" w:type="dxa"/>
                  <w:vMerge w:val="restart"/>
                  <w:noWrap w:val="0"/>
                  <w:vAlign w:val="center"/>
                </w:tcPr>
                <w:p w14:paraId="73E4380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s="Times New Roman"/>
                      <w:color w:val="auto"/>
                      <w:spacing w:val="0"/>
                      <w:kern w:val="0"/>
                      <w:sz w:val="21"/>
                      <w:szCs w:val="21"/>
                      <w:lang w:val="en-US" w:eastAsia="zh-CN" w:bidi="ar"/>
                    </w:rPr>
                  </w:pPr>
                  <w:r>
                    <w:rPr>
                      <w:rFonts w:hint="eastAsia"/>
                      <w:color w:val="auto"/>
                      <w:kern w:val="0"/>
                      <w:szCs w:val="21"/>
                      <w:lang w:val="en-US" w:eastAsia="zh-CN"/>
                    </w:rPr>
                    <w:t>大气环境布局敏感重点管控区、水环境城镇生活污染重点管控区</w:t>
                  </w:r>
                </w:p>
              </w:tc>
              <w:tc>
                <w:tcPr>
                  <w:tcW w:w="777" w:type="dxa"/>
                  <w:vMerge w:val="restart"/>
                  <w:noWrap w:val="0"/>
                  <w:vAlign w:val="center"/>
                </w:tcPr>
                <w:p w14:paraId="55F497B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cs="Times New Roman"/>
                      <w:color w:val="auto"/>
                      <w:spacing w:val="0"/>
                      <w:kern w:val="0"/>
                      <w:sz w:val="21"/>
                      <w:szCs w:val="21"/>
                      <w:lang w:val="en-US" w:eastAsia="zh-CN" w:bidi="ar"/>
                    </w:rPr>
                  </w:pPr>
                  <w:r>
                    <w:rPr>
                      <w:rFonts w:hint="eastAsia" w:cs="Times New Roman"/>
                      <w:color w:val="auto"/>
                      <w:spacing w:val="0"/>
                      <w:kern w:val="0"/>
                      <w:sz w:val="21"/>
                      <w:szCs w:val="21"/>
                      <w:lang w:val="en-US" w:eastAsia="zh-CN" w:bidi="ar"/>
                    </w:rPr>
                    <w:t>重点管控单元</w:t>
                  </w:r>
                </w:p>
              </w:tc>
              <w:tc>
                <w:tcPr>
                  <w:tcW w:w="650" w:type="dxa"/>
                  <w:shd w:val="clear" w:color="auto" w:fill="auto"/>
                  <w:noWrap w:val="0"/>
                  <w:vAlign w:val="center"/>
                </w:tcPr>
                <w:p w14:paraId="5FD83CD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0" w:leftChars="0" w:firstLine="0" w:firstLineChars="0"/>
                    <w:jc w:val="both"/>
                    <w:textAlignment w:val="auto"/>
                    <w:rPr>
                      <w:rFonts w:hint="eastAsia"/>
                      <w:color w:val="auto"/>
                      <w:kern w:val="0"/>
                      <w:szCs w:val="21"/>
                      <w:lang w:val="en-US" w:eastAsia="zh-CN"/>
                    </w:rPr>
                  </w:pPr>
                  <w:r>
                    <w:rPr>
                      <w:rFonts w:hint="eastAsia"/>
                      <w:color w:val="auto"/>
                      <w:kern w:val="0"/>
                      <w:szCs w:val="21"/>
                      <w:lang w:val="en-US" w:eastAsia="zh-CN"/>
                    </w:rPr>
                    <w:t>空间布局约束</w:t>
                  </w:r>
                </w:p>
              </w:tc>
              <w:tc>
                <w:tcPr>
                  <w:tcW w:w="4866" w:type="dxa"/>
                  <w:shd w:val="clear" w:color="auto" w:fill="auto"/>
                  <w:noWrap w:val="0"/>
                  <w:vAlign w:val="center"/>
                </w:tcPr>
                <w:p w14:paraId="2745D5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1.严格控制新增《陕西省“两高”项目管理暂行目录》行业项目（民生等项目除外，后续对“两高”范围国家如有新规定的，从其规定）。</w:t>
                  </w:r>
                </w:p>
                <w:p w14:paraId="1CA786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zh-CN" w:eastAsia="zh-CN"/>
                    </w:rPr>
                    <w:t>2.推动重污染企业搬迁入园或依法关闭。</w:t>
                  </w:r>
                </w:p>
                <w:p w14:paraId="2D67C6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en-US" w:eastAsia="zh-CN"/>
                    </w:rPr>
                  </w:pPr>
                  <w:r>
                    <w:rPr>
                      <w:rFonts w:hint="eastAsia" w:eastAsia="宋体"/>
                      <w:color w:val="auto"/>
                      <w:kern w:val="0"/>
                      <w:szCs w:val="21"/>
                      <w:lang w:val="zh-CN" w:eastAsia="zh-CN"/>
                    </w:rPr>
                    <w:t>加快建设城中村、老旧城区、建制镇、城乡结合部等生活污水收集管网，填补污水收集管网空白区。</w:t>
                  </w:r>
                  <w:r>
                    <w:rPr>
                      <w:rFonts w:hint="eastAsia" w:eastAsia="宋体"/>
                      <w:color w:val="auto"/>
                      <w:kern w:val="0"/>
                      <w:szCs w:val="21"/>
                      <w:lang w:val="en-US" w:eastAsia="zh-CN"/>
                    </w:rPr>
                    <w:t>3.</w:t>
                  </w:r>
                  <w:r>
                    <w:rPr>
                      <w:rFonts w:hint="eastAsia" w:eastAsia="宋体"/>
                      <w:color w:val="auto"/>
                      <w:kern w:val="0"/>
                      <w:szCs w:val="21"/>
                      <w:lang w:val="zh-CN" w:eastAsia="zh-CN"/>
                    </w:rPr>
                    <w:t>新建居住社区应同步规划、建设污水收集管网，推动支线管网和出户管的连接建设。</w:t>
                  </w:r>
                </w:p>
              </w:tc>
              <w:tc>
                <w:tcPr>
                  <w:tcW w:w="867" w:type="dxa"/>
                  <w:vMerge w:val="restart"/>
                  <w:noWrap w:val="0"/>
                  <w:vAlign w:val="center"/>
                </w:tcPr>
                <w:p w14:paraId="7323FA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center"/>
                    <w:textAlignment w:val="auto"/>
                    <w:rPr>
                      <w:rFonts w:hint="default" w:eastAsia="宋体"/>
                      <w:color w:val="auto"/>
                      <w:kern w:val="0"/>
                      <w:szCs w:val="21"/>
                      <w:lang w:val="en-US" w:eastAsia="zh-CN"/>
                    </w:rPr>
                  </w:pPr>
                  <w:r>
                    <w:rPr>
                      <w:rFonts w:hint="eastAsia" w:eastAsia="宋体"/>
                      <w:color w:val="auto"/>
                      <w:kern w:val="0"/>
                      <w:szCs w:val="21"/>
                      <w:lang w:val="en-US" w:eastAsia="zh-CN"/>
                    </w:rPr>
                    <w:t>/</w:t>
                  </w:r>
                </w:p>
              </w:tc>
              <w:tc>
                <w:tcPr>
                  <w:tcW w:w="3295" w:type="dxa"/>
                  <w:noWrap w:val="0"/>
                  <w:vAlign w:val="center"/>
                </w:tcPr>
                <w:p w14:paraId="43B8E458">
                  <w:pPr>
                    <w:numPr>
                      <w:ilvl w:val="0"/>
                      <w:numId w:val="0"/>
                    </w:numPr>
                    <w:autoSpaceDE w:val="0"/>
                    <w:autoSpaceDN w:val="0"/>
                    <w:adjustRightInd w:val="0"/>
                    <w:snapToGrid w:val="0"/>
                    <w:ind w:leftChars="0"/>
                    <w:jc w:val="both"/>
                    <w:rPr>
                      <w:rFonts w:hint="eastAsia" w:cs="Times New Roman"/>
                      <w:color w:val="auto"/>
                      <w:kern w:val="0"/>
                      <w:szCs w:val="21"/>
                      <w:lang w:val="en-US" w:eastAsia="zh-CN"/>
                    </w:rPr>
                  </w:pPr>
                  <w:r>
                    <w:rPr>
                      <w:rFonts w:hint="eastAsia" w:cs="Times New Roman"/>
                      <w:color w:val="auto"/>
                      <w:kern w:val="0"/>
                      <w:szCs w:val="21"/>
                      <w:lang w:val="en-US" w:eastAsia="zh-CN"/>
                    </w:rPr>
                    <w:t>1.本项目为铁路桥基础冲刷病害整治工程，不属于“两高”项目。</w:t>
                  </w:r>
                </w:p>
                <w:p w14:paraId="6C96924A">
                  <w:pPr>
                    <w:numPr>
                      <w:ilvl w:val="0"/>
                      <w:numId w:val="0"/>
                    </w:numPr>
                    <w:autoSpaceDE w:val="0"/>
                    <w:autoSpaceDN w:val="0"/>
                    <w:adjustRightInd w:val="0"/>
                    <w:snapToGrid w:val="0"/>
                    <w:ind w:left="0" w:leftChars="0" w:firstLine="0" w:firstLineChars="0"/>
                    <w:jc w:val="both"/>
                    <w:rPr>
                      <w:rFonts w:hint="eastAsia"/>
                      <w:lang w:val="en-US" w:eastAsia="zh-CN"/>
                    </w:rPr>
                  </w:pPr>
                  <w:r>
                    <w:rPr>
                      <w:rFonts w:hint="eastAsia"/>
                      <w:lang w:val="en-US" w:eastAsia="zh-CN"/>
                    </w:rPr>
                    <w:t>2.本项目不涉及。</w:t>
                  </w:r>
                </w:p>
                <w:p w14:paraId="640A1E3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default"/>
                      <w:lang w:val="en-US" w:eastAsia="zh-CN"/>
                    </w:rPr>
                  </w:pPr>
                  <w:r>
                    <w:rPr>
                      <w:rFonts w:hint="eastAsia"/>
                      <w:lang w:val="en-US" w:eastAsia="zh-CN"/>
                    </w:rPr>
                    <w:t>3.本项目不涉及。</w:t>
                  </w:r>
                </w:p>
              </w:tc>
              <w:tc>
                <w:tcPr>
                  <w:tcW w:w="734" w:type="dxa"/>
                  <w:noWrap w:val="0"/>
                  <w:vAlign w:val="center"/>
                </w:tcPr>
                <w:p w14:paraId="11C44C9E">
                  <w:pPr>
                    <w:numPr>
                      <w:ilvl w:val="0"/>
                      <w:numId w:val="0"/>
                    </w:numPr>
                    <w:autoSpaceDE w:val="0"/>
                    <w:autoSpaceDN w:val="0"/>
                    <w:adjustRightInd w:val="0"/>
                    <w:snapToGrid w:val="0"/>
                    <w:ind w:left="0" w:leftChars="0" w:firstLine="0" w:firstLineChars="0"/>
                    <w:jc w:val="center"/>
                    <w:rPr>
                      <w:rFonts w:hint="default" w:cs="Times New Roman"/>
                      <w:color w:val="auto"/>
                      <w:kern w:val="0"/>
                      <w:szCs w:val="21"/>
                      <w:lang w:val="en-US" w:eastAsia="zh-CN"/>
                    </w:rPr>
                  </w:pPr>
                  <w:r>
                    <w:rPr>
                      <w:rFonts w:hint="eastAsia" w:cs="Times New Roman"/>
                      <w:color w:val="auto"/>
                      <w:kern w:val="0"/>
                      <w:szCs w:val="21"/>
                      <w:lang w:val="en-US" w:eastAsia="zh-CN"/>
                    </w:rPr>
                    <w:t>符合</w:t>
                  </w:r>
                </w:p>
              </w:tc>
            </w:tr>
            <w:tr w14:paraId="0933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vMerge w:val="continue"/>
                  <w:noWrap w:val="0"/>
                  <w:vAlign w:val="center"/>
                </w:tcPr>
                <w:p w14:paraId="4A546DD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olor w:val="auto"/>
                      <w:kern w:val="0"/>
                      <w:szCs w:val="21"/>
                      <w:lang w:val="en-US" w:eastAsia="zh-CN"/>
                    </w:rPr>
                  </w:pPr>
                </w:p>
              </w:tc>
              <w:tc>
                <w:tcPr>
                  <w:tcW w:w="650" w:type="dxa"/>
                  <w:vMerge w:val="continue"/>
                  <w:noWrap w:val="0"/>
                  <w:vAlign w:val="center"/>
                </w:tcPr>
                <w:p w14:paraId="3BA66EA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s="Times New Roman"/>
                      <w:color w:val="auto"/>
                      <w:spacing w:val="0"/>
                      <w:kern w:val="0"/>
                      <w:sz w:val="21"/>
                      <w:szCs w:val="21"/>
                      <w:lang w:val="en-US" w:eastAsia="zh-CN" w:bidi="ar"/>
                    </w:rPr>
                  </w:pPr>
                </w:p>
              </w:tc>
              <w:tc>
                <w:tcPr>
                  <w:tcW w:w="777" w:type="dxa"/>
                  <w:vMerge w:val="continue"/>
                  <w:noWrap w:val="0"/>
                  <w:vAlign w:val="center"/>
                </w:tcPr>
                <w:p w14:paraId="0CB7F99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s="Times New Roman"/>
                      <w:color w:val="auto"/>
                      <w:spacing w:val="0"/>
                      <w:kern w:val="0"/>
                      <w:sz w:val="21"/>
                      <w:szCs w:val="21"/>
                      <w:lang w:val="en-US" w:eastAsia="zh-CN" w:bidi="ar"/>
                    </w:rPr>
                  </w:pPr>
                </w:p>
              </w:tc>
              <w:tc>
                <w:tcPr>
                  <w:tcW w:w="650" w:type="dxa"/>
                  <w:shd w:val="clear" w:color="auto" w:fill="auto"/>
                  <w:noWrap w:val="0"/>
                  <w:vAlign w:val="center"/>
                </w:tcPr>
                <w:p w14:paraId="4410CDB5">
                  <w:pPr>
                    <w:autoSpaceDE w:val="0"/>
                    <w:autoSpaceDN w:val="0"/>
                    <w:adjustRightInd w:val="0"/>
                    <w:snapToGrid w:val="0"/>
                    <w:jc w:val="both"/>
                    <w:rPr>
                      <w:rFonts w:hint="eastAsia"/>
                      <w:color w:val="auto"/>
                      <w:kern w:val="0"/>
                      <w:szCs w:val="21"/>
                      <w:lang w:val="en-US" w:eastAsia="zh-CN"/>
                    </w:rPr>
                  </w:pPr>
                  <w:r>
                    <w:rPr>
                      <w:rFonts w:hint="eastAsia"/>
                      <w:color w:val="auto"/>
                      <w:kern w:val="0"/>
                      <w:szCs w:val="21"/>
                      <w:lang w:val="en-US" w:eastAsia="zh-CN"/>
                    </w:rPr>
                    <w:t>污染物排放管控</w:t>
                  </w:r>
                </w:p>
              </w:tc>
              <w:tc>
                <w:tcPr>
                  <w:tcW w:w="4866" w:type="dxa"/>
                  <w:shd w:val="clear" w:color="auto" w:fill="auto"/>
                  <w:noWrap w:val="0"/>
                  <w:vAlign w:val="center"/>
                </w:tcPr>
                <w:p w14:paraId="17A1EAD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en-US" w:eastAsia="zh-CN"/>
                    </w:rPr>
                    <w:t>1.</w:t>
                  </w:r>
                  <w:r>
                    <w:rPr>
                      <w:rFonts w:hint="eastAsia" w:eastAsia="宋体"/>
                      <w:color w:val="auto"/>
                      <w:kern w:val="0"/>
                      <w:szCs w:val="21"/>
                      <w:lang w:val="zh-CN" w:eastAsia="zh-CN"/>
                    </w:rPr>
                    <w:t>鼓励将老旧车辆和非道路移动机械替换为清洁能源车辆。推进新能源或清洁能源汽车使用。</w:t>
                  </w:r>
                </w:p>
                <w:p w14:paraId="7422B74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en-US" w:eastAsia="zh-CN"/>
                    </w:rPr>
                    <w:t>2</w:t>
                  </w:r>
                  <w:r>
                    <w:rPr>
                      <w:rFonts w:hint="eastAsia" w:eastAsia="宋体"/>
                      <w:color w:val="auto"/>
                      <w:kern w:val="0"/>
                      <w:szCs w:val="21"/>
                      <w:lang w:val="zh-CN" w:eastAsia="zh-CN"/>
                    </w:rPr>
                    <w:t>.加强城镇污水收集处理设施建设与提标改造。</w:t>
                  </w:r>
                </w:p>
                <w:p w14:paraId="3948E22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eastAsia" w:eastAsia="宋体"/>
                      <w:color w:val="auto"/>
                      <w:kern w:val="0"/>
                      <w:szCs w:val="21"/>
                      <w:lang w:val="zh-CN" w:eastAsia="zh-CN"/>
                    </w:rPr>
                  </w:pPr>
                  <w:r>
                    <w:rPr>
                      <w:rFonts w:hint="eastAsia" w:eastAsia="宋体"/>
                      <w:color w:val="auto"/>
                      <w:kern w:val="0"/>
                      <w:szCs w:val="21"/>
                      <w:lang w:val="en-US" w:eastAsia="zh-CN"/>
                    </w:rPr>
                    <w:t>3</w:t>
                  </w:r>
                  <w:r>
                    <w:rPr>
                      <w:rFonts w:hint="eastAsia" w:eastAsia="宋体"/>
                      <w:color w:val="auto"/>
                      <w:kern w:val="0"/>
                      <w:szCs w:val="21"/>
                      <w:lang w:val="zh-CN" w:eastAsia="zh-CN"/>
                    </w:rPr>
                    <w:t>.城镇新区管网建设及老旧城区管网升级改造中实行雨污分流，鼓励推进初期雨水收集、处理和资源化利用，建设人工湿地水质净化工程，对处理达标后的尾水进一步净化。</w:t>
                  </w:r>
                </w:p>
                <w:p w14:paraId="664D09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280" w:lineRule="exact"/>
                    <w:ind w:leftChars="0"/>
                    <w:jc w:val="both"/>
                    <w:textAlignment w:val="auto"/>
                    <w:rPr>
                      <w:rFonts w:hint="default" w:cs="Times New Roman"/>
                      <w:color w:val="auto"/>
                      <w:kern w:val="0"/>
                      <w:szCs w:val="21"/>
                      <w:lang w:val="en-US" w:eastAsia="zh-CN"/>
                    </w:rPr>
                  </w:pPr>
                  <w:r>
                    <w:rPr>
                      <w:rFonts w:hint="eastAsia" w:eastAsia="宋体"/>
                      <w:color w:val="auto"/>
                      <w:kern w:val="0"/>
                      <w:szCs w:val="21"/>
                      <w:lang w:val="en-US" w:eastAsia="zh-CN"/>
                    </w:rPr>
                    <w:t>4</w:t>
                  </w:r>
                  <w:r>
                    <w:rPr>
                      <w:rFonts w:hint="eastAsia" w:eastAsia="宋体"/>
                      <w:color w:val="auto"/>
                      <w:kern w:val="0"/>
                      <w:szCs w:val="21"/>
                      <w:lang w:val="zh-CN" w:eastAsia="zh-CN"/>
                    </w:rPr>
                    <w:t>.污水处理厂出水用于绿化、农灌等用途的，合理确定管控要求，确保达到相应污水再生利用标准。</w:t>
                  </w:r>
                </w:p>
              </w:tc>
              <w:tc>
                <w:tcPr>
                  <w:tcW w:w="867" w:type="dxa"/>
                  <w:vMerge w:val="continue"/>
                  <w:noWrap w:val="0"/>
                  <w:vAlign w:val="center"/>
                </w:tcPr>
                <w:p w14:paraId="74F6C45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color w:val="auto"/>
                      <w:kern w:val="0"/>
                      <w:szCs w:val="21"/>
                      <w:lang w:val="en-US" w:eastAsia="zh-CN"/>
                    </w:rPr>
                  </w:pPr>
                </w:p>
              </w:tc>
              <w:tc>
                <w:tcPr>
                  <w:tcW w:w="3295" w:type="dxa"/>
                  <w:noWrap w:val="0"/>
                  <w:vAlign w:val="center"/>
                </w:tcPr>
                <w:p w14:paraId="6E676ABB">
                  <w:pPr>
                    <w:numPr>
                      <w:ilvl w:val="0"/>
                      <w:numId w:val="0"/>
                    </w:numPr>
                    <w:autoSpaceDE w:val="0"/>
                    <w:autoSpaceDN w:val="0"/>
                    <w:adjustRightInd w:val="0"/>
                    <w:snapToGrid w:val="0"/>
                    <w:ind w:leftChars="0"/>
                    <w:jc w:val="both"/>
                    <w:rPr>
                      <w:rFonts w:hint="eastAsia"/>
                      <w:color w:val="auto"/>
                      <w:kern w:val="0"/>
                      <w:szCs w:val="21"/>
                      <w:lang w:val="en-US" w:eastAsia="zh-CN"/>
                    </w:rPr>
                  </w:pPr>
                  <w:r>
                    <w:rPr>
                      <w:rFonts w:hint="eastAsia" w:cs="Times New Roman"/>
                      <w:color w:val="auto"/>
                      <w:kern w:val="0"/>
                      <w:szCs w:val="21"/>
                      <w:lang w:val="en-US" w:eastAsia="zh-CN"/>
                    </w:rPr>
                    <w:t>1.本项目施工期施工车辆和施工机械使用新能源或清洁能源。</w:t>
                  </w:r>
                </w:p>
                <w:p w14:paraId="27214FE8">
                  <w:pPr>
                    <w:numPr>
                      <w:ilvl w:val="0"/>
                      <w:numId w:val="0"/>
                    </w:numPr>
                    <w:autoSpaceDE w:val="0"/>
                    <w:autoSpaceDN w:val="0"/>
                    <w:adjustRightInd w:val="0"/>
                    <w:snapToGrid w:val="0"/>
                    <w:jc w:val="both"/>
                    <w:rPr>
                      <w:rFonts w:hint="eastAsia"/>
                      <w:color w:val="auto"/>
                      <w:kern w:val="0"/>
                      <w:szCs w:val="21"/>
                      <w:lang w:val="en-US" w:eastAsia="zh-CN"/>
                    </w:rPr>
                  </w:pPr>
                  <w:r>
                    <w:rPr>
                      <w:rFonts w:hint="eastAsia"/>
                      <w:color w:val="auto"/>
                      <w:kern w:val="0"/>
                      <w:szCs w:val="21"/>
                      <w:lang w:val="en-US" w:eastAsia="zh-CN"/>
                    </w:rPr>
                    <w:t>2.本项目施工期生活污水依托租用办公用房的农户化粪池处理后，还田施肥。</w:t>
                  </w:r>
                </w:p>
                <w:p w14:paraId="738C6FAD">
                  <w:pPr>
                    <w:numPr>
                      <w:ilvl w:val="0"/>
                      <w:numId w:val="0"/>
                    </w:numPr>
                    <w:autoSpaceDE w:val="0"/>
                    <w:autoSpaceDN w:val="0"/>
                    <w:adjustRightInd w:val="0"/>
                    <w:snapToGrid w:val="0"/>
                    <w:jc w:val="both"/>
                    <w:rPr>
                      <w:rFonts w:hint="eastAsia"/>
                      <w:color w:val="auto"/>
                      <w:kern w:val="0"/>
                      <w:szCs w:val="21"/>
                      <w:lang w:val="en-US" w:eastAsia="zh-CN"/>
                    </w:rPr>
                  </w:pPr>
                  <w:r>
                    <w:rPr>
                      <w:rFonts w:hint="eastAsia"/>
                      <w:color w:val="auto"/>
                      <w:kern w:val="0"/>
                      <w:szCs w:val="21"/>
                      <w:lang w:val="en-US" w:eastAsia="zh-CN"/>
                    </w:rPr>
                    <w:t>3.本项目不涉及。</w:t>
                  </w:r>
                </w:p>
                <w:p w14:paraId="63916EBD">
                  <w:pPr>
                    <w:numPr>
                      <w:ilvl w:val="0"/>
                      <w:numId w:val="0"/>
                    </w:numPr>
                    <w:autoSpaceDE w:val="0"/>
                    <w:autoSpaceDN w:val="0"/>
                    <w:adjustRightInd w:val="0"/>
                    <w:snapToGrid w:val="0"/>
                    <w:jc w:val="both"/>
                    <w:rPr>
                      <w:rFonts w:hint="default"/>
                      <w:color w:val="auto"/>
                      <w:kern w:val="0"/>
                      <w:szCs w:val="21"/>
                      <w:lang w:val="en-US" w:eastAsia="zh-CN"/>
                    </w:rPr>
                  </w:pPr>
                  <w:r>
                    <w:rPr>
                      <w:rFonts w:hint="eastAsia"/>
                      <w:color w:val="auto"/>
                      <w:kern w:val="0"/>
                      <w:szCs w:val="21"/>
                      <w:lang w:val="en-US" w:eastAsia="zh-CN"/>
                    </w:rPr>
                    <w:t>4.本项目不涉及。</w:t>
                  </w:r>
                </w:p>
              </w:tc>
              <w:tc>
                <w:tcPr>
                  <w:tcW w:w="734" w:type="dxa"/>
                  <w:noWrap w:val="0"/>
                  <w:vAlign w:val="center"/>
                </w:tcPr>
                <w:p w14:paraId="470EA80F">
                  <w:pPr>
                    <w:numPr>
                      <w:ilvl w:val="0"/>
                      <w:numId w:val="0"/>
                    </w:numPr>
                    <w:autoSpaceDE w:val="0"/>
                    <w:autoSpaceDN w:val="0"/>
                    <w:adjustRightInd w:val="0"/>
                    <w:snapToGrid w:val="0"/>
                    <w:ind w:left="0" w:leftChars="0" w:firstLine="0" w:firstLineChars="0"/>
                    <w:jc w:val="center"/>
                    <w:rPr>
                      <w:rFonts w:hint="default" w:cs="Times New Roman"/>
                      <w:color w:val="auto"/>
                      <w:kern w:val="0"/>
                      <w:szCs w:val="21"/>
                      <w:lang w:val="en-US" w:eastAsia="zh-CN"/>
                    </w:rPr>
                  </w:pPr>
                  <w:r>
                    <w:rPr>
                      <w:rFonts w:hint="eastAsia" w:cs="Times New Roman"/>
                      <w:color w:val="auto"/>
                      <w:kern w:val="0"/>
                      <w:szCs w:val="21"/>
                      <w:lang w:val="en-US" w:eastAsia="zh-CN"/>
                    </w:rPr>
                    <w:t>符合</w:t>
                  </w:r>
                </w:p>
              </w:tc>
            </w:tr>
          </w:tbl>
          <w:p w14:paraId="6AEEACCE">
            <w:pPr>
              <w:spacing w:line="240" w:lineRule="auto"/>
              <w:ind w:right="-38" w:rightChars="-18" w:firstLine="480"/>
              <w:jc w:val="center"/>
              <w:rPr>
                <w:rFonts w:hint="default" w:ascii="Times New Roman" w:hAnsi="Times New Roman" w:eastAsia="宋体" w:cs="Times New Roman"/>
                <w:b/>
                <w:bCs/>
                <w:color w:val="auto"/>
                <w:sz w:val="21"/>
                <w:szCs w:val="21"/>
                <w:lang w:val="en-US" w:eastAsia="zh-CN"/>
              </w:rPr>
            </w:pPr>
          </w:p>
          <w:p w14:paraId="60B77934">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（3）一说明</w:t>
            </w:r>
          </w:p>
          <w:p w14:paraId="767E4C0A">
            <w:pPr>
              <w:spacing w:line="360" w:lineRule="auto"/>
              <w:ind w:firstLine="480" w:firstLineChars="200"/>
              <w:rPr>
                <w:color w:val="auto"/>
                <w:lang w:bidi="ar"/>
              </w:rPr>
            </w:pPr>
            <w:r>
              <w:rPr>
                <w:rFonts w:hint="eastAsia" w:ascii="Times New Roman" w:hAnsi="Times New Roman" w:eastAsia="宋体" w:cs="Times New Roman"/>
                <w:color w:val="auto"/>
                <w:sz w:val="24"/>
                <w:szCs w:val="24"/>
                <w:highlight w:val="none"/>
                <w:lang w:val="en-US" w:eastAsia="zh-CN"/>
              </w:rPr>
              <w:t>根据一图一表分析可知，项目</w:t>
            </w:r>
            <w:r>
              <w:rPr>
                <w:rFonts w:hint="eastAsia" w:cs="Times New Roman"/>
                <w:color w:val="auto"/>
                <w:sz w:val="24"/>
                <w:szCs w:val="24"/>
                <w:highlight w:val="none"/>
                <w:lang w:val="en-US" w:eastAsia="zh-CN"/>
              </w:rPr>
              <w:t>位于</w:t>
            </w:r>
            <w:r>
              <w:rPr>
                <w:rFonts w:hint="default" w:ascii="Times New Roman" w:hAnsi="Times New Roman" w:eastAsia="宋体" w:cs="Times New Roman"/>
                <w:color w:val="auto"/>
                <w:sz w:val="24"/>
                <w:szCs w:val="24"/>
                <w:highlight w:val="none"/>
                <w:lang w:val="en-US" w:eastAsia="zh-CN"/>
              </w:rPr>
              <w:t>生态环境分区</w:t>
            </w:r>
            <w:r>
              <w:rPr>
                <w:rFonts w:hint="eastAsia" w:ascii="Times New Roman" w:hAnsi="Times New Roman" w:eastAsia="宋体" w:cs="Times New Roman"/>
                <w:color w:val="auto"/>
                <w:sz w:val="24"/>
                <w:szCs w:val="24"/>
                <w:highlight w:val="none"/>
                <w:lang w:val="en-US" w:eastAsia="zh-CN"/>
              </w:rPr>
              <w:t>中的</w:t>
            </w:r>
            <w:r>
              <w:rPr>
                <w:rFonts w:hint="eastAsia" w:cs="Times New Roman"/>
                <w:color w:val="auto"/>
                <w:sz w:val="24"/>
                <w:szCs w:val="24"/>
                <w:highlight w:val="none"/>
                <w:lang w:val="en-US" w:eastAsia="zh-CN"/>
              </w:rPr>
              <w:t>优先保护单元和重点</w:t>
            </w:r>
            <w:r>
              <w:rPr>
                <w:rFonts w:hint="eastAsia" w:ascii="Times New Roman" w:hAnsi="Times New Roman" w:eastAsia="宋体" w:cs="Times New Roman"/>
                <w:color w:val="auto"/>
                <w:sz w:val="24"/>
                <w:szCs w:val="24"/>
                <w:highlight w:val="none"/>
                <w:lang w:val="en-US" w:eastAsia="zh-CN"/>
              </w:rPr>
              <w:t>管控单元，</w:t>
            </w:r>
            <w:r>
              <w:rPr>
                <w:rFonts w:hint="default" w:ascii="Times New Roman" w:hAnsi="Times New Roman" w:eastAsia="宋体" w:cs="Times New Roman"/>
                <w:color w:val="auto"/>
                <w:sz w:val="24"/>
                <w:szCs w:val="24"/>
                <w:highlight w:val="none"/>
                <w:lang w:val="en-US" w:eastAsia="zh-CN"/>
              </w:rPr>
              <w:t>对照表1-</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中的管控要求，</w:t>
            </w:r>
            <w:r>
              <w:rPr>
                <w:rFonts w:hint="eastAsia" w:ascii="Times New Roman" w:hAnsi="Times New Roman" w:eastAsia="宋体" w:cs="Times New Roman"/>
                <w:color w:val="auto"/>
                <w:sz w:val="24"/>
                <w:szCs w:val="24"/>
                <w:highlight w:val="none"/>
                <w:lang w:val="en-US" w:eastAsia="zh-CN"/>
              </w:rPr>
              <w:t>项目落实环评提出的各项要求后，对周围生态环境影响较小，</w:t>
            </w:r>
            <w:r>
              <w:rPr>
                <w:rFonts w:hint="default" w:ascii="Times New Roman" w:hAnsi="Times New Roman" w:eastAsia="宋体" w:cs="Times New Roman"/>
                <w:color w:val="auto"/>
                <w:sz w:val="24"/>
                <w:szCs w:val="24"/>
                <w:highlight w:val="none"/>
                <w:lang w:val="en-US" w:eastAsia="zh-CN"/>
              </w:rPr>
              <w:t>项目建设符合</w:t>
            </w:r>
            <w:r>
              <w:rPr>
                <w:rFonts w:hint="eastAsia" w:cs="Times New Roman"/>
                <w:color w:val="auto"/>
                <w:sz w:val="24"/>
                <w:szCs w:val="24"/>
                <w:highlight w:val="none"/>
                <w:lang w:val="en-US" w:eastAsia="zh-CN"/>
              </w:rPr>
              <w:t>陕西省</w:t>
            </w:r>
            <w:r>
              <w:rPr>
                <w:rFonts w:hint="default" w:ascii="Times New Roman" w:hAnsi="Times New Roman" w:eastAsia="宋体" w:cs="Times New Roman"/>
                <w:color w:val="auto"/>
                <w:sz w:val="24"/>
                <w:szCs w:val="24"/>
                <w:highlight w:val="none"/>
                <w:lang w:val="en-US" w:eastAsia="zh-CN"/>
              </w:rPr>
              <w:t>生态环境分区管控的要求。</w:t>
            </w:r>
          </w:p>
        </w:tc>
      </w:tr>
    </w:tbl>
    <w:p w14:paraId="2CD95517">
      <w:pPr>
        <w:spacing w:line="360" w:lineRule="auto"/>
        <w:outlineLvl w:val="0"/>
        <w:rPr>
          <w:rFonts w:eastAsia="黑体"/>
          <w:color w:val="auto"/>
          <w:sz w:val="30"/>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cols w:space="720" w:num="1"/>
          <w:docGrid w:linePitch="312" w:charSpace="0"/>
        </w:sectPr>
      </w:pPr>
    </w:p>
    <w:tbl>
      <w:tblPr>
        <w:tblStyle w:val="19"/>
        <w:tblW w:w="89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7956"/>
      </w:tblGrid>
      <w:tr w14:paraId="5AA4D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29" w:hRule="atLeast"/>
          <w:jc w:val="center"/>
        </w:trPr>
        <w:tc>
          <w:tcPr>
            <w:tcW w:w="1017" w:type="dxa"/>
            <w:noWrap w:val="0"/>
            <w:vAlign w:val="center"/>
          </w:tcPr>
          <w:p w14:paraId="0BCA83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kern w:val="0"/>
                <w:sz w:val="24"/>
                <w:szCs w:val="24"/>
              </w:rPr>
            </w:pPr>
            <w:r>
              <w:rPr>
                <w:rFonts w:hint="default" w:ascii="Times New Roman" w:hAnsi="Times New Roman" w:eastAsia="宋体" w:cs="Times New Roman"/>
                <w:color w:val="auto"/>
                <w:kern w:val="0"/>
                <w:sz w:val="24"/>
                <w:szCs w:val="24"/>
              </w:rPr>
              <w:t>其他符合性分析</w:t>
            </w:r>
          </w:p>
        </w:tc>
        <w:tc>
          <w:tcPr>
            <w:tcW w:w="7956" w:type="dxa"/>
            <w:noWrap w:val="0"/>
            <w:vAlign w:val="center"/>
          </w:tcPr>
          <w:p w14:paraId="1A3303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3、</w:t>
            </w:r>
            <w:r>
              <w:rPr>
                <w:rFonts w:hint="eastAsia" w:ascii="Times New Roman" w:hAnsi="Times New Roman" w:cs="Times New Roman"/>
                <w:b/>
                <w:bCs/>
                <w:color w:val="auto"/>
                <w:sz w:val="24"/>
                <w:szCs w:val="24"/>
                <w:lang w:eastAsia="zh-CN"/>
              </w:rPr>
              <w:t>与相关生态环境保护法律法规政策、</w:t>
            </w:r>
            <w:r>
              <w:rPr>
                <w:rFonts w:hint="eastAsia" w:ascii="Times New Roman" w:hAnsi="Times New Roman" w:cs="Times New Roman"/>
                <w:b/>
                <w:bCs/>
                <w:color w:val="auto"/>
                <w:sz w:val="24"/>
                <w:szCs w:val="24"/>
                <w:lang w:val="en-US" w:eastAsia="zh-CN"/>
              </w:rPr>
              <w:t>规划</w:t>
            </w:r>
            <w:r>
              <w:rPr>
                <w:rFonts w:hint="eastAsia" w:ascii="Times New Roman" w:hAnsi="Times New Roman" w:cs="Times New Roman"/>
                <w:b/>
                <w:bCs/>
                <w:color w:val="auto"/>
                <w:sz w:val="24"/>
                <w:szCs w:val="24"/>
                <w:lang w:eastAsia="zh-CN"/>
              </w:rPr>
              <w:t>的符合性分析</w:t>
            </w:r>
          </w:p>
          <w:p w14:paraId="72D07E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eastAsia="zh-CN"/>
              </w:rPr>
              <w:t>本</w:t>
            </w:r>
            <w:r>
              <w:rPr>
                <w:rFonts w:hint="eastAsia" w:ascii="Times New Roman" w:hAnsi="Times New Roman" w:cs="Times New Roman"/>
                <w:color w:val="auto"/>
                <w:sz w:val="24"/>
                <w:szCs w:val="24"/>
                <w:lang w:val="en-US" w:eastAsia="zh-CN"/>
              </w:rPr>
              <w:t>工程</w:t>
            </w:r>
            <w:r>
              <w:rPr>
                <w:rFonts w:hint="eastAsia" w:ascii="Times New Roman" w:hAnsi="Times New Roman" w:cs="Times New Roman"/>
                <w:color w:val="auto"/>
                <w:sz w:val="24"/>
                <w:szCs w:val="24"/>
                <w:lang w:eastAsia="zh-CN"/>
              </w:rPr>
              <w:t>与相关生态环境保护法律法规政策、</w:t>
            </w:r>
            <w:r>
              <w:rPr>
                <w:rFonts w:hint="eastAsia" w:ascii="Times New Roman" w:hAnsi="Times New Roman" w:cs="Times New Roman"/>
                <w:color w:val="auto"/>
                <w:sz w:val="24"/>
                <w:szCs w:val="24"/>
                <w:lang w:val="en-US" w:eastAsia="zh-CN"/>
              </w:rPr>
              <w:t>规划</w:t>
            </w:r>
            <w:r>
              <w:rPr>
                <w:rFonts w:hint="eastAsia" w:ascii="Times New Roman" w:hAnsi="Times New Roman" w:cs="Times New Roman"/>
                <w:color w:val="auto"/>
                <w:sz w:val="24"/>
                <w:szCs w:val="24"/>
                <w:lang w:eastAsia="zh-CN"/>
              </w:rPr>
              <w:t>的符合性分析见表</w:t>
            </w:r>
            <w:r>
              <w:rPr>
                <w:rFonts w:hint="eastAsia" w:ascii="Times New Roman" w:hAnsi="Times New Roman" w:cs="Times New Roman"/>
                <w:color w:val="auto"/>
                <w:sz w:val="24"/>
                <w:szCs w:val="24"/>
                <w:lang w:val="en-US" w:eastAsia="zh-CN"/>
              </w:rPr>
              <w:t>1-</w:t>
            </w:r>
            <w:r>
              <w:rPr>
                <w:rFonts w:hint="eastAsia" w:cs="Times New Roman"/>
                <w:color w:val="auto"/>
                <w:sz w:val="24"/>
                <w:szCs w:val="24"/>
                <w:lang w:val="en-US" w:eastAsia="zh-CN"/>
              </w:rPr>
              <w:t>4</w:t>
            </w:r>
            <w:r>
              <w:rPr>
                <w:rFonts w:hint="eastAsia" w:ascii="Times New Roman" w:hAnsi="Times New Roman" w:cs="Times New Roman"/>
                <w:color w:val="auto"/>
                <w:sz w:val="24"/>
                <w:szCs w:val="24"/>
                <w:lang w:val="en-US" w:eastAsia="zh-CN"/>
              </w:rPr>
              <w:t>。</w:t>
            </w:r>
          </w:p>
          <w:p w14:paraId="3EDFFE73">
            <w:pPr>
              <w:pStyle w:val="23"/>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eastAsia="zh-CN"/>
              </w:rPr>
              <w:t>表</w:t>
            </w:r>
            <w:r>
              <w:rPr>
                <w:rFonts w:hint="eastAsia" w:ascii="Times New Roman" w:hAnsi="Times New Roman" w:cs="Times New Roman"/>
                <w:b/>
                <w:bCs/>
                <w:color w:val="auto"/>
                <w:sz w:val="21"/>
                <w:szCs w:val="21"/>
                <w:lang w:val="en-US" w:eastAsia="zh-CN"/>
              </w:rPr>
              <w:t>1-4  与相关生态环境保护法律法规政策、规划的符合性分析</w:t>
            </w:r>
          </w:p>
          <w:tbl>
            <w:tblPr>
              <w:tblStyle w:val="19"/>
              <w:tblW w:w="505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4"/>
              <w:gridCol w:w="3689"/>
              <w:gridCol w:w="1995"/>
              <w:gridCol w:w="870"/>
            </w:tblGrid>
            <w:tr w14:paraId="13EB73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808" w:type="pct"/>
                  <w:noWrap w:val="0"/>
                  <w:vAlign w:val="center"/>
                </w:tcPr>
                <w:p w14:paraId="2A6000F7">
                  <w:pPr>
                    <w:pStyle w:val="28"/>
                    <w:widowControl w:val="0"/>
                    <w:spacing w:after="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名称</w:t>
                  </w:r>
                </w:p>
              </w:tc>
              <w:tc>
                <w:tcPr>
                  <w:tcW w:w="2359" w:type="pct"/>
                  <w:noWrap w:val="0"/>
                  <w:vAlign w:val="center"/>
                </w:tcPr>
                <w:p w14:paraId="481D5901">
                  <w:pPr>
                    <w:pStyle w:val="28"/>
                    <w:widowControl w:val="0"/>
                    <w:spacing w:after="0" w:line="240" w:lineRule="auto"/>
                    <w:jc w:val="center"/>
                    <w:rPr>
                      <w:rFonts w:ascii="Times New Roman" w:hAnsi="Times New Roman" w:eastAsia="宋体"/>
                      <w:b/>
                      <w:bCs/>
                      <w:color w:val="auto"/>
                      <w:sz w:val="21"/>
                      <w:szCs w:val="21"/>
                      <w:lang w:eastAsia="zh-CN"/>
                    </w:rPr>
                  </w:pPr>
                  <w:r>
                    <w:rPr>
                      <w:rFonts w:hint="eastAsia" w:ascii="Times New Roman" w:hAnsi="Times New Roman" w:eastAsia="宋体" w:cs="Times New Roman"/>
                      <w:b/>
                      <w:bCs/>
                      <w:color w:val="auto"/>
                      <w:kern w:val="0"/>
                      <w:sz w:val="21"/>
                      <w:szCs w:val="21"/>
                      <w:lang w:val="en-US" w:eastAsia="zh-CN" w:bidi="ar-SA"/>
                    </w:rPr>
                    <w:t>法律政策相关要求</w:t>
                  </w:r>
                </w:p>
              </w:tc>
              <w:tc>
                <w:tcPr>
                  <w:tcW w:w="1275" w:type="pct"/>
                  <w:noWrap w:val="0"/>
                  <w:vAlign w:val="center"/>
                </w:tcPr>
                <w:p w14:paraId="04EDF959">
                  <w:pPr>
                    <w:pStyle w:val="28"/>
                    <w:widowControl w:val="0"/>
                    <w:spacing w:after="0" w:line="240" w:lineRule="auto"/>
                    <w:jc w:val="center"/>
                    <w:rPr>
                      <w:rFonts w:ascii="Times New Roman" w:hAnsi="Times New Roman" w:eastAsia="宋体"/>
                      <w:b/>
                      <w:bCs/>
                      <w:color w:val="auto"/>
                      <w:sz w:val="21"/>
                      <w:szCs w:val="21"/>
                      <w:lang w:eastAsia="zh-CN"/>
                    </w:rPr>
                  </w:pPr>
                  <w:r>
                    <w:rPr>
                      <w:rFonts w:ascii="Times New Roman" w:hAnsi="Times New Roman" w:eastAsia="宋体"/>
                      <w:b/>
                      <w:bCs/>
                      <w:color w:val="auto"/>
                      <w:sz w:val="21"/>
                      <w:szCs w:val="21"/>
                      <w:lang w:eastAsia="zh-CN"/>
                    </w:rPr>
                    <w:t>本项目情况</w:t>
                  </w:r>
                </w:p>
              </w:tc>
              <w:tc>
                <w:tcPr>
                  <w:tcW w:w="556" w:type="pct"/>
                  <w:noWrap w:val="0"/>
                  <w:vAlign w:val="center"/>
                </w:tcPr>
                <w:p w14:paraId="41F87DBB">
                  <w:pPr>
                    <w:pStyle w:val="28"/>
                    <w:widowControl w:val="0"/>
                    <w:spacing w:after="0" w:line="240" w:lineRule="auto"/>
                    <w:jc w:val="center"/>
                    <w:rPr>
                      <w:rFonts w:ascii="Times New Roman" w:hAnsi="Times New Roman" w:eastAsia="宋体"/>
                      <w:b/>
                      <w:bCs/>
                      <w:color w:val="auto"/>
                      <w:sz w:val="21"/>
                      <w:szCs w:val="21"/>
                      <w:lang w:eastAsia="zh-CN"/>
                    </w:rPr>
                  </w:pPr>
                  <w:r>
                    <w:rPr>
                      <w:rFonts w:ascii="Times New Roman" w:hAnsi="Times New Roman" w:eastAsia="宋体"/>
                      <w:b/>
                      <w:bCs/>
                      <w:color w:val="auto"/>
                      <w:sz w:val="21"/>
                      <w:szCs w:val="21"/>
                      <w:lang w:eastAsia="zh-CN"/>
                    </w:rPr>
                    <w:t>符合性</w:t>
                  </w:r>
                </w:p>
              </w:tc>
            </w:tr>
            <w:tr w14:paraId="47B1FC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808" w:type="pct"/>
                  <w:tcBorders>
                    <w:top w:val="single" w:color="auto" w:sz="4" w:space="0"/>
                    <w:bottom w:val="single" w:color="auto" w:sz="4" w:space="0"/>
                  </w:tcBorders>
                  <w:noWrap w:val="0"/>
                  <w:vAlign w:val="center"/>
                </w:tcPr>
                <w:p w14:paraId="5E0431FB">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《中华人民共和国水污染防治法》</w:t>
                  </w:r>
                </w:p>
              </w:tc>
              <w:tc>
                <w:tcPr>
                  <w:tcW w:w="2359" w:type="pct"/>
                  <w:tcBorders>
                    <w:bottom w:val="single" w:color="auto" w:sz="4" w:space="0"/>
                  </w:tcBorders>
                  <w:noWrap w:val="0"/>
                  <w:vAlign w:val="center"/>
                </w:tcPr>
                <w:p w14:paraId="45875B29">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第三十三条</w:t>
                  </w:r>
                  <w:r>
                    <w:rPr>
                      <w:rFonts w:hint="eastAsia" w:ascii="Times New Roman" w:hAnsi="Times New Roman" w:eastAsia="宋体" w:cs="Times New Roman"/>
                      <w:color w:val="auto"/>
                      <w:kern w:val="0"/>
                      <w:sz w:val="21"/>
                      <w:szCs w:val="21"/>
                      <w:lang w:val="en-US" w:eastAsia="zh-CN"/>
                    </w:rPr>
                    <w:t xml:space="preserve"> </w:t>
                  </w:r>
                  <w:r>
                    <w:rPr>
                      <w:rFonts w:hint="default" w:ascii="Times New Roman" w:hAnsi="Times New Roman" w:eastAsia="宋体" w:cs="Times New Roman"/>
                      <w:color w:val="auto"/>
                      <w:kern w:val="0"/>
                      <w:sz w:val="21"/>
                      <w:szCs w:val="21"/>
                      <w:lang w:val="en-US" w:eastAsia="zh-CN"/>
                    </w:rPr>
                    <w:t>禁止向水体排放油类、酸液、碱液或者剧毒废液。禁止在水体清洗装贮过油类或者有毒污染物的车辆和容器。</w:t>
                  </w:r>
                </w:p>
                <w:p w14:paraId="5265FEE3">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第三十七条</w:t>
                  </w:r>
                  <w:r>
                    <w:rPr>
                      <w:rFonts w:hint="eastAsia" w:ascii="Times New Roman" w:hAnsi="Times New Roman" w:eastAsia="宋体" w:cs="Times New Roman"/>
                      <w:color w:val="auto"/>
                      <w:kern w:val="0"/>
                      <w:sz w:val="21"/>
                      <w:szCs w:val="21"/>
                      <w:lang w:val="en-US" w:eastAsia="zh-CN"/>
                    </w:rPr>
                    <w:t xml:space="preserve"> </w:t>
                  </w:r>
                  <w:r>
                    <w:rPr>
                      <w:rFonts w:hint="default" w:ascii="Times New Roman" w:hAnsi="Times New Roman" w:eastAsia="宋体" w:cs="Times New Roman"/>
                      <w:color w:val="auto"/>
                      <w:kern w:val="0"/>
                      <w:sz w:val="21"/>
                      <w:szCs w:val="21"/>
                      <w:lang w:val="en-US" w:eastAsia="zh-CN"/>
                    </w:rPr>
                    <w:t>禁止向水体排放、倾倒工业废渣、城镇垃圾和其他废弃物。</w:t>
                  </w:r>
                </w:p>
                <w:p w14:paraId="63C84921">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第三十八条</w:t>
                  </w:r>
                  <w:r>
                    <w:rPr>
                      <w:rFonts w:hint="eastAsia" w:ascii="Times New Roman" w:hAnsi="Times New Roman" w:eastAsia="宋体" w:cs="Times New Roman"/>
                      <w:color w:val="auto"/>
                      <w:kern w:val="0"/>
                      <w:sz w:val="21"/>
                      <w:szCs w:val="21"/>
                      <w:lang w:val="en-US" w:eastAsia="zh-CN"/>
                    </w:rPr>
                    <w:t xml:space="preserve"> </w:t>
                  </w:r>
                  <w:r>
                    <w:rPr>
                      <w:rFonts w:hint="default" w:ascii="Times New Roman" w:hAnsi="Times New Roman" w:eastAsia="宋体" w:cs="Times New Roman"/>
                      <w:color w:val="auto"/>
                      <w:kern w:val="0"/>
                      <w:sz w:val="21"/>
                      <w:szCs w:val="21"/>
                      <w:lang w:val="en-US" w:eastAsia="zh-CN"/>
                    </w:rPr>
                    <w:t>禁止在江河、湖泊、运河、渠道、水库最高水位线以下的滩地和岸坡堆放、存贮固体废弃物和其他污染物</w:t>
                  </w:r>
                </w:p>
              </w:tc>
              <w:tc>
                <w:tcPr>
                  <w:tcW w:w="1275" w:type="pct"/>
                  <w:tcBorders>
                    <w:bottom w:val="single" w:color="auto" w:sz="4" w:space="0"/>
                  </w:tcBorders>
                  <w:noWrap w:val="0"/>
                  <w:vAlign w:val="center"/>
                </w:tcPr>
                <w:p w14:paraId="322CBC2D">
                  <w:pPr>
                    <w:autoSpaceDE w:val="0"/>
                    <w:autoSpaceDN w:val="0"/>
                    <w:adjustRightInd w:val="0"/>
                    <w:spacing w:line="240" w:lineRule="auto"/>
                    <w:jc w:val="center"/>
                    <w:rPr>
                      <w:rFonts w:ascii="Times New Roman" w:hAnsi="Times New Roman" w:eastAsia="宋体"/>
                      <w:color w:val="auto"/>
                      <w:sz w:val="21"/>
                      <w:szCs w:val="21"/>
                      <w:lang w:eastAsia="zh-CN"/>
                    </w:rPr>
                  </w:pPr>
                  <w:r>
                    <w:rPr>
                      <w:rFonts w:hint="eastAsia"/>
                      <w:color w:val="auto"/>
                      <w:sz w:val="21"/>
                      <w:szCs w:val="21"/>
                      <w:lang w:val="en-US" w:eastAsia="zh-CN"/>
                    </w:rPr>
                    <w:t>项目</w:t>
                  </w:r>
                  <w:r>
                    <w:rPr>
                      <w:rFonts w:hint="eastAsia" w:ascii="Times New Roman" w:hAnsi="Times New Roman" w:eastAsia="宋体"/>
                      <w:color w:val="auto"/>
                      <w:sz w:val="21"/>
                      <w:szCs w:val="21"/>
                      <w:lang w:eastAsia="zh-CN"/>
                    </w:rPr>
                    <w:t>施工期禁止向河道内</w:t>
                  </w:r>
                  <w:r>
                    <w:rPr>
                      <w:rFonts w:hint="default" w:ascii="Times New Roman" w:hAnsi="Times New Roman" w:eastAsia="宋体" w:cs="Times New Roman"/>
                      <w:color w:val="auto"/>
                      <w:kern w:val="0"/>
                      <w:sz w:val="21"/>
                      <w:szCs w:val="21"/>
                      <w:lang w:val="en-US" w:eastAsia="zh-CN"/>
                    </w:rPr>
                    <w:t>弃置、堆放</w:t>
                  </w:r>
                  <w:r>
                    <w:rPr>
                      <w:rFonts w:hint="eastAsia" w:ascii="Times New Roman" w:hAnsi="Times New Roman" w:eastAsia="宋体" w:cs="Times New Roman"/>
                      <w:color w:val="auto"/>
                      <w:kern w:val="0"/>
                      <w:sz w:val="21"/>
                      <w:szCs w:val="21"/>
                      <w:lang w:val="en-US" w:eastAsia="zh-CN"/>
                    </w:rPr>
                    <w:t>各类固体废物</w:t>
                  </w:r>
                </w:p>
              </w:tc>
              <w:tc>
                <w:tcPr>
                  <w:tcW w:w="556" w:type="pct"/>
                  <w:tcBorders>
                    <w:bottom w:val="single" w:color="auto" w:sz="4" w:space="0"/>
                  </w:tcBorders>
                  <w:noWrap w:val="0"/>
                  <w:vAlign w:val="center"/>
                </w:tcPr>
                <w:p w14:paraId="40542B49">
                  <w:pPr>
                    <w:pStyle w:val="28"/>
                    <w:widowControl w:val="0"/>
                    <w:spacing w:after="0" w:line="240" w:lineRule="auto"/>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439CB6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5" w:hRule="atLeast"/>
                <w:jc w:val="center"/>
              </w:trPr>
              <w:tc>
                <w:tcPr>
                  <w:tcW w:w="808" w:type="pct"/>
                  <w:tcBorders>
                    <w:top w:val="single" w:color="auto" w:sz="4" w:space="0"/>
                    <w:bottom w:val="single" w:color="auto" w:sz="4" w:space="0"/>
                  </w:tcBorders>
                  <w:noWrap w:val="0"/>
                  <w:vAlign w:val="center"/>
                </w:tcPr>
                <w:p w14:paraId="15DCBFE0">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《中华人民共和国水法》</w:t>
                  </w:r>
                </w:p>
              </w:tc>
              <w:tc>
                <w:tcPr>
                  <w:tcW w:w="2359" w:type="pct"/>
                  <w:tcBorders>
                    <w:top w:val="single" w:color="auto" w:sz="4" w:space="0"/>
                    <w:bottom w:val="single" w:color="auto" w:sz="4" w:space="0"/>
                  </w:tcBorders>
                  <w:noWrap w:val="0"/>
                  <w:vAlign w:val="center"/>
                </w:tcPr>
                <w:p w14:paraId="4E3CA62B">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第三十七条 禁止在江河、湖泊、水库、运河、渠道内弃置、堆放阻碍行洪的物体和种植阻碍行洪的林木及高秆作物。禁止在河道管理范围内建设妨碍行洪的建筑物、构筑物以及从事影响河势稳定、危害河岸堤防安全和其他妨碍河道行洪的活动。</w:t>
                  </w:r>
                </w:p>
              </w:tc>
              <w:tc>
                <w:tcPr>
                  <w:tcW w:w="1275" w:type="pct"/>
                  <w:tcBorders>
                    <w:top w:val="single" w:color="auto" w:sz="4" w:space="0"/>
                    <w:bottom w:val="single" w:color="auto" w:sz="4" w:space="0"/>
                  </w:tcBorders>
                  <w:noWrap w:val="0"/>
                  <w:vAlign w:val="center"/>
                </w:tcPr>
                <w:p w14:paraId="73E9BC06">
                  <w:pPr>
                    <w:autoSpaceDE w:val="0"/>
                    <w:autoSpaceDN w:val="0"/>
                    <w:adjustRightInd w:val="0"/>
                    <w:spacing w:line="240" w:lineRule="auto"/>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本项目</w:t>
                  </w:r>
                  <w:r>
                    <w:rPr>
                      <w:rFonts w:hint="eastAsia"/>
                      <w:color w:val="auto"/>
                      <w:sz w:val="21"/>
                      <w:szCs w:val="21"/>
                      <w:lang w:val="en-US" w:eastAsia="zh-CN"/>
                    </w:rPr>
                    <w:t>人工湿地在河道范围外，护岸</w:t>
                  </w:r>
                  <w:r>
                    <w:rPr>
                      <w:rFonts w:hint="eastAsia" w:ascii="Times New Roman" w:hAnsi="Times New Roman" w:eastAsia="宋体"/>
                      <w:color w:val="auto"/>
                      <w:sz w:val="21"/>
                      <w:szCs w:val="21"/>
                      <w:lang w:eastAsia="zh-CN"/>
                    </w:rPr>
                    <w:t>利用现状岸坎合理布设堤线，</w:t>
                  </w:r>
                  <w:r>
                    <w:rPr>
                      <w:rFonts w:hint="eastAsia" w:ascii="Times New Roman" w:hAnsi="Times New Roman" w:eastAsia="宋体" w:cs="Times New Roman"/>
                      <w:color w:val="auto"/>
                      <w:kern w:val="0"/>
                      <w:sz w:val="21"/>
                      <w:szCs w:val="21"/>
                      <w:lang w:val="en-US" w:eastAsia="zh-CN"/>
                    </w:rPr>
                    <w:t>工程的实施可有效防止洪涝灾害，提高</w:t>
                  </w:r>
                  <w:r>
                    <w:rPr>
                      <w:rFonts w:hint="eastAsia" w:cs="Times New Roman"/>
                      <w:color w:val="auto"/>
                      <w:kern w:val="0"/>
                      <w:sz w:val="21"/>
                      <w:szCs w:val="21"/>
                      <w:lang w:val="en-US" w:eastAsia="zh-CN"/>
                    </w:rPr>
                    <w:t>千</w:t>
                  </w:r>
                  <w:r>
                    <w:rPr>
                      <w:rFonts w:hint="eastAsia" w:ascii="Times New Roman" w:hAnsi="Times New Roman" w:eastAsia="宋体" w:cs="Times New Roman"/>
                      <w:color w:val="auto"/>
                      <w:kern w:val="0"/>
                      <w:sz w:val="21"/>
                      <w:szCs w:val="21"/>
                      <w:lang w:val="en-US" w:eastAsia="zh-CN"/>
                    </w:rPr>
                    <w:t>河防洪能力</w:t>
                  </w:r>
                </w:p>
              </w:tc>
              <w:tc>
                <w:tcPr>
                  <w:tcW w:w="556" w:type="pct"/>
                  <w:tcBorders>
                    <w:top w:val="single" w:color="auto" w:sz="4" w:space="0"/>
                    <w:bottom w:val="single" w:color="auto" w:sz="4" w:space="0"/>
                  </w:tcBorders>
                  <w:noWrap w:val="0"/>
                  <w:vAlign w:val="center"/>
                </w:tcPr>
                <w:p w14:paraId="3BE57ABE">
                  <w:pPr>
                    <w:pStyle w:val="28"/>
                    <w:widowControl w:val="0"/>
                    <w:spacing w:after="0" w:line="240" w:lineRule="auto"/>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3517B8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tcBorders>
                    <w:top w:val="single" w:color="auto" w:sz="4" w:space="0"/>
                    <w:bottom w:val="single" w:color="auto" w:sz="4" w:space="0"/>
                  </w:tcBorders>
                  <w:noWrap w:val="0"/>
                  <w:vAlign w:val="center"/>
                </w:tcPr>
                <w:p w14:paraId="2BC68119">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《中华人民共和国防洪法》</w:t>
                  </w:r>
                </w:p>
              </w:tc>
              <w:tc>
                <w:tcPr>
                  <w:tcW w:w="2359" w:type="pct"/>
                  <w:tcBorders>
                    <w:top w:val="single" w:color="auto" w:sz="4" w:space="0"/>
                    <w:bottom w:val="single" w:color="auto" w:sz="4" w:space="0"/>
                  </w:tcBorders>
                  <w:noWrap w:val="0"/>
                  <w:vAlign w:val="center"/>
                </w:tcPr>
                <w:p w14:paraId="1F345FF2">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000000" w:themeColor="text1"/>
                      <w:sz w:val="21"/>
                      <w:szCs w:val="21"/>
                      <w:lang w:bidi="ar"/>
                      <w14:textFill>
                        <w14:solidFill>
                          <w14:schemeClr w14:val="tx1"/>
                        </w14:solidFill>
                      </w14:textFill>
                    </w:rPr>
                    <w:t>第二十二条</w:t>
                  </w:r>
                  <w:r>
                    <w:rPr>
                      <w:rFonts w:hint="eastAsia" w:cs="Times New Roman"/>
                      <w:color w:val="000000" w:themeColor="text1"/>
                      <w:sz w:val="21"/>
                      <w:szCs w:val="21"/>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sz w:val="21"/>
                      <w:szCs w:val="21"/>
                      <w:lang w:bidi="ar"/>
                      <w14:textFill>
                        <w14:solidFill>
                          <w14:schemeClr w14:val="tx1"/>
                        </w14:solidFill>
                      </w14:textFill>
                    </w:rPr>
                    <w:t>禁止在河道、湖泊管理范围内建设妨碍行洪的建筑物、构筑物，倾倒垃圾、渣土，从事影响河势稳定、危害河岸堤防安全和其他妨碍河道行洪的活动。禁止在行洪河道内种植阻碍行洪的林木和高秆作物。</w:t>
                  </w:r>
                </w:p>
              </w:tc>
              <w:tc>
                <w:tcPr>
                  <w:tcW w:w="1275" w:type="pct"/>
                  <w:tcBorders>
                    <w:top w:val="single" w:color="auto" w:sz="4" w:space="0"/>
                    <w:bottom w:val="single" w:color="auto" w:sz="4" w:space="0"/>
                  </w:tcBorders>
                  <w:noWrap w:val="0"/>
                  <w:vAlign w:val="center"/>
                </w:tcPr>
                <w:p w14:paraId="1287E037">
                  <w:pPr>
                    <w:autoSpaceDE w:val="0"/>
                    <w:autoSpaceDN w:val="0"/>
                    <w:adjustRightInd w:val="0"/>
                    <w:spacing w:line="240" w:lineRule="auto"/>
                    <w:jc w:val="center"/>
                    <w:rPr>
                      <w:rFonts w:hint="eastAsia" w:ascii="Times New Roman" w:hAnsi="Times New Roman" w:eastAsia="宋体"/>
                      <w:color w:val="auto"/>
                      <w:sz w:val="21"/>
                      <w:szCs w:val="21"/>
                      <w:lang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为</w:t>
                  </w:r>
                  <w:r>
                    <w:rPr>
                      <w:rFonts w:hint="eastAsia" w:cs="Times New Roman"/>
                      <w:b w:val="0"/>
                      <w:bCs/>
                      <w:color w:val="000000" w:themeColor="text1"/>
                      <w:sz w:val="21"/>
                      <w:szCs w:val="21"/>
                      <w:lang w:val="en-US" w:eastAsia="zh-CN"/>
                      <w14:textFill>
                        <w14:solidFill>
                          <w14:schemeClr w14:val="tx1"/>
                        </w14:solidFill>
                      </w14:textFill>
                    </w:rPr>
                    <w:t>既有铁路桥基础冲刷病害整治工程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，不属于</w:t>
                  </w:r>
                  <w:r>
                    <w:rPr>
                      <w:rFonts w:hint="default" w:ascii="Times New Roman" w:hAnsi="Times New Roman" w:eastAsia="宋体" w:cs="Times New Roman"/>
                      <w:color w:val="000000" w:themeColor="text1"/>
                      <w:sz w:val="21"/>
                      <w:szCs w:val="21"/>
                      <w:lang w:eastAsia="zh-CN"/>
                      <w14:textFill>
                        <w14:solidFill>
                          <w14:schemeClr w14:val="tx1"/>
                        </w14:solidFill>
                      </w14:textFill>
                    </w:rPr>
                    <w:t>《中华人民共和国防洪法》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中所禁止</w:t>
                  </w:r>
                  <w:r>
                    <w:rPr>
                      <w:rFonts w:hint="default"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活动</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本项目</w:t>
                  </w:r>
                  <w:r>
                    <w:rPr>
                      <w:rFonts w:hint="default" w:ascii="Times New Roman" w:hAnsi="Times New Roman" w:eastAsia="宋体" w:cs="Times New Roman"/>
                      <w:color w:val="000000" w:themeColor="text1"/>
                      <w:sz w:val="21"/>
                      <w:szCs w:val="21"/>
                      <w14:textFill>
                        <w14:solidFill>
                          <w14:schemeClr w14:val="tx1"/>
                        </w14:solidFill>
                      </w14:textFill>
                    </w:rPr>
                    <w:t>不涉及种植阻碍行洪的</w:t>
                  </w:r>
                  <w:r>
                    <w:rPr>
                      <w:rFonts w:hint="default" w:ascii="Times New Roman" w:hAnsi="Times New Roman" w:eastAsia="宋体" w:cs="Times New Roman"/>
                      <w:color w:val="000000" w:themeColor="text1"/>
                      <w:sz w:val="21"/>
                      <w:szCs w:val="21"/>
                      <w:lang w:eastAsia="zh-CN"/>
                      <w14:textFill>
                        <w14:solidFill>
                          <w14:schemeClr w14:val="tx1"/>
                        </w14:solidFill>
                      </w14:textFill>
                    </w:rPr>
                    <w:t>林木和高秆作物</w:t>
                  </w:r>
                  <w:r>
                    <w:rPr>
                      <w:rFonts w:hint="eastAsia" w:cs="Times New Roman"/>
                      <w:color w:val="000000" w:themeColor="text1"/>
                      <w:sz w:val="21"/>
                      <w:szCs w:val="21"/>
                      <w:lang w:eastAsia="zh-CN"/>
                      <w14:textFill>
                        <w14:solidFill>
                          <w14:schemeClr w14:val="tx1"/>
                        </w14:solidFill>
                      </w14:textFill>
                    </w:rPr>
                    <w:t>。</w:t>
                  </w:r>
                </w:p>
              </w:tc>
              <w:tc>
                <w:tcPr>
                  <w:tcW w:w="556" w:type="pct"/>
                  <w:tcBorders>
                    <w:top w:val="single" w:color="auto" w:sz="4" w:space="0"/>
                    <w:bottom w:val="single" w:color="auto" w:sz="4" w:space="0"/>
                  </w:tcBorders>
                  <w:noWrap w:val="0"/>
                  <w:vAlign w:val="center"/>
                </w:tcPr>
                <w:p w14:paraId="2D8F41D2">
                  <w:pPr>
                    <w:pStyle w:val="28"/>
                    <w:widowControl w:val="0"/>
                    <w:spacing w:after="0" w:line="240" w:lineRule="auto"/>
                    <w:jc w:val="center"/>
                    <w:rPr>
                      <w:rFonts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63F74B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restart"/>
                  <w:tcBorders>
                    <w:top w:val="single" w:color="auto" w:sz="4" w:space="0"/>
                  </w:tcBorders>
                  <w:noWrap w:val="0"/>
                  <w:vAlign w:val="center"/>
                </w:tcPr>
                <w:p w14:paraId="41343527">
                  <w:pPr>
                    <w:numPr>
                      <w:ilvl w:val="0"/>
                      <w:numId w:val="0"/>
                    </w:numPr>
                    <w:jc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olor w:val="auto"/>
                      <w:sz w:val="21"/>
                      <w:szCs w:val="21"/>
                      <w:vertAlign w:val="baseline"/>
                      <w:lang w:val="en-US" w:eastAsia="zh-CN"/>
                    </w:rPr>
                    <w:t>《中华人民共和国河道管理条例》</w:t>
                  </w:r>
                </w:p>
              </w:tc>
              <w:tc>
                <w:tcPr>
                  <w:tcW w:w="2359" w:type="pct"/>
                  <w:tcBorders>
                    <w:top w:val="single" w:color="auto" w:sz="4" w:space="0"/>
                    <w:bottom w:val="single" w:color="auto" w:sz="4" w:space="0"/>
                  </w:tcBorders>
                  <w:noWrap w:val="0"/>
                  <w:vAlign w:val="center"/>
                </w:tcPr>
                <w:p w14:paraId="0A6F9A54">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000000" w:themeColor="text1"/>
                      <w:sz w:val="21"/>
                      <w:szCs w:val="21"/>
                      <w:lang w:bidi="ar"/>
                      <w14:textFill>
                        <w14:solidFill>
                          <w14:schemeClr w14:val="tx1"/>
                        </w14:solidFill>
                      </w14:textFill>
                    </w:rPr>
                    <w:t>第二十五条在河道管理范围内进行下列活动，必须报经河道主管机关批准；涉及其他部门的，由河道主管机关会同有关部门批准：（一）采砂、取土、淘金、弃置砂石或者淤泥；（二）爆破、钻探、挖筑鱼塘；（三）在河道滩地存放物料、修建厂房或者其他建筑设施；（四）在河道滩地开采地下资源及进行考古发掘。</w:t>
                  </w:r>
                </w:p>
              </w:tc>
              <w:tc>
                <w:tcPr>
                  <w:tcW w:w="1275" w:type="pct"/>
                  <w:tcBorders>
                    <w:top w:val="single" w:color="auto" w:sz="4" w:space="0"/>
                    <w:bottom w:val="single" w:color="auto" w:sz="4" w:space="0"/>
                  </w:tcBorders>
                  <w:shd w:val="clear" w:color="auto" w:fill="auto"/>
                  <w:noWrap w:val="0"/>
                  <w:vAlign w:val="center"/>
                </w:tcPr>
                <w:p w14:paraId="2335D2FB">
                  <w:pPr>
                    <w:numPr>
                      <w:ilvl w:val="0"/>
                      <w:numId w:val="0"/>
                    </w:numPr>
                    <w:ind w:left="0" w:leftChars="0" w:firstLine="0" w:firstLineChars="0"/>
                    <w:jc w:val="center"/>
                    <w:rPr>
                      <w:rFonts w:hint="eastAsia"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000000" w:themeColor="text1"/>
                      <w:sz w:val="21"/>
                      <w:szCs w:val="21"/>
                      <w:lang w:eastAsia="zh-CN" w:bidi="ar"/>
                      <w14:textFill>
                        <w14:solidFill>
                          <w14:schemeClr w14:val="tx1"/>
                        </w14:solidFill>
                      </w14:textFill>
                    </w:rPr>
                    <w:t>本项目</w:t>
                  </w:r>
                  <w:r>
                    <w:rPr>
                      <w:rFonts w:hint="default" w:ascii="Times New Roman" w:hAnsi="Times New Roman" w:eastAsia="宋体" w:cs="Times New Roman"/>
                      <w:color w:val="000000" w:themeColor="text1"/>
                      <w:sz w:val="21"/>
                      <w:szCs w:val="21"/>
                      <w:lang w:bidi="ar"/>
                      <w14:textFill>
                        <w14:solidFill>
                          <w14:schemeClr w14:val="tx1"/>
                        </w14:solidFill>
                      </w14:textFill>
                    </w:rPr>
                    <w:t>不涉及在河道管理范围内采运砂、石、土料以及淘金等行为，仅对</w:t>
                  </w:r>
                  <w:r>
                    <w:rPr>
                      <w:rFonts w:hint="eastAsia" w:cs="Times New Roman"/>
                      <w:bCs/>
                      <w:color w:val="000000" w:themeColor="text1"/>
                      <w:sz w:val="21"/>
                      <w:szCs w:val="21"/>
                      <w:lang w:val="en-US" w:eastAsia="zh-CN"/>
                      <w14:textFill>
                        <w14:solidFill>
                          <w14:schemeClr w14:val="tx1"/>
                        </w14:solidFill>
                      </w14:textFill>
                    </w:rPr>
                    <w:t>现有铁路桥墩进行加固</w:t>
                  </w:r>
                  <w:r>
                    <w:rPr>
                      <w:rFonts w:hint="default" w:ascii="Times New Roman" w:hAnsi="Times New Roman" w:cs="Times New Roman"/>
                      <w:bCs/>
                      <w:color w:val="000000" w:themeColor="text1"/>
                      <w:sz w:val="21"/>
                      <w:szCs w:val="21"/>
                      <w:lang w:val="en-US" w:eastAsia="zh-CN"/>
                      <w14:textFill>
                        <w14:solidFill>
                          <w14:schemeClr w14:val="tx1"/>
                        </w14:solidFill>
                      </w14:textFill>
                    </w:rPr>
                    <w:t>。</w:t>
                  </w:r>
                </w:p>
              </w:tc>
              <w:tc>
                <w:tcPr>
                  <w:tcW w:w="556" w:type="pct"/>
                  <w:tcBorders>
                    <w:top w:val="single" w:color="auto" w:sz="4" w:space="0"/>
                    <w:bottom w:val="single" w:color="auto" w:sz="4" w:space="0"/>
                  </w:tcBorders>
                  <w:noWrap w:val="0"/>
                  <w:vAlign w:val="center"/>
                </w:tcPr>
                <w:p w14:paraId="679A72F0">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0CFDE6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continue"/>
                  <w:tcBorders>
                    <w:bottom w:val="single" w:color="auto" w:sz="4" w:space="0"/>
                  </w:tcBorders>
                  <w:noWrap w:val="0"/>
                  <w:vAlign w:val="center"/>
                </w:tcPr>
                <w:p w14:paraId="75CD0AB5">
                  <w:pPr>
                    <w:autoSpaceDE w:val="0"/>
                    <w:autoSpaceDN w:val="0"/>
                    <w:adjustRightInd w:val="0"/>
                    <w:spacing w:line="240" w:lineRule="auto"/>
                    <w:jc w:val="center"/>
                    <w:rPr>
                      <w:rFonts w:hint="default" w:ascii="Times New Roman" w:hAnsi="Times New Roman" w:eastAsia="宋体"/>
                      <w:color w:val="auto"/>
                      <w:sz w:val="21"/>
                      <w:szCs w:val="21"/>
                      <w:vertAlign w:val="baseline"/>
                      <w:lang w:val="en-US" w:eastAsia="zh-CN"/>
                    </w:rPr>
                  </w:pPr>
                </w:p>
              </w:tc>
              <w:tc>
                <w:tcPr>
                  <w:tcW w:w="2359" w:type="pct"/>
                  <w:tcBorders>
                    <w:top w:val="single" w:color="auto" w:sz="4" w:space="0"/>
                    <w:bottom w:val="single" w:color="auto" w:sz="4" w:space="0"/>
                  </w:tcBorders>
                  <w:noWrap w:val="0"/>
                  <w:vAlign w:val="center"/>
                </w:tcPr>
                <w:p w14:paraId="2D21C6B5">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000000" w:themeColor="text1"/>
                      <w:sz w:val="21"/>
                      <w:szCs w:val="21"/>
                      <w:lang w:bidi="ar"/>
                      <w14:textFill>
                        <w14:solidFill>
                          <w14:schemeClr w14:val="tx1"/>
                        </w14:solidFill>
                      </w14:textFill>
                    </w:rPr>
                    <w:t>第三十五条在河道管理范围内，禁止堆放、倾倒、掩埋、排放污染水体的物体。禁止在河道内清洗装贮过油类或者有毒污染物的车辆、容器。</w:t>
                  </w:r>
                </w:p>
              </w:tc>
              <w:tc>
                <w:tcPr>
                  <w:tcW w:w="1275" w:type="pct"/>
                  <w:tcBorders>
                    <w:top w:val="single" w:color="auto" w:sz="4" w:space="0"/>
                    <w:bottom w:val="single" w:color="auto" w:sz="4" w:space="0"/>
                  </w:tcBorders>
                  <w:shd w:val="clear" w:color="auto" w:fill="auto"/>
                  <w:noWrap w:val="0"/>
                  <w:vAlign w:val="center"/>
                </w:tcPr>
                <w:p w14:paraId="0B7D2536">
                  <w:pPr>
                    <w:numPr>
                      <w:ilvl w:val="0"/>
                      <w:numId w:val="0"/>
                    </w:numPr>
                    <w:ind w:left="0" w:leftChars="0" w:firstLine="0" w:firstLineChars="0"/>
                    <w:jc w:val="center"/>
                    <w:rPr>
                      <w:rFonts w:hint="eastAsia"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olor w:val="auto"/>
                      <w:sz w:val="21"/>
                      <w:szCs w:val="21"/>
                      <w:vertAlign w:val="baseline"/>
                      <w:lang w:val="en-US" w:eastAsia="zh-CN"/>
                    </w:rPr>
                    <w:t>施工期禁止在河道管理范围内弃置砂石</w:t>
                  </w:r>
                  <w:r>
                    <w:rPr>
                      <w:rFonts w:hint="eastAsia"/>
                      <w:color w:val="auto"/>
                      <w:sz w:val="21"/>
                      <w:szCs w:val="21"/>
                      <w:vertAlign w:val="baseline"/>
                      <w:lang w:val="en-US" w:eastAsia="zh-CN"/>
                    </w:rPr>
                    <w:t>，禁止在河道内清洗车辆及容器</w:t>
                  </w:r>
                  <w:r>
                    <w:rPr>
                      <w:rFonts w:hint="default" w:ascii="Times New Roman" w:hAnsi="Times New Roman" w:eastAsia="宋体"/>
                      <w:color w:val="auto"/>
                      <w:sz w:val="21"/>
                      <w:szCs w:val="21"/>
                      <w:vertAlign w:val="baseline"/>
                      <w:lang w:val="en-US" w:eastAsia="zh-CN"/>
                    </w:rPr>
                    <w:t>。</w:t>
                  </w:r>
                </w:p>
              </w:tc>
              <w:tc>
                <w:tcPr>
                  <w:tcW w:w="556" w:type="pct"/>
                  <w:tcBorders>
                    <w:top w:val="single" w:color="auto" w:sz="4" w:space="0"/>
                    <w:bottom w:val="single" w:color="auto" w:sz="4" w:space="0"/>
                  </w:tcBorders>
                  <w:noWrap w:val="0"/>
                  <w:vAlign w:val="center"/>
                </w:tcPr>
                <w:p w14:paraId="3F2F41D7">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2C4141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restart"/>
                  <w:noWrap w:val="0"/>
                  <w:vAlign w:val="center"/>
                </w:tcPr>
                <w:p w14:paraId="506C7E16">
                  <w:pPr>
                    <w:autoSpaceDE w:val="0"/>
                    <w:autoSpaceDN w:val="0"/>
                    <w:adjustRightInd w:val="0"/>
                    <w:spacing w:line="240" w:lineRule="auto"/>
                    <w:jc w:val="center"/>
                    <w:rPr>
                      <w:rFonts w:hint="default" w:ascii="Times New Roman" w:hAnsi="Times New Roman" w:eastAsia="宋体"/>
                      <w:color w:val="auto"/>
                      <w:sz w:val="21"/>
                      <w:szCs w:val="21"/>
                      <w:vertAlign w:val="baseline"/>
                      <w:lang w:val="en-US" w:eastAsia="zh-CN"/>
                    </w:rPr>
                  </w:pPr>
                  <w:r>
                    <w:rPr>
                      <w:rFonts w:hint="eastAsia"/>
                      <w:color w:val="auto"/>
                      <w:kern w:val="0"/>
                      <w:szCs w:val="21"/>
                      <w:lang w:val="en-US" w:eastAsia="zh-CN"/>
                    </w:rPr>
                    <w:t>《中华人民共和国湿地保护法》</w:t>
                  </w:r>
                </w:p>
              </w:tc>
              <w:tc>
                <w:tcPr>
                  <w:tcW w:w="2359" w:type="pct"/>
                  <w:tcBorders>
                    <w:top w:val="single" w:color="auto" w:sz="4" w:space="0"/>
                    <w:bottom w:val="single" w:color="auto" w:sz="4" w:space="0"/>
                  </w:tcBorders>
                  <w:noWrap w:val="0"/>
                  <w:vAlign w:val="center"/>
                </w:tcPr>
                <w:p w14:paraId="5028E768">
                  <w:pPr>
                    <w:autoSpaceDE w:val="0"/>
                    <w:autoSpaceDN w:val="0"/>
                    <w:adjustRightInd w:val="0"/>
                    <w:snapToGrid w:val="0"/>
                    <w:spacing w:line="240" w:lineRule="auto"/>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禁止占用国家重要湿地，国家重大项目、防灾减灾项目、重要水利及保护设施项目、湿地保护项目等除外。</w:t>
                  </w:r>
                </w:p>
                <w:p w14:paraId="668078E9">
                  <w:pPr>
                    <w:autoSpaceDE w:val="0"/>
                    <w:autoSpaceDN w:val="0"/>
                    <w:adjustRightInd w:val="0"/>
                    <w:snapToGrid w:val="0"/>
                    <w:spacing w:line="240" w:lineRule="auto"/>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项目规划选址、选线审批或者核准时，涉及国家重要湿地的，应当征求国务院林业草原主管部门的意见；涉及省级重要湿地或者一般湿地的，应当按照管理权限，征求县级以上地方人民政府授权的部门的意见。</w:t>
                  </w:r>
                </w:p>
                <w:p w14:paraId="64A4D479">
                  <w:pPr>
                    <w:autoSpaceDE w:val="0"/>
                    <w:autoSpaceDN w:val="0"/>
                    <w:adjustRightInd w:val="0"/>
                    <w:spacing w:line="240" w:lineRule="auto"/>
                    <w:jc w:val="center"/>
                    <w:rPr>
                      <w:rFonts w:hint="eastAsia" w:ascii="Times New Roman" w:hAnsi="Times New Roman" w:eastAsia="宋体"/>
                      <w:color w:val="auto"/>
                      <w:sz w:val="21"/>
                      <w:szCs w:val="21"/>
                      <w:vertAlign w:val="baseline"/>
                      <w:lang w:val="en-US" w:eastAsia="zh-CN"/>
                    </w:rPr>
                  </w:pPr>
                  <w:r>
                    <w:rPr>
                      <w:rFonts w:hint="default" w:ascii="Times New Roman" w:hAnsi="Times New Roman" w:cs="Times New Roman"/>
                      <w:color w:val="000000" w:themeColor="text1"/>
                      <w14:textFill>
                        <w14:solidFill>
                          <w14:schemeClr w14:val="tx1"/>
                        </w14:solidFill>
                      </w14:textFill>
                    </w:rPr>
                    <w:t>除因防洪、航道、港口或者其他水工程占用河道管理范围及蓄滞洪区内的湿地外，经依法批准占用重要湿地的单位应当根据当地自然条件恢复或者重建与所占用湿地面积和质量相当的湿地；</w:t>
                  </w:r>
                </w:p>
              </w:tc>
              <w:tc>
                <w:tcPr>
                  <w:tcW w:w="1275" w:type="pct"/>
                  <w:tcBorders>
                    <w:top w:val="single" w:color="auto" w:sz="4" w:space="0"/>
                    <w:bottom w:val="single" w:color="auto" w:sz="4" w:space="0"/>
                  </w:tcBorders>
                  <w:shd w:val="clear" w:color="auto" w:fill="auto"/>
                  <w:noWrap w:val="0"/>
                  <w:vAlign w:val="center"/>
                </w:tcPr>
                <w:p w14:paraId="1C9733AD">
                  <w:pPr>
                    <w:numPr>
                      <w:ilvl w:val="0"/>
                      <w:numId w:val="0"/>
                    </w:numPr>
                    <w:ind w:left="0" w:leftChars="0" w:firstLine="0" w:firstLineChars="0"/>
                    <w:jc w:val="center"/>
                    <w:rPr>
                      <w:rFonts w:hint="default" w:ascii="Times New Roman" w:hAnsi="Times New Roman" w:eastAsia="宋体"/>
                      <w:color w:val="auto"/>
                      <w:sz w:val="21"/>
                      <w:szCs w:val="21"/>
                      <w:vertAlign w:val="baseline"/>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为</w:t>
                  </w:r>
                  <w:r>
                    <w:rPr>
                      <w:rFonts w:hint="eastAsia" w:cs="Times New Roman"/>
                      <w:b w:val="0"/>
                      <w:bCs/>
                      <w:color w:val="000000" w:themeColor="text1"/>
                      <w:sz w:val="21"/>
                      <w:szCs w:val="21"/>
                      <w:lang w:val="en-US" w:eastAsia="zh-CN"/>
                      <w14:textFill>
                        <w14:solidFill>
                          <w14:schemeClr w14:val="tx1"/>
                        </w14:solidFill>
                      </w14:textFill>
                    </w:rPr>
                    <w:t>既有铁路桥基础冲刷病害整治</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不新增占地。</w:t>
                  </w:r>
                </w:p>
              </w:tc>
              <w:tc>
                <w:tcPr>
                  <w:tcW w:w="556" w:type="pct"/>
                  <w:tcBorders>
                    <w:top w:val="single" w:color="auto" w:sz="4" w:space="0"/>
                    <w:bottom w:val="single" w:color="auto" w:sz="4" w:space="0"/>
                  </w:tcBorders>
                  <w:noWrap w:val="0"/>
                  <w:vAlign w:val="center"/>
                </w:tcPr>
                <w:p w14:paraId="0333C85C">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7E51A8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continue"/>
                  <w:noWrap w:val="0"/>
                  <w:vAlign w:val="center"/>
                </w:tcPr>
                <w:p w14:paraId="2114209B">
                  <w:pPr>
                    <w:autoSpaceDE w:val="0"/>
                    <w:autoSpaceDN w:val="0"/>
                    <w:adjustRightInd w:val="0"/>
                    <w:spacing w:line="240" w:lineRule="auto"/>
                    <w:jc w:val="center"/>
                    <w:rPr>
                      <w:rFonts w:hint="eastAsia"/>
                      <w:color w:val="auto"/>
                      <w:kern w:val="0"/>
                      <w:szCs w:val="21"/>
                      <w:lang w:val="en-US" w:eastAsia="zh-CN"/>
                    </w:rPr>
                  </w:pPr>
                </w:p>
              </w:tc>
              <w:tc>
                <w:tcPr>
                  <w:tcW w:w="2359" w:type="pct"/>
                  <w:tcBorders>
                    <w:top w:val="single" w:color="auto" w:sz="4" w:space="0"/>
                    <w:bottom w:val="single" w:color="auto" w:sz="4" w:space="0"/>
                  </w:tcBorders>
                  <w:noWrap w:val="0"/>
                  <w:vAlign w:val="center"/>
                </w:tcPr>
                <w:p w14:paraId="76EE339A">
                  <w:pPr>
                    <w:autoSpaceDE w:val="0"/>
                    <w:autoSpaceDN w:val="0"/>
                    <w:adjustRightInd w:val="0"/>
                    <w:snapToGrid w:val="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第二十八条</w:t>
                  </w:r>
                  <w:r>
                    <w:rPr>
                      <w:rFonts w:hint="eastAsia"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禁止下列破坏湿地及其生态功能的行为：</w:t>
                  </w:r>
                </w:p>
                <w:p w14:paraId="4887500D">
                  <w:pPr>
                    <w:autoSpaceDE w:val="0"/>
                    <w:autoSpaceDN w:val="0"/>
                    <w:adjustRightInd w:val="0"/>
                    <w:snapToGrid w:val="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（一）开（围）垦、排干自然湿地，永久性截断自然湿地水源；</w:t>
                  </w:r>
                </w:p>
                <w:p w14:paraId="43EB54E3">
                  <w:pPr>
                    <w:autoSpaceDE w:val="0"/>
                    <w:autoSpaceDN w:val="0"/>
                    <w:adjustRightInd w:val="0"/>
                    <w:snapToGrid w:val="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（二）擅自填埋自然湿地，擅自采砂、采矿、取土；</w:t>
                  </w:r>
                </w:p>
                <w:p w14:paraId="15A2DAC5">
                  <w:pPr>
                    <w:autoSpaceDE w:val="0"/>
                    <w:autoSpaceDN w:val="0"/>
                    <w:adjustRightInd w:val="0"/>
                    <w:snapToGrid w:val="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（三）排放不符合水污染物排放标准的工业废水、生活污水及其他污染湿地的废水、污水，倾倒、堆放、丢弃、遗撒固体废物；</w:t>
                  </w:r>
                </w:p>
                <w:p w14:paraId="73B0BAA3">
                  <w:pPr>
                    <w:autoSpaceDE w:val="0"/>
                    <w:autoSpaceDN w:val="0"/>
                    <w:adjustRightInd w:val="0"/>
                    <w:snapToGrid w:val="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（四）过度放牧或者滥采野生植物，过度捕捞或者灭绝式捕捞，过度施肥、投药、投放饵料等污染湿地的种植养殖行为；</w:t>
                  </w:r>
                </w:p>
                <w:p w14:paraId="79F27DB3">
                  <w:pPr>
                    <w:autoSpaceDE w:val="0"/>
                    <w:autoSpaceDN w:val="0"/>
                    <w:adjustRightInd w:val="0"/>
                    <w:spacing w:line="240" w:lineRule="auto"/>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（五）其他破坏湿地及其生态功能的行为。</w:t>
                  </w:r>
                </w:p>
              </w:tc>
              <w:tc>
                <w:tcPr>
                  <w:tcW w:w="1275" w:type="pct"/>
                  <w:tcBorders>
                    <w:top w:val="single" w:color="auto" w:sz="4" w:space="0"/>
                    <w:bottom w:val="single" w:color="auto" w:sz="4" w:space="0"/>
                  </w:tcBorders>
                  <w:shd w:val="clear" w:color="auto" w:fill="auto"/>
                  <w:noWrap w:val="0"/>
                  <w:vAlign w:val="center"/>
                </w:tcPr>
                <w:p w14:paraId="767B83A0">
                  <w:pPr>
                    <w:numPr>
                      <w:ilvl w:val="0"/>
                      <w:numId w:val="0"/>
                    </w:numPr>
                    <w:ind w:left="0" w:leftChars="0" w:firstLine="0" w:firstLineChars="0"/>
                    <w:jc w:val="center"/>
                    <w:rPr>
                      <w:rFonts w:hint="default" w:ascii="Times New Roman" w:hAnsi="Times New Roman" w:eastAsia="宋体"/>
                      <w:color w:val="auto"/>
                      <w:sz w:val="21"/>
                      <w:szCs w:val="21"/>
                      <w:vertAlign w:val="baseline"/>
                      <w:lang w:val="en-US" w:eastAsia="zh-CN"/>
                    </w:rPr>
                  </w:pPr>
                  <w:r>
                    <w:rPr>
                      <w:rFonts w:hint="default" w:ascii="Times New Roman" w:hAnsi="Times New Roman" w:cs="Times New Roman"/>
                      <w:color w:val="000000" w:themeColor="text1"/>
                      <w14:textFill>
                        <w14:solidFill>
                          <w14:schemeClr w14:val="tx1"/>
                        </w14:solidFill>
                      </w14:textFill>
                    </w:rPr>
                    <w:t>本项目</w:t>
                  </w:r>
                  <w:r>
                    <w:rPr>
                      <w:rFonts w:hint="eastAsia" w:cs="Times New Roman"/>
                      <w:color w:val="000000" w:themeColor="text1"/>
                      <w:lang w:val="en-US" w:eastAsia="zh-CN"/>
                      <w14:textFill>
                        <w14:solidFill>
                          <w14:schemeClr w14:val="tx1"/>
                        </w14:solidFill>
                      </w14:textFill>
                    </w:rPr>
                    <w:t>为</w:t>
                  </w:r>
                  <w:r>
                    <w:rPr>
                      <w:rFonts w:hint="eastAsia" w:cs="Times New Roman"/>
                      <w:b w:val="0"/>
                      <w:bCs/>
                      <w:color w:val="000000" w:themeColor="text1"/>
                      <w:sz w:val="21"/>
                      <w:szCs w:val="21"/>
                      <w:lang w:val="en-US" w:eastAsia="zh-CN"/>
                      <w14:textFill>
                        <w14:solidFill>
                          <w14:schemeClr w14:val="tx1"/>
                        </w14:solidFill>
                      </w14:textFill>
                    </w:rPr>
                    <w:t>既有铁路桥基础冲刷病害整治工程</w:t>
                  </w:r>
                  <w:r>
                    <w:rPr>
                      <w:rFonts w:hint="default" w:ascii="Times New Roman" w:hAnsi="Times New Roman" w:cs="Times New Roman"/>
                      <w:color w:val="000000" w:themeColor="text1"/>
                      <w14:textFill>
                        <w14:solidFill>
                          <w14:schemeClr w14:val="tx1"/>
                        </w14:solidFill>
                      </w14:textFill>
                    </w:rPr>
                    <w:t>，不属于开（围）垦、排干自然湿地，永久性截断自然湿地水源，擅自采砂、采矿、取土，不向河道内排放生产废水和生活污水等禁止的行为，项目的建设符合《中华人民共和国湿地保护法》的相关要求。</w:t>
                  </w:r>
                </w:p>
              </w:tc>
              <w:tc>
                <w:tcPr>
                  <w:tcW w:w="556" w:type="pct"/>
                  <w:tcBorders>
                    <w:top w:val="single" w:color="auto" w:sz="4" w:space="0"/>
                    <w:bottom w:val="single" w:color="auto" w:sz="4" w:space="0"/>
                  </w:tcBorders>
                  <w:noWrap w:val="0"/>
                  <w:vAlign w:val="center"/>
                </w:tcPr>
                <w:p w14:paraId="1388A7EB">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6B0239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continue"/>
                  <w:tcBorders>
                    <w:bottom w:val="single" w:color="auto" w:sz="4" w:space="0"/>
                  </w:tcBorders>
                  <w:noWrap w:val="0"/>
                  <w:vAlign w:val="center"/>
                </w:tcPr>
                <w:p w14:paraId="47058792">
                  <w:pPr>
                    <w:autoSpaceDE w:val="0"/>
                    <w:autoSpaceDN w:val="0"/>
                    <w:adjustRightInd w:val="0"/>
                    <w:spacing w:line="240" w:lineRule="auto"/>
                    <w:jc w:val="center"/>
                    <w:rPr>
                      <w:rFonts w:hint="eastAsia"/>
                      <w:color w:val="auto"/>
                      <w:kern w:val="0"/>
                      <w:szCs w:val="21"/>
                      <w:lang w:val="en-US" w:eastAsia="zh-CN"/>
                    </w:rPr>
                  </w:pPr>
                </w:p>
              </w:tc>
              <w:tc>
                <w:tcPr>
                  <w:tcW w:w="2359" w:type="pct"/>
                  <w:tcBorders>
                    <w:top w:val="single" w:color="auto" w:sz="4" w:space="0"/>
                    <w:bottom w:val="single" w:color="auto" w:sz="4" w:space="0"/>
                  </w:tcBorders>
                  <w:noWrap w:val="0"/>
                  <w:vAlign w:val="center"/>
                </w:tcPr>
                <w:p w14:paraId="1D8215DB">
                  <w:pPr>
                    <w:autoSpaceDE w:val="0"/>
                    <w:autoSpaceDN w:val="0"/>
                    <w:adjustRightIn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临时占用湿地的期限一般不得超过二年，并不得在临时占用的湿地上修建永久性建筑物。临时占用湿地期满后一年内，用地单位或者个人应当恢复湿地面积和生态条件。</w:t>
                  </w:r>
                </w:p>
              </w:tc>
              <w:tc>
                <w:tcPr>
                  <w:tcW w:w="1275" w:type="pct"/>
                  <w:tcBorders>
                    <w:top w:val="single" w:color="auto" w:sz="4" w:space="0"/>
                    <w:bottom w:val="single" w:color="auto" w:sz="4" w:space="0"/>
                  </w:tcBorders>
                  <w:shd w:val="clear" w:color="auto" w:fill="auto"/>
                  <w:noWrap w:val="0"/>
                  <w:vAlign w:val="center"/>
                </w:tcPr>
                <w:p w14:paraId="533AB81A">
                  <w:pPr>
                    <w:numPr>
                      <w:ilvl w:val="0"/>
                      <w:numId w:val="0"/>
                    </w:numPr>
                    <w:ind w:left="0" w:leftChars="0" w:firstLine="0" w:firstLineChars="0"/>
                    <w:jc w:val="both"/>
                    <w:rPr>
                      <w:rFonts w:hint="default" w:ascii="Times New Roman" w:hAnsi="Times New Roman" w:eastAsia="宋体"/>
                      <w:color w:val="auto"/>
                      <w:sz w:val="21"/>
                      <w:szCs w:val="21"/>
                      <w:vertAlign w:val="baseline"/>
                      <w:lang w:val="en-US" w:eastAsia="zh-CN"/>
                    </w:rPr>
                  </w:pPr>
                  <w:r>
                    <w:rPr>
                      <w:rFonts w:hint="default" w:ascii="Times New Roman" w:hAnsi="Times New Roman" w:cs="Times New Roman"/>
                      <w:color w:val="000000" w:themeColor="text1"/>
                      <w:lang w:val="en-US" w:eastAsia="zh-CN"/>
                      <w14:textFill>
                        <w14:solidFill>
                          <w14:schemeClr w14:val="tx1"/>
                        </w14:solidFill>
                      </w14:textFill>
                    </w:rPr>
                    <w:t>本项目</w:t>
                  </w:r>
                  <w:r>
                    <w:rPr>
                      <w:rFonts w:hint="eastAsia" w:cs="Times New Roman"/>
                      <w:color w:val="000000" w:themeColor="text1"/>
                      <w:lang w:val="en-US" w:eastAsia="zh-CN"/>
                      <w14:textFill>
                        <w14:solidFill>
                          <w14:schemeClr w14:val="tx1"/>
                        </w14:solidFill>
                      </w14:textFill>
                    </w:rPr>
                    <w:t>在</w:t>
                  </w:r>
                  <w:r>
                    <w:rPr>
                      <w:rFonts w:hint="eastAsia"/>
                      <w:lang w:val="en-US" w:eastAsia="zh-CN"/>
                    </w:rPr>
                    <w:t>河道中长流水河道搭设栈桥</w:t>
                  </w:r>
                  <w:r>
                    <w:rPr>
                      <w:rFonts w:hint="default" w:ascii="Times New Roman" w:hAnsi="Times New Roman" w:cs="Times New Roman"/>
                      <w:color w:val="000000" w:themeColor="text1"/>
                      <w:lang w:val="en-US" w:eastAsia="zh-CN"/>
                      <w14:textFill>
                        <w14:solidFill>
                          <w14:schemeClr w14:val="tx1"/>
                        </w14:solidFill>
                      </w14:textFill>
                    </w:rPr>
                    <w:t>，项目主体工程施工期</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个月，施工结束后拆除。恢复湿地面积、生态条件</w:t>
                  </w:r>
                  <w:r>
                    <w:rPr>
                      <w:rFonts w:hint="default" w:ascii="Times New Roman" w:hAnsi="Times New Roman" w:cs="Times New Roman"/>
                      <w:color w:val="000000" w:themeColor="text1"/>
                      <w14:textFill>
                        <w14:solidFill>
                          <w14:schemeClr w14:val="tx1"/>
                        </w14:solidFill>
                      </w14:textFill>
                    </w:rPr>
                    <w:t>。</w:t>
                  </w:r>
                </w:p>
              </w:tc>
              <w:tc>
                <w:tcPr>
                  <w:tcW w:w="556" w:type="pct"/>
                  <w:tcBorders>
                    <w:top w:val="single" w:color="auto" w:sz="4" w:space="0"/>
                    <w:bottom w:val="single" w:color="auto" w:sz="4" w:space="0"/>
                  </w:tcBorders>
                  <w:noWrap w:val="0"/>
                  <w:vAlign w:val="center"/>
                </w:tcPr>
                <w:p w14:paraId="60514596">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1868DC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tcBorders>
                    <w:bottom w:val="single" w:color="auto" w:sz="4" w:space="0"/>
                  </w:tcBorders>
                  <w:noWrap w:val="0"/>
                  <w:vAlign w:val="center"/>
                </w:tcPr>
                <w:p w14:paraId="76EE3983">
                  <w:pPr>
                    <w:autoSpaceDE w:val="0"/>
                    <w:autoSpaceDN w:val="0"/>
                    <w:adjustRightInd w:val="0"/>
                    <w:spacing w:line="240" w:lineRule="auto"/>
                    <w:jc w:val="center"/>
                    <w:rPr>
                      <w:rFonts w:hint="eastAsia"/>
                      <w:color w:val="auto"/>
                      <w:kern w:val="0"/>
                      <w:szCs w:val="21"/>
                      <w:lang w:val="en-US" w:eastAsia="zh-CN"/>
                    </w:rPr>
                  </w:pPr>
                  <w:r>
                    <w:rPr>
                      <w:rFonts w:hint="eastAsia"/>
                      <w:color w:val="auto"/>
                      <w:kern w:val="0"/>
                      <w:szCs w:val="21"/>
                      <w:lang w:val="en-US" w:eastAsia="zh-CN"/>
                    </w:rPr>
                    <w:t>《自然资源部国家林业和草原局关于做好自然保护区范围及功能分区优化调整前期有关工作的函》（自然资函</w:t>
                  </w:r>
                  <w:r>
                    <w:rPr>
                      <w:rFonts w:hint="eastAsia" w:ascii="Times New Roman" w:hAnsi="Times New Roman" w:eastAsia="宋体" w:cs="Times New Roman"/>
                      <w:color w:val="auto"/>
                      <w:kern w:val="0"/>
                      <w:sz w:val="21"/>
                      <w:szCs w:val="21"/>
                      <w:lang w:val="en-US" w:eastAsia="zh-CN"/>
                    </w:rPr>
                    <w:t>〔20</w:t>
                  </w:r>
                  <w:r>
                    <w:rPr>
                      <w:rFonts w:hint="eastAsia" w:cs="Times New Roman"/>
                      <w:color w:val="auto"/>
                      <w:kern w:val="0"/>
                      <w:sz w:val="21"/>
                      <w:szCs w:val="21"/>
                      <w:lang w:val="en-US" w:eastAsia="zh-CN"/>
                    </w:rPr>
                    <w:t>20</w:t>
                  </w:r>
                  <w:r>
                    <w:rPr>
                      <w:rFonts w:hint="eastAsia"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71</w:t>
                  </w:r>
                  <w:r>
                    <w:rPr>
                      <w:rFonts w:hint="eastAsia" w:ascii="Times New Roman" w:hAnsi="Times New Roman" w:eastAsia="宋体" w:cs="Times New Roman"/>
                      <w:color w:val="auto"/>
                      <w:kern w:val="0"/>
                      <w:sz w:val="21"/>
                      <w:szCs w:val="21"/>
                      <w:lang w:val="en-US" w:eastAsia="zh-CN"/>
                    </w:rPr>
                    <w:t>号</w:t>
                  </w:r>
                  <w:r>
                    <w:rPr>
                      <w:rFonts w:hint="eastAsia"/>
                      <w:color w:val="auto"/>
                      <w:kern w:val="0"/>
                      <w:szCs w:val="21"/>
                      <w:lang w:val="en-US" w:eastAsia="zh-CN"/>
                    </w:rPr>
                    <w:t>）</w:t>
                  </w:r>
                </w:p>
              </w:tc>
              <w:tc>
                <w:tcPr>
                  <w:tcW w:w="2359" w:type="pct"/>
                  <w:tcBorders>
                    <w:top w:val="single" w:color="auto" w:sz="4" w:space="0"/>
                    <w:bottom w:val="single" w:color="auto" w:sz="4" w:space="0"/>
                  </w:tcBorders>
                  <w:noWrap w:val="0"/>
                  <w:vAlign w:val="center"/>
                </w:tcPr>
                <w:p w14:paraId="6B01CED9">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（二）一般控制区</w:t>
                  </w:r>
                </w:p>
                <w:p w14:paraId="1BCCFB10">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除满足国家特殊战略需要的有关活动外，原则上禁止开发性、生产性建设活动。仅允许以下对生态功能不造成破坏的有限人为活动：</w:t>
                  </w:r>
                </w:p>
                <w:p w14:paraId="6A036B5F">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1.核心保护区允许开展的活动。</w:t>
                  </w:r>
                </w:p>
                <w:p w14:paraId="7DA1D7AC">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2.零星的原住居民在不扩大现有建设用地和耕地规模前提下，允许修缮生产生活设施，保留生活必需种植、放牧、捕捞、养殖等活动。</w:t>
                  </w:r>
                </w:p>
                <w:p w14:paraId="05DD6A86">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3.自然资源、生态环境监测和执法，包括水文水资源监测和涉水违法事件的查处等，灾害风险监测、灾害防治活动。</w:t>
                  </w:r>
                </w:p>
                <w:p w14:paraId="54533C18">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4.经依法批准的非破坏性科学研究观测、标本采集。</w:t>
                  </w:r>
                </w:p>
                <w:p w14:paraId="5B516B62">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5.经依法批准的考古调查发掘和文物保护活动。</w:t>
                  </w:r>
                </w:p>
                <w:p w14:paraId="2282E4D5">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6.适度的参观旅游及相关的必要公共设施建设。</w:t>
                  </w:r>
                </w:p>
                <w:p w14:paraId="06F427B1">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7.必须且无法避让、符合县级以上国土空间规划的线性基础设施建设、防洪和供水设施建设与运行维护；已有的合法水利、交通运输等设施运行和维护。</w:t>
                  </w:r>
                </w:p>
                <w:p w14:paraId="255CF21B">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8.战略性矿产资源基础地质调查和矿产远景调查等公益性工作；已依法设立的油气采矿权在不扩大生产区域范围，以及矿泉水、地热采矿权在不扩大生产规模、不新增生产设施的条件下，继续开采活动；其他矿业权停止勘查开采活动。</w:t>
                  </w:r>
                </w:p>
                <w:p w14:paraId="0694D289">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9.确实难以避让的军事设施建设项目及重大军事演训活动。</w:t>
                  </w:r>
                </w:p>
              </w:tc>
              <w:tc>
                <w:tcPr>
                  <w:tcW w:w="1275" w:type="pct"/>
                  <w:tcBorders>
                    <w:top w:val="single" w:color="auto" w:sz="4" w:space="0"/>
                    <w:bottom w:val="single" w:color="auto" w:sz="4" w:space="0"/>
                  </w:tcBorders>
                  <w:shd w:val="clear" w:color="auto" w:fill="auto"/>
                  <w:noWrap w:val="0"/>
                  <w:vAlign w:val="center"/>
                </w:tcPr>
                <w:p w14:paraId="27DB0458">
                  <w:pPr>
                    <w:numPr>
                      <w:ilvl w:val="0"/>
                      <w:numId w:val="0"/>
                    </w:numPr>
                    <w:ind w:left="0" w:leftChars="0" w:firstLine="0" w:firstLineChars="0"/>
                    <w:jc w:val="center"/>
                    <w:rPr>
                      <w:rFonts w:hint="default"/>
                      <w:lang w:val="en-US" w:eastAsia="zh-CN"/>
                    </w:rPr>
                  </w:pPr>
                  <w:r>
                    <w:rPr>
                      <w:rFonts w:hint="eastAsia"/>
                      <w:color w:val="auto"/>
                      <w:sz w:val="21"/>
                      <w:szCs w:val="21"/>
                      <w:vertAlign w:val="baseline"/>
                      <w:lang w:val="en-US" w:eastAsia="zh-CN"/>
                    </w:rPr>
                    <w:t>本项目位于一般管控区，属于</w:t>
                  </w:r>
                  <w:r>
                    <w:rPr>
                      <w:rFonts w:hint="eastAsia"/>
                      <w:color w:val="auto"/>
                      <w:kern w:val="0"/>
                      <w:szCs w:val="21"/>
                      <w:lang w:val="en-US" w:eastAsia="zh-CN"/>
                    </w:rPr>
                    <w:t>已有的合法交通运输等设施运行和维护，属于允许的有限人为活动。</w:t>
                  </w:r>
                </w:p>
              </w:tc>
              <w:tc>
                <w:tcPr>
                  <w:tcW w:w="556" w:type="pct"/>
                  <w:tcBorders>
                    <w:top w:val="single" w:color="auto" w:sz="4" w:space="0"/>
                    <w:bottom w:val="single" w:color="auto" w:sz="4" w:space="0"/>
                  </w:tcBorders>
                  <w:noWrap w:val="0"/>
                  <w:vAlign w:val="center"/>
                </w:tcPr>
                <w:p w14:paraId="51B9799B">
                  <w:pPr>
                    <w:pStyle w:val="28"/>
                    <w:widowControl w:val="0"/>
                    <w:spacing w:after="0" w:line="240" w:lineRule="auto"/>
                    <w:jc w:val="center"/>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符合</w:t>
                  </w:r>
                </w:p>
                <w:p w14:paraId="2A8425A2">
                  <w:pPr>
                    <w:pStyle w:val="28"/>
                    <w:widowControl w:val="0"/>
                    <w:spacing w:after="0" w:line="240" w:lineRule="auto"/>
                    <w:jc w:val="center"/>
                    <w:rPr>
                      <w:rFonts w:hint="default" w:ascii="Times New Roman" w:hAnsi="Times New Roman"/>
                      <w:color w:val="auto"/>
                      <w:sz w:val="21"/>
                      <w:szCs w:val="21"/>
                      <w:lang w:val="en-US" w:eastAsia="zh-CN"/>
                    </w:rPr>
                  </w:pPr>
                </w:p>
              </w:tc>
            </w:tr>
            <w:tr w14:paraId="6F1B57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tcBorders>
                    <w:bottom w:val="single" w:color="auto" w:sz="4" w:space="0"/>
                  </w:tcBorders>
                  <w:noWrap w:val="0"/>
                  <w:vAlign w:val="center"/>
                </w:tcPr>
                <w:p w14:paraId="5E76BE3B">
                  <w:pPr>
                    <w:autoSpaceDE w:val="0"/>
                    <w:autoSpaceDN w:val="0"/>
                    <w:adjustRightInd w:val="0"/>
                    <w:spacing w:line="240" w:lineRule="auto"/>
                    <w:jc w:val="center"/>
                    <w:rPr>
                      <w:rFonts w:hint="default"/>
                      <w:color w:val="auto"/>
                      <w:kern w:val="0"/>
                      <w:szCs w:val="21"/>
                      <w:lang w:val="en-US" w:eastAsia="zh-CN"/>
                    </w:rPr>
                  </w:pPr>
                  <w:bookmarkStart w:id="7" w:name="_GoBack" w:colFirst="0" w:colLast="2"/>
                  <w:r>
                    <w:rPr>
                      <w:rFonts w:hint="eastAsia"/>
                      <w:color w:val="auto"/>
                      <w:kern w:val="0"/>
                      <w:szCs w:val="21"/>
                      <w:lang w:val="en-US" w:eastAsia="zh-CN"/>
                    </w:rPr>
                    <w:t>《中华人民共和国自然保护区条例》（2026年2月3日第三次修订）</w:t>
                  </w:r>
                </w:p>
              </w:tc>
              <w:tc>
                <w:tcPr>
                  <w:tcW w:w="2359" w:type="pct"/>
                  <w:tcBorders>
                    <w:top w:val="single" w:color="auto" w:sz="4" w:space="0"/>
                    <w:bottom w:val="single" w:color="auto" w:sz="4" w:space="0"/>
                  </w:tcBorders>
                  <w:noWrap w:val="0"/>
                  <w:vAlign w:val="center"/>
                </w:tcPr>
                <w:p w14:paraId="15066A2A">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第二十七条 自然保护区一般控制区内仅允许开展下列人为活动：</w:t>
                  </w:r>
                </w:p>
                <w:p w14:paraId="434569CB">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（一）核心保护区允许开展的活动；</w:t>
                  </w:r>
                </w:p>
                <w:p w14:paraId="3811369D">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（二）符合国土空间规划且无法避让的重要基础设施的建设、运行和维护；</w:t>
                  </w:r>
                </w:p>
                <w:p w14:paraId="7CB4AFAD">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（三）古生物化石调查发掘，基础地质调查，战略性矿产资源远景调查和规定范围内的战略性矿产资源勘查；</w:t>
                  </w:r>
                </w:p>
                <w:p w14:paraId="41A45A6B">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（四）珍稀濒危野生动植物的野化、繁殖，非破坏性的标本采集活动；</w:t>
                  </w:r>
                </w:p>
                <w:p w14:paraId="7E6E22C8">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（五）与自然保护区保护目标一致的人工商品林抚育、树种更新等森林经营活动；</w:t>
                  </w:r>
                </w:p>
                <w:p w14:paraId="78838668">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（六）科普宣传、生态旅游、教育文化体育等公共服务活动；</w:t>
                  </w:r>
                </w:p>
                <w:p w14:paraId="00272285">
                  <w:pPr>
                    <w:autoSpaceDE w:val="0"/>
                    <w:autoSpaceDN w:val="0"/>
                    <w:adjustRightInd w:val="0"/>
                    <w:spacing w:line="240" w:lineRule="auto"/>
                    <w:jc w:val="both"/>
                    <w:rPr>
                      <w:rFonts w:hint="eastAsia"/>
                      <w:color w:val="auto"/>
                      <w:kern w:val="0"/>
                      <w:szCs w:val="21"/>
                      <w:lang w:val="en-US" w:eastAsia="zh-CN"/>
                    </w:rPr>
                  </w:pPr>
                  <w:r>
                    <w:rPr>
                      <w:rFonts w:hint="eastAsia"/>
                      <w:color w:val="auto"/>
                      <w:kern w:val="0"/>
                      <w:szCs w:val="21"/>
                      <w:lang w:val="en-US" w:eastAsia="zh-CN"/>
                    </w:rPr>
                    <w:t>（七）法律、行政法规规定或者国务院批准的其他活动。</w:t>
                  </w:r>
                </w:p>
              </w:tc>
              <w:tc>
                <w:tcPr>
                  <w:tcW w:w="1275" w:type="pct"/>
                  <w:tcBorders>
                    <w:top w:val="single" w:color="auto" w:sz="4" w:space="0"/>
                    <w:bottom w:val="single" w:color="auto" w:sz="4" w:space="0"/>
                  </w:tcBorders>
                  <w:shd w:val="clear" w:color="auto" w:fill="auto"/>
                  <w:noWrap w:val="0"/>
                  <w:vAlign w:val="center"/>
                </w:tcPr>
                <w:p w14:paraId="514A6999">
                  <w:pPr>
                    <w:numPr>
                      <w:ilvl w:val="0"/>
                      <w:numId w:val="0"/>
                    </w:numPr>
                    <w:ind w:left="0" w:leftChars="0" w:firstLine="0" w:firstLineChars="0"/>
                    <w:jc w:val="center"/>
                    <w:rPr>
                      <w:rFonts w:hint="eastAsia"/>
                      <w:color w:val="auto"/>
                      <w:sz w:val="21"/>
                      <w:szCs w:val="21"/>
                      <w:vertAlign w:val="baseline"/>
                      <w:lang w:val="en-US" w:eastAsia="zh-CN"/>
                    </w:rPr>
                  </w:pPr>
                  <w:r>
                    <w:rPr>
                      <w:rFonts w:hint="default" w:ascii="Times New Roman" w:hAnsi="Times New Roman" w:eastAsia="宋体" w:cs="Times New Roman"/>
                      <w:color w:val="auto"/>
                      <w:kern w:val="2"/>
                      <w:sz w:val="21"/>
                      <w:szCs w:val="21"/>
                      <w:lang w:val="en-US" w:eastAsia="zh-CN" w:bidi="ar"/>
                    </w:rPr>
                    <w:t>本项目为</w:t>
                  </w:r>
                  <w:r>
                    <w:rPr>
                      <w:rFonts w:hint="eastAsia" w:cs="Times New Roman"/>
                      <w:b w:val="0"/>
                      <w:bCs/>
                      <w:color w:val="auto"/>
                      <w:sz w:val="21"/>
                      <w:szCs w:val="21"/>
                      <w:lang w:val="en-US" w:eastAsia="zh-CN"/>
                    </w:rPr>
                    <w:t>既有铁路桥基础冲刷病害整治工程</w:t>
                  </w:r>
                  <w:r>
                    <w:rPr>
                      <w:rFonts w:hint="default" w:ascii="Times New Roman" w:hAnsi="Times New Roman" w:cs="Times New Roman"/>
                      <w:color w:val="auto"/>
                    </w:rPr>
                    <w:t>，</w:t>
                  </w:r>
                  <w:r>
                    <w:rPr>
                      <w:rFonts w:hint="default" w:ascii="Times New Roman" w:hAnsi="Times New Roman" w:eastAsia="宋体" w:cs="Times New Roman"/>
                      <w:color w:val="auto"/>
                      <w:kern w:val="2"/>
                      <w:sz w:val="21"/>
                      <w:szCs w:val="21"/>
                      <w:lang w:val="en-US" w:eastAsia="zh-CN" w:bidi="ar"/>
                    </w:rPr>
                    <w:t>主体工程</w:t>
                  </w:r>
                  <w:r>
                    <w:rPr>
                      <w:rFonts w:hint="eastAsia" w:cs="Times New Roman"/>
                      <w:color w:val="auto"/>
                      <w:kern w:val="2"/>
                      <w:sz w:val="21"/>
                      <w:szCs w:val="21"/>
                      <w:lang w:val="en-US" w:eastAsia="zh-CN" w:bidi="ar"/>
                    </w:rPr>
                    <w:t>位于</w:t>
                  </w:r>
                  <w:r>
                    <w:rPr>
                      <w:rFonts w:hint="eastAsia" w:eastAsia="宋体" w:cs="Times New Roman"/>
                      <w:color w:val="auto"/>
                      <w:kern w:val="2"/>
                      <w:sz w:val="21"/>
                      <w:szCs w:val="21"/>
                      <w:lang w:val="en-US" w:eastAsia="zh-CN" w:bidi="ar"/>
                    </w:rPr>
                    <w:t>陕西汉中朱鹮国家级自然保护区</w:t>
                  </w:r>
                  <w:r>
                    <w:rPr>
                      <w:rFonts w:hint="eastAsia" w:cs="Times New Roman"/>
                      <w:color w:val="auto"/>
                      <w:kern w:val="2"/>
                      <w:sz w:val="21"/>
                      <w:szCs w:val="21"/>
                      <w:lang w:val="en-US" w:eastAsia="zh-CN" w:bidi="ar"/>
                    </w:rPr>
                    <w:t>实验</w:t>
                  </w:r>
                  <w:r>
                    <w:rPr>
                      <w:rFonts w:hint="eastAsia" w:eastAsia="宋体" w:cs="Times New Roman"/>
                      <w:color w:val="auto"/>
                      <w:kern w:val="2"/>
                      <w:sz w:val="21"/>
                      <w:szCs w:val="21"/>
                      <w:lang w:val="en-US" w:eastAsia="zh-CN" w:bidi="ar"/>
                    </w:rPr>
                    <w:t>区</w:t>
                  </w:r>
                  <w:r>
                    <w:rPr>
                      <w:rFonts w:hint="default" w:ascii="Times New Roman" w:hAnsi="Times New Roman" w:eastAsia="宋体" w:cs="Times New Roman"/>
                      <w:color w:val="auto"/>
                      <w:kern w:val="2"/>
                      <w:sz w:val="21"/>
                      <w:szCs w:val="21"/>
                      <w:lang w:val="en-US" w:eastAsia="zh-CN" w:bidi="ar"/>
                    </w:rPr>
                    <w:t>，项目属于必须且无法避让、符合县级以上国土空间规划的</w:t>
                  </w:r>
                  <w:r>
                    <w:rPr>
                      <w:rFonts w:hint="eastAsia" w:eastAsia="宋体" w:cs="Times New Roman"/>
                      <w:color w:val="auto"/>
                      <w:kern w:val="2"/>
                      <w:sz w:val="21"/>
                      <w:szCs w:val="21"/>
                      <w:lang w:val="en-US" w:eastAsia="zh-CN" w:bidi="ar"/>
                    </w:rPr>
                    <w:t>交通运输</w:t>
                  </w:r>
                  <w:r>
                    <w:rPr>
                      <w:rFonts w:hint="default" w:ascii="Times New Roman" w:hAnsi="Times New Roman" w:eastAsia="宋体" w:cs="Times New Roman"/>
                      <w:color w:val="auto"/>
                      <w:kern w:val="2"/>
                      <w:sz w:val="21"/>
                      <w:szCs w:val="21"/>
                      <w:lang w:val="en-US" w:eastAsia="zh-CN" w:bidi="ar"/>
                    </w:rPr>
                    <w:t>设施</w:t>
                  </w:r>
                  <w:r>
                    <w:rPr>
                      <w:rFonts w:hint="eastAsia" w:eastAsia="宋体" w:cs="Times New Roman"/>
                      <w:color w:val="auto"/>
                      <w:kern w:val="2"/>
                      <w:sz w:val="21"/>
                      <w:szCs w:val="21"/>
                      <w:lang w:val="en-US" w:eastAsia="zh-CN" w:bidi="ar"/>
                    </w:rPr>
                    <w:t>维护改造</w:t>
                  </w:r>
                  <w:r>
                    <w:rPr>
                      <w:rFonts w:hint="default" w:ascii="Times New Roman" w:hAnsi="Times New Roman" w:eastAsia="宋体" w:cs="Times New Roman"/>
                      <w:color w:val="auto"/>
                      <w:kern w:val="2"/>
                      <w:sz w:val="21"/>
                      <w:szCs w:val="21"/>
                      <w:lang w:val="en-US" w:eastAsia="zh-CN" w:bidi="ar"/>
                    </w:rPr>
                    <w:t>等活动</w:t>
                  </w:r>
                  <w:r>
                    <w:rPr>
                      <w:rFonts w:hint="eastAsia" w:cs="Times New Roman"/>
                      <w:color w:val="auto"/>
                      <w:kern w:val="2"/>
                      <w:sz w:val="21"/>
                      <w:szCs w:val="21"/>
                      <w:lang w:val="en-US" w:eastAsia="zh-CN" w:bidi="ar"/>
                    </w:rPr>
                    <w:t>，属于一般控制区内允许开展的人为活动</w:t>
                  </w:r>
                  <w:r>
                    <w:rPr>
                      <w:rFonts w:hint="default" w:ascii="Times New Roman" w:hAnsi="Times New Roman" w:cs="Times New Roman"/>
                      <w:color w:val="auto"/>
                      <w:kern w:val="2"/>
                      <w:sz w:val="21"/>
                      <w:szCs w:val="21"/>
                      <w:lang w:val="en-US" w:eastAsia="zh-CN" w:bidi="ar"/>
                    </w:rPr>
                    <w:t>。</w:t>
                  </w:r>
                </w:p>
              </w:tc>
              <w:tc>
                <w:tcPr>
                  <w:tcW w:w="556" w:type="pct"/>
                  <w:tcBorders>
                    <w:top w:val="single" w:color="auto" w:sz="4" w:space="0"/>
                    <w:bottom w:val="single" w:color="auto" w:sz="4" w:space="0"/>
                  </w:tcBorders>
                  <w:noWrap w:val="0"/>
                  <w:vAlign w:val="center"/>
                </w:tcPr>
                <w:p w14:paraId="1C601D3D">
                  <w:pPr>
                    <w:pStyle w:val="28"/>
                    <w:widowControl w:val="0"/>
                    <w:spacing w:after="0" w:line="240" w:lineRule="auto"/>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符合</w:t>
                  </w:r>
                </w:p>
              </w:tc>
            </w:tr>
            <w:bookmarkEnd w:id="7"/>
            <w:tr w14:paraId="7BDC0E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tcBorders>
                    <w:bottom w:val="single" w:color="auto" w:sz="4" w:space="0"/>
                  </w:tcBorders>
                  <w:noWrap w:val="0"/>
                  <w:vAlign w:val="center"/>
                </w:tcPr>
                <w:p w14:paraId="39029167">
                  <w:pPr>
                    <w:autoSpaceDE w:val="0"/>
                    <w:autoSpaceDN w:val="0"/>
                    <w:adjustRightInd w:val="0"/>
                    <w:spacing w:line="240" w:lineRule="auto"/>
                    <w:jc w:val="center"/>
                    <w:rPr>
                      <w:rFonts w:hint="default" w:ascii="Times New Roman" w:hAnsi="Times New Roman" w:eastAsia="宋体"/>
                      <w:color w:val="auto"/>
                      <w:sz w:val="21"/>
                      <w:szCs w:val="21"/>
                      <w:vertAlign w:val="baseline"/>
                      <w:lang w:val="en-US" w:eastAsia="zh-CN"/>
                    </w:rPr>
                  </w:pPr>
                  <w:r>
                    <w:rPr>
                      <w:rFonts w:hint="eastAsia"/>
                      <w:color w:val="auto"/>
                      <w:kern w:val="0"/>
                      <w:szCs w:val="21"/>
                      <w:lang w:val="en-US" w:eastAsia="zh-CN"/>
                    </w:rPr>
                    <w:t>《自然资源部生态环境部国家林业和草原局关于加强生态保护红线管理的通知（试行）》</w:t>
                  </w:r>
                  <w:r>
                    <w:rPr>
                      <w:rFonts w:hint="default" w:ascii="Times New Roman" w:hAnsi="Times New Roman" w:eastAsia="宋体" w:cs="Times New Roman"/>
                      <w:color w:val="000000" w:themeColor="text1"/>
                      <w:sz w:val="21"/>
                      <w:szCs w:val="21"/>
                      <w:lang w:eastAsia="zh-CN"/>
                      <w14:textFill>
                        <w14:solidFill>
                          <w14:schemeClr w14:val="tx1"/>
                        </w14:solidFill>
                      </w14:textFill>
                    </w:rPr>
                    <w:t>（自然资发〔2022〕142号）</w:t>
                  </w:r>
                </w:p>
              </w:tc>
              <w:tc>
                <w:tcPr>
                  <w:tcW w:w="2359" w:type="pct"/>
                  <w:tcBorders>
                    <w:top w:val="single" w:color="auto" w:sz="4" w:space="0"/>
                    <w:bottom w:val="single" w:color="auto" w:sz="4" w:space="0"/>
                  </w:tcBorders>
                  <w:noWrap w:val="0"/>
                  <w:vAlign w:val="center"/>
                </w:tcPr>
                <w:p w14:paraId="10930915">
                  <w:pPr>
                    <w:autoSpaceDE w:val="0"/>
                    <w:autoSpaceDN w:val="0"/>
                    <w:adjustRightInd w:val="0"/>
                    <w:spacing w:line="240" w:lineRule="auto"/>
                    <w:jc w:val="center"/>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一）规范管控对生态功能不造成破坏的有限人为活动。生态保护红线是国土空间规划中的重要管控边界，生态保护红线内自然保护地核心保护区外，禁止开发性、生产性建设活动，在符合法律法规的前提下，仅允许以下对生态功能不造成破坏的有限人为活动。生态保护红线内自然保护区、风景名胜区、饮用水水源保护区等区域，依照法律法规执行</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6.必须且无法避让、符合县级以上国土空间规划的线性基础设施、通讯和防洪、供水设施建设和船舶航行、航道疏浚清淤等活动；已有的合法水利、交通运输等设施运行维护改造</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开展上述活动时禁止新增填海造地和新增围海。上述活动涉及利用无居民海岛的，原则上仅允许按照相关规定对海岛自然岸线、表面积、岛体、植被改变轻微的低影响利用方式。</w:t>
                  </w:r>
                </w:p>
              </w:tc>
              <w:tc>
                <w:tcPr>
                  <w:tcW w:w="1275" w:type="pct"/>
                  <w:tcBorders>
                    <w:top w:val="single" w:color="auto" w:sz="4" w:space="0"/>
                    <w:bottom w:val="single" w:color="auto" w:sz="4" w:space="0"/>
                  </w:tcBorders>
                  <w:shd w:val="clear" w:color="auto" w:fill="auto"/>
                  <w:noWrap w:val="0"/>
                  <w:vAlign w:val="center"/>
                </w:tcPr>
                <w:p w14:paraId="291237A7">
                  <w:pPr>
                    <w:numPr>
                      <w:ilvl w:val="0"/>
                      <w:numId w:val="0"/>
                    </w:numPr>
                    <w:ind w:left="0" w:leftChars="0" w:firstLine="0" w:firstLineChars="0"/>
                    <w:jc w:val="center"/>
                    <w:rPr>
                      <w:rFonts w:hint="default" w:ascii="Times New Roman" w:hAnsi="Times New Roman" w:eastAsia="宋体"/>
                      <w:color w:val="auto"/>
                      <w:sz w:val="21"/>
                      <w:szCs w:val="21"/>
                      <w:vertAlign w:val="baseline"/>
                      <w:lang w:val="en-US" w:eastAsia="zh-CN"/>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本项目为</w:t>
                  </w:r>
                  <w:r>
                    <w:rPr>
                      <w:rFonts w:hint="eastAsia" w:cs="Times New Roman"/>
                      <w:b w:val="0"/>
                      <w:bCs/>
                      <w:color w:val="000000" w:themeColor="text1"/>
                      <w:sz w:val="21"/>
                      <w:szCs w:val="21"/>
                      <w:lang w:val="en-US" w:eastAsia="zh-CN"/>
                      <w14:textFill>
                        <w14:solidFill>
                          <w14:schemeClr w14:val="tx1"/>
                        </w14:solidFill>
                      </w14:textFill>
                    </w:rPr>
                    <w:t>既有铁路桥基础冲刷病害整治工程</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主体工程</w:t>
                  </w:r>
                  <w:r>
                    <w:rPr>
                      <w:rFonts w:hint="eastAsia" w:cs="Times New Roman"/>
                      <w:color w:val="000000" w:themeColor="text1"/>
                      <w:kern w:val="2"/>
                      <w:sz w:val="21"/>
                      <w:szCs w:val="21"/>
                      <w:lang w:val="en-US" w:eastAsia="zh-CN" w:bidi="ar"/>
                      <w14:textFill>
                        <w14:solidFill>
                          <w14:schemeClr w14:val="tx1"/>
                        </w14:solidFill>
                      </w14:textFill>
                    </w:rPr>
                    <w:t>位于</w:t>
                  </w:r>
                  <w:r>
                    <w:rPr>
                      <w:rFonts w:hint="eastAsia" w:eastAsia="宋体" w:cs="Times New Roman"/>
                      <w:color w:val="000000" w:themeColor="text1"/>
                      <w:kern w:val="2"/>
                      <w:sz w:val="21"/>
                      <w:szCs w:val="21"/>
                      <w:lang w:val="en-US" w:eastAsia="zh-CN" w:bidi="ar"/>
                      <w14:textFill>
                        <w14:solidFill>
                          <w14:schemeClr w14:val="tx1"/>
                        </w14:solidFill>
                      </w14:textFill>
                    </w:rPr>
                    <w:t>陕西汉中朱鹮国家级自然保护区</w:t>
                  </w:r>
                  <w:r>
                    <w:rPr>
                      <w:rFonts w:hint="eastAsia" w:cs="Times New Roman"/>
                      <w:color w:val="000000" w:themeColor="text1"/>
                      <w:kern w:val="2"/>
                      <w:sz w:val="21"/>
                      <w:szCs w:val="21"/>
                      <w:lang w:val="en-US" w:eastAsia="zh-CN" w:bidi="ar"/>
                      <w14:textFill>
                        <w14:solidFill>
                          <w14:schemeClr w14:val="tx1"/>
                        </w14:solidFill>
                      </w14:textFill>
                    </w:rPr>
                    <w:t>实验</w:t>
                  </w:r>
                  <w:r>
                    <w:rPr>
                      <w:rFonts w:hint="eastAsia" w:eastAsia="宋体" w:cs="Times New Roman"/>
                      <w:color w:val="000000" w:themeColor="text1"/>
                      <w:kern w:val="2"/>
                      <w:sz w:val="21"/>
                      <w:szCs w:val="21"/>
                      <w:lang w:val="en-US" w:eastAsia="zh-CN" w:bidi="ar"/>
                      <w14:textFill>
                        <w14:solidFill>
                          <w14:schemeClr w14:val="tx1"/>
                        </w14:solidFill>
                      </w14:textFill>
                    </w:rPr>
                    <w:t>区</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，项目属于必须且无法避让、符合县级以上国土空间规划的</w:t>
                  </w:r>
                  <w:r>
                    <w:rPr>
                      <w:rFonts w:hint="eastAsia" w:eastAsia="宋体" w:cs="Times New Roman"/>
                      <w:color w:val="000000" w:themeColor="text1"/>
                      <w:kern w:val="2"/>
                      <w:sz w:val="21"/>
                      <w:szCs w:val="21"/>
                      <w:lang w:val="en-US" w:eastAsia="zh-CN" w:bidi="ar"/>
                      <w14:textFill>
                        <w14:solidFill>
                          <w14:schemeClr w14:val="tx1"/>
                        </w14:solidFill>
                      </w14:textFill>
                    </w:rPr>
                    <w:t>交通运输</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设施</w:t>
                  </w:r>
                  <w:r>
                    <w:rPr>
                      <w:rFonts w:hint="eastAsia" w:eastAsia="宋体" w:cs="Times New Roman"/>
                      <w:color w:val="000000" w:themeColor="text1"/>
                      <w:kern w:val="2"/>
                      <w:sz w:val="21"/>
                      <w:szCs w:val="21"/>
                      <w:lang w:val="en-US" w:eastAsia="zh-CN" w:bidi="ar"/>
                      <w14:textFill>
                        <w14:solidFill>
                          <w14:schemeClr w14:val="tx1"/>
                        </w14:solidFill>
                      </w14:textFill>
                    </w:rPr>
                    <w:t>维护改造</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等活动</w:t>
                  </w:r>
                  <w:r>
                    <w:rPr>
                      <w:rFonts w:hint="eastAsia" w:cs="Times New Roman"/>
                      <w:color w:val="000000" w:themeColor="text1"/>
                      <w:kern w:val="2"/>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r>
                    <w:rPr>
                      <w:rFonts w:hint="eastAsia" w:cs="Times New Roman"/>
                      <w:color w:val="000000" w:themeColor="text1"/>
                      <w:kern w:val="2"/>
                      <w:sz w:val="21"/>
                      <w:szCs w:val="21"/>
                      <w:lang w:val="en-US" w:eastAsia="zh-CN" w:bidi="ar"/>
                      <w14:textFill>
                        <w14:solidFill>
                          <w14:schemeClr w14:val="tx1"/>
                        </w14:solidFill>
                      </w14:textFill>
                    </w:rPr>
                    <w:t>生态保护红线</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范围内允许建设的内容</w:t>
                  </w:r>
                  <w:r>
                    <w:rPr>
                      <w:rFonts w:hint="default" w:ascii="Times New Roman" w:hAnsi="Times New Roman" w:cs="Times New Roman"/>
                      <w:color w:val="000000" w:themeColor="text1"/>
                      <w:kern w:val="2"/>
                      <w:sz w:val="21"/>
                      <w:szCs w:val="21"/>
                      <w:lang w:val="en-US" w:eastAsia="zh-CN" w:bidi="ar"/>
                      <w14:textFill>
                        <w14:solidFill>
                          <w14:schemeClr w14:val="tx1"/>
                        </w14:solidFill>
                      </w14:textFill>
                    </w:rPr>
                    <w:t>。</w:t>
                  </w:r>
                </w:p>
              </w:tc>
              <w:tc>
                <w:tcPr>
                  <w:tcW w:w="556" w:type="pct"/>
                  <w:tcBorders>
                    <w:top w:val="single" w:color="auto" w:sz="4" w:space="0"/>
                    <w:bottom w:val="single" w:color="auto" w:sz="4" w:space="0"/>
                  </w:tcBorders>
                  <w:noWrap w:val="0"/>
                  <w:vAlign w:val="center"/>
                </w:tcPr>
                <w:p w14:paraId="7DDA312F">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6D4E5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tcBorders>
                    <w:bottom w:val="single" w:color="auto" w:sz="4" w:space="0"/>
                  </w:tcBorders>
                  <w:noWrap w:val="0"/>
                  <w:vAlign w:val="center"/>
                </w:tcPr>
                <w:p w14:paraId="668484B6">
                  <w:pPr>
                    <w:autoSpaceDE w:val="0"/>
                    <w:autoSpaceDN w:val="0"/>
                    <w:adjustRightInd w:val="0"/>
                    <w:spacing w:line="240" w:lineRule="auto"/>
                    <w:jc w:val="center"/>
                    <w:rPr>
                      <w:rFonts w:hint="eastAsia"/>
                      <w:color w:val="auto"/>
                      <w:kern w:val="0"/>
                      <w:szCs w:val="21"/>
                      <w:lang w:val="en-US" w:eastAsia="zh-CN"/>
                    </w:rPr>
                  </w:pPr>
                  <w:r>
                    <w:rPr>
                      <w:rFonts w:hint="eastAsia"/>
                      <w:color w:val="auto"/>
                      <w:kern w:val="0"/>
                      <w:szCs w:val="21"/>
                      <w:lang w:val="en-US" w:eastAsia="zh-CN"/>
                    </w:rPr>
                    <w:t>《陕西省湿地保护条例》</w:t>
                  </w:r>
                </w:p>
              </w:tc>
              <w:tc>
                <w:tcPr>
                  <w:tcW w:w="2359" w:type="pct"/>
                  <w:tcBorders>
                    <w:top w:val="single" w:color="auto" w:sz="4" w:space="0"/>
                    <w:bottom w:val="single" w:color="auto" w:sz="4" w:space="0"/>
                  </w:tcBorders>
                  <w:noWrap w:val="0"/>
                  <w:vAlign w:val="center"/>
                </w:tcPr>
                <w:p w14:paraId="7687BED2">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第二十七条 禁止在天然湿地范围内从事下列活动：</w:t>
                  </w:r>
                </w:p>
                <w:p w14:paraId="67628507">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（一）开垦、烧荒；</w:t>
                  </w:r>
                </w:p>
                <w:p w14:paraId="663C28F3">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（二）擅自排放湿地蓄水；</w:t>
                  </w:r>
                </w:p>
                <w:p w14:paraId="1056E132">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（三）破坏鱼类等水生生物洄游通道或者野生动物栖息地；</w:t>
                  </w:r>
                </w:p>
                <w:p w14:paraId="5B4EEF79">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（四）擅自采砂、采石、采矿、挖塘；</w:t>
                  </w:r>
                </w:p>
                <w:p w14:paraId="26129A6A">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（五）擅自砍伐林木、采集野生植物，猎捕野生动物、捡拾鸟卵或者采用灭绝性方式捕捞鱼类及其他水生生物；</w:t>
                  </w:r>
                </w:p>
                <w:p w14:paraId="72932361">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（六）向天然湿地内排放超标污水或者有毒有害气体，投放可能危害水体、水生生物的化学物品；</w:t>
                  </w:r>
                </w:p>
                <w:p w14:paraId="598A12E3">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（七）向天然湿地及其周边一公里范围内倾倒固体废弃物；</w:t>
                  </w:r>
                </w:p>
                <w:p w14:paraId="318A7771">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（八）擅自向天然湿地引入外来物种；</w:t>
                  </w:r>
                </w:p>
                <w:p w14:paraId="44E1C433">
                  <w:pPr>
                    <w:autoSpaceDE w:val="0"/>
                    <w:autoSpaceDN w:val="0"/>
                    <w:adjustRightInd w:val="0"/>
                    <w:spacing w:line="240" w:lineRule="auto"/>
                    <w:jc w:val="center"/>
                    <w:rPr>
                      <w:rFonts w:hint="eastAsia" w:ascii="Times New Roman" w:hAnsi="Times New Roman" w:eastAsia="宋体"/>
                      <w:color w:val="auto"/>
                      <w:sz w:val="21"/>
                      <w:szCs w:val="21"/>
                      <w:vertAlign w:val="baseline"/>
                      <w:lang w:val="en-US" w:eastAsia="zh-CN"/>
                    </w:rPr>
                  </w:pPr>
                  <w:r>
                    <w:rPr>
                      <w:rFonts w:hint="default" w:ascii="Times New Roman" w:hAnsi="Times New Roman" w:cs="Times New Roman"/>
                      <w:color w:val="000000" w:themeColor="text1"/>
                      <w14:textFill>
                        <w14:solidFill>
                          <w14:schemeClr w14:val="tx1"/>
                        </w14:solidFill>
                      </w14:textFill>
                    </w:rPr>
                    <w:t>（九）其他破坏天然湿地的行为。</w:t>
                  </w:r>
                </w:p>
              </w:tc>
              <w:tc>
                <w:tcPr>
                  <w:tcW w:w="1275" w:type="pct"/>
                  <w:tcBorders>
                    <w:top w:val="single" w:color="auto" w:sz="4" w:space="0"/>
                    <w:bottom w:val="single" w:color="auto" w:sz="4" w:space="0"/>
                  </w:tcBorders>
                  <w:shd w:val="clear" w:color="auto" w:fill="auto"/>
                  <w:noWrap w:val="0"/>
                  <w:vAlign w:val="center"/>
                </w:tcPr>
                <w:p w14:paraId="6B2754F2">
                  <w:pPr>
                    <w:numPr>
                      <w:ilvl w:val="0"/>
                      <w:numId w:val="0"/>
                    </w:numPr>
                    <w:ind w:left="0" w:leftChars="0" w:firstLine="0" w:firstLineChars="0"/>
                    <w:jc w:val="center"/>
                    <w:rPr>
                      <w:rFonts w:hint="default" w:ascii="Times New Roman" w:hAnsi="Times New Roman" w:eastAsia="宋体"/>
                      <w:color w:val="auto"/>
                      <w:sz w:val="21"/>
                      <w:szCs w:val="21"/>
                      <w:vertAlign w:val="baseline"/>
                      <w:lang w:val="en-US" w:eastAsia="zh-CN"/>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本项目为</w:t>
                  </w:r>
                  <w:r>
                    <w:rPr>
                      <w:rFonts w:hint="eastAsia" w:cs="Times New Roman"/>
                      <w:b w:val="0"/>
                      <w:bCs/>
                      <w:color w:val="000000" w:themeColor="text1"/>
                      <w:sz w:val="21"/>
                      <w:szCs w:val="21"/>
                      <w:lang w:val="en-US" w:eastAsia="zh-CN"/>
                      <w14:textFill>
                        <w14:solidFill>
                          <w14:schemeClr w14:val="tx1"/>
                        </w14:solidFill>
                      </w14:textFill>
                    </w:rPr>
                    <w:t>既有铁路桥基础冲刷病害整治工程，主要建设内容为对铁路桥基础采用桩基加固，</w:t>
                  </w:r>
                  <w:r>
                    <w:rPr>
                      <w:rFonts w:hint="default" w:ascii="Times New Roman" w:hAnsi="Times New Roman" w:cs="Times New Roman"/>
                      <w:color w:val="000000" w:themeColor="text1"/>
                      <w14:textFill>
                        <w14:solidFill>
                          <w14:schemeClr w14:val="tx1"/>
                        </w14:solidFill>
                      </w14:textFill>
                    </w:rPr>
                    <w:t>项目的建设不属于天然湿地范围内禁止从事的行为。</w:t>
                  </w:r>
                </w:p>
              </w:tc>
              <w:tc>
                <w:tcPr>
                  <w:tcW w:w="556" w:type="pct"/>
                  <w:tcBorders>
                    <w:top w:val="single" w:color="auto" w:sz="4" w:space="0"/>
                    <w:bottom w:val="single" w:color="auto" w:sz="4" w:space="0"/>
                  </w:tcBorders>
                  <w:noWrap w:val="0"/>
                  <w:vAlign w:val="center"/>
                </w:tcPr>
                <w:p w14:paraId="4CCEF920">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4BC39D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restart"/>
                  <w:noWrap w:val="0"/>
                  <w:vAlign w:val="center"/>
                </w:tcPr>
                <w:p w14:paraId="1E33014A">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right="0" w:firstLine="0" w:firstLineChars="0"/>
                    <w:rPr>
                      <w:rFonts w:hint="eastAsia"/>
                      <w:color w:val="auto"/>
                      <w:kern w:val="0"/>
                      <w:szCs w:val="21"/>
                      <w:lang w:val="en-US" w:eastAsia="zh-CN"/>
                    </w:rPr>
                  </w:pPr>
                  <w:r>
                    <w:rPr>
                      <w:rFonts w:hint="eastAsia"/>
                      <w:color w:val="auto"/>
                      <w:kern w:val="0"/>
                      <w:szCs w:val="21"/>
                      <w:lang w:val="en-US" w:eastAsia="zh-CN"/>
                    </w:rPr>
                    <w:t>《陕西省自然资源厅陕西省生态环境厅陕西省林业局关于加强生态保护红线管理的通知（试行）》（</w:t>
                  </w:r>
                  <w:r>
                    <w:rPr>
                      <w:rFonts w:hint="default" w:ascii="Times New Roman" w:hAnsi="Times New Roman" w:eastAsia="宋体" w:cs="Times New Roman"/>
                      <w:color w:val="000000" w:themeColor="text1"/>
                      <w:sz w:val="21"/>
                      <w:szCs w:val="21"/>
                      <w:lang w:eastAsia="zh-CN"/>
                      <w14:textFill>
                        <w14:solidFill>
                          <w14:schemeClr w14:val="tx1"/>
                        </w14:solidFill>
                      </w14:textFill>
                    </w:rPr>
                    <w:t>陕自然资规</w:t>
                  </w:r>
                  <w:r>
                    <w:rPr>
                      <w:rFonts w:hint="default" w:ascii="Times New Roman" w:hAnsi="Times New Roman" w:cs="Times New Roman"/>
                      <w:color w:val="000000" w:themeColor="text1"/>
                      <w:sz w:val="21"/>
                      <w:szCs w:val="21"/>
                      <w:lang w:eastAsia="zh-CN"/>
                      <w14:textFill>
                        <w14:solidFill>
                          <w14:schemeClr w14:val="tx1"/>
                        </w14:solidFill>
                      </w14:textFill>
                    </w:rPr>
                    <w:t>〔2023〕2号</w:t>
                  </w:r>
                  <w:r>
                    <w:rPr>
                      <w:rFonts w:hint="eastAsia" w:cs="Times New Roman"/>
                      <w:color w:val="000000" w:themeColor="text1"/>
                      <w:sz w:val="21"/>
                      <w:szCs w:val="21"/>
                      <w:lang w:eastAsia="zh-CN"/>
                      <w14:textFill>
                        <w14:solidFill>
                          <w14:schemeClr w14:val="tx1"/>
                        </w14:solidFill>
                      </w14:textFill>
                    </w:rPr>
                    <w:t>）</w:t>
                  </w:r>
                </w:p>
              </w:tc>
              <w:tc>
                <w:tcPr>
                  <w:tcW w:w="2359" w:type="pct"/>
                  <w:tcBorders>
                    <w:top w:val="single" w:color="auto" w:sz="4" w:space="0"/>
                    <w:bottom w:val="single" w:color="auto" w:sz="4" w:space="0"/>
                  </w:tcBorders>
                  <w:noWrap w:val="0"/>
                  <w:vAlign w:val="center"/>
                </w:tcPr>
                <w:p w14:paraId="719BE7A4">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生态保护红线内自然保护地核心保护区外，禁止开发性、生产性建设活动，在符合法律法规的前提下，仅允许以下对生态功能不</w:t>
                  </w:r>
                  <w:r>
                    <w:rPr>
                      <w:rFonts w:hint="default" w:ascii="Times New Roman" w:hAnsi="Times New Roman" w:cs="Times New Roman"/>
                      <w:color w:val="000000" w:themeColor="text1"/>
                      <w:sz w:val="21"/>
                      <w:szCs w:val="21"/>
                      <w:lang w:eastAsia="zh-CN"/>
                      <w14:textFill>
                        <w14:solidFill>
                          <w14:schemeClr w14:val="tx1"/>
                        </w14:solidFill>
                      </w14:textFill>
                    </w:rPr>
                    <w:t>造成</w:t>
                  </w:r>
                  <w:r>
                    <w:rPr>
                      <w:rFonts w:hint="default" w:ascii="Times New Roman" w:hAnsi="Times New Roman" w:eastAsia="宋体" w:cs="Times New Roman"/>
                      <w:color w:val="000000" w:themeColor="text1"/>
                      <w:sz w:val="21"/>
                      <w:szCs w:val="21"/>
                      <w:lang w:eastAsia="zh-CN"/>
                      <w14:textFill>
                        <w14:solidFill>
                          <w14:schemeClr w14:val="tx1"/>
                        </w14:solidFill>
                      </w14:textFill>
                    </w:rPr>
                    <w:t>破坏的有限人为活动。</w:t>
                  </w:r>
                </w:p>
                <w:p w14:paraId="36265FF1">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1、管护巡护、保护执法、科学研究、调查监测、测绘导航、防灾减灾救灾、军事国防、疫情防控、应急救援等活动及相关的必要设施修筑。……</w:t>
                  </w:r>
                </w:p>
                <w:p w14:paraId="0B09F335">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6.必须且无法避让、符合县级以上国土空间规划的线性基础设施、通讯和防洪、供水、水文设施建设和船舶航行、航道疏浚清淤等活动：</w:t>
                  </w:r>
                  <w:r>
                    <w:rPr>
                      <w:rFonts w:hint="eastAsia" w:cs="Times New Roman"/>
                      <w:color w:val="000000" w:themeColor="text1"/>
                      <w:sz w:val="21"/>
                      <w:szCs w:val="21"/>
                      <w:lang w:eastAsia="zh-CN"/>
                      <w14:textFill>
                        <w14:solidFill>
                          <w14:schemeClr w14:val="tx1"/>
                        </w14:solidFill>
                      </w14:textFill>
                    </w:rPr>
                    <w:t>已有</w:t>
                  </w:r>
                  <w:r>
                    <w:rPr>
                      <w:rFonts w:hint="default" w:ascii="Times New Roman" w:hAnsi="Times New Roman" w:eastAsia="宋体" w:cs="Times New Roman"/>
                      <w:color w:val="000000" w:themeColor="text1"/>
                      <w:sz w:val="21"/>
                      <w:szCs w:val="21"/>
                      <w:lang w:eastAsia="zh-CN"/>
                      <w14:textFill>
                        <w14:solidFill>
                          <w14:schemeClr w14:val="tx1"/>
                        </w14:solidFill>
                      </w14:textFill>
                    </w:rPr>
                    <w:t>的合法水利、交通运输等设施运行维护改造。……</w:t>
                  </w:r>
                </w:p>
                <w:p w14:paraId="13B05BEE">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left"/>
                    <w:rPr>
                      <w:rFonts w:hint="eastAsia" w:ascii="Times New Roman" w:hAnsi="Times New Roman" w:eastAsia="宋体"/>
                      <w:color w:val="auto"/>
                      <w:sz w:val="21"/>
                      <w:szCs w:val="21"/>
                      <w:vertAlign w:val="baseline"/>
                      <w:lang w:val="en-US" w:eastAsia="zh-CN"/>
                    </w:rPr>
                  </w:pPr>
                  <w:r>
                    <w:rPr>
                      <w:rFonts w:hint="default" w:ascii="Times New Roman" w:hAnsi="Times New Roman" w:eastAsia="宋体" w:cs="Times New Roman"/>
                      <w:color w:val="000000" w:themeColor="text1"/>
                      <w:sz w:val="21"/>
                      <w:szCs w:val="21"/>
                      <w:lang w:eastAsia="zh-CN"/>
                      <w14:textFill>
                        <w14:solidFill>
                          <w14:schemeClr w14:val="tx1"/>
                        </w14:solidFill>
                      </w14:textFill>
                    </w:rPr>
                    <w:t>9.法律法规规定允许的其他人为活动。</w:t>
                  </w:r>
                </w:p>
              </w:tc>
              <w:tc>
                <w:tcPr>
                  <w:tcW w:w="1275" w:type="pct"/>
                  <w:tcBorders>
                    <w:top w:val="single" w:color="auto" w:sz="4" w:space="0"/>
                    <w:bottom w:val="single" w:color="auto" w:sz="4" w:space="0"/>
                  </w:tcBorders>
                  <w:shd w:val="clear" w:color="auto" w:fill="auto"/>
                  <w:noWrap w:val="0"/>
                  <w:vAlign w:val="center"/>
                </w:tcPr>
                <w:p w14:paraId="4CC6BB1E">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both"/>
                    <w:rPr>
                      <w:rFonts w:hint="default" w:ascii="Times New Roman" w:hAnsi="Times New Roman" w:eastAsia="宋体"/>
                      <w:color w:val="0000FF"/>
                      <w:sz w:val="21"/>
                      <w:szCs w:val="21"/>
                      <w:vertAlign w:val="baseline"/>
                      <w:lang w:val="en-US" w:eastAsia="zh-CN"/>
                    </w:rPr>
                  </w:pPr>
                  <w:r>
                    <w:rPr>
                      <w:rFonts w:hint="default" w:ascii="Times New Roman" w:hAnsi="Times New Roman" w:cs="Times New Roman"/>
                      <w:color w:val="auto"/>
                      <w:sz w:val="21"/>
                      <w:szCs w:val="21"/>
                      <w:lang w:val="en-US" w:eastAsia="zh-CN"/>
                    </w:rPr>
                    <w:t>本项目涉及</w:t>
                  </w:r>
                  <w:r>
                    <w:rPr>
                      <w:rFonts w:hint="eastAsia" w:cs="Times New Roman"/>
                      <w:color w:val="auto"/>
                      <w:lang w:val="en-US" w:eastAsia="zh-CN"/>
                    </w:rPr>
                    <w:t>陕西汉中朱鹮国家级自然保护区</w:t>
                  </w:r>
                  <w:r>
                    <w:rPr>
                      <w:rFonts w:hint="default" w:ascii="Times New Roman" w:hAnsi="Times New Roman" w:cs="Times New Roman"/>
                      <w:color w:val="auto"/>
                      <w:lang w:eastAsia="zh-CN"/>
                    </w:rPr>
                    <w:t>生态保护红线</w:t>
                  </w:r>
                  <w:r>
                    <w:rPr>
                      <w:rFonts w:hint="default"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eastAsia="zh-CN"/>
                    </w:rPr>
                    <w:t>项目为</w:t>
                  </w:r>
                  <w:r>
                    <w:rPr>
                      <w:rFonts w:hint="eastAsia" w:cs="Times New Roman"/>
                      <w:b w:val="0"/>
                      <w:bCs/>
                      <w:color w:val="auto"/>
                      <w:sz w:val="21"/>
                      <w:szCs w:val="21"/>
                      <w:lang w:val="en-US" w:eastAsia="zh-CN"/>
                    </w:rPr>
                    <w:t>既有铁路桥基础冲刷病害整治工程，</w:t>
                  </w:r>
                  <w:r>
                    <w:rPr>
                      <w:rFonts w:hint="default" w:ascii="Times New Roman" w:hAnsi="Times New Roman" w:eastAsia="宋体" w:cs="Times New Roman"/>
                      <w:color w:val="auto"/>
                      <w:sz w:val="21"/>
                      <w:szCs w:val="21"/>
                      <w:lang w:eastAsia="zh-CN"/>
                    </w:rPr>
                    <w:t>为第6条中的必须且无法避让的</w:t>
                  </w:r>
                  <w:r>
                    <w:rPr>
                      <w:rFonts w:hint="eastAsia" w:cs="Times New Roman"/>
                      <w:color w:val="auto"/>
                      <w:sz w:val="21"/>
                      <w:szCs w:val="21"/>
                      <w:lang w:val="en-US" w:eastAsia="zh-CN"/>
                    </w:rPr>
                    <w:t>交通运输设施维护改造活动</w:t>
                  </w:r>
                  <w:r>
                    <w:rPr>
                      <w:rFonts w:hint="default" w:ascii="Times New Roman" w:hAnsi="Times New Roman" w:eastAsia="宋体" w:cs="Times New Roman"/>
                      <w:color w:val="auto"/>
                      <w:sz w:val="21"/>
                      <w:szCs w:val="21"/>
                      <w:lang w:eastAsia="zh-CN"/>
                    </w:rPr>
                    <w:t>。</w:t>
                  </w:r>
                </w:p>
              </w:tc>
              <w:tc>
                <w:tcPr>
                  <w:tcW w:w="556" w:type="pct"/>
                  <w:tcBorders>
                    <w:top w:val="single" w:color="auto" w:sz="4" w:space="0"/>
                    <w:bottom w:val="single" w:color="auto" w:sz="4" w:space="0"/>
                  </w:tcBorders>
                  <w:noWrap w:val="0"/>
                  <w:vAlign w:val="center"/>
                </w:tcPr>
                <w:p w14:paraId="6E9A80C3">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5DA5D9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continue"/>
                  <w:noWrap w:val="0"/>
                  <w:vAlign w:val="center"/>
                </w:tcPr>
                <w:p w14:paraId="6DCB32F2">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right="0" w:firstLine="0" w:firstLineChars="0"/>
                    <w:rPr>
                      <w:rFonts w:hint="eastAsia"/>
                      <w:color w:val="auto"/>
                      <w:kern w:val="0"/>
                      <w:szCs w:val="21"/>
                      <w:lang w:val="en-US" w:eastAsia="zh-CN"/>
                    </w:rPr>
                  </w:pPr>
                </w:p>
              </w:tc>
              <w:tc>
                <w:tcPr>
                  <w:tcW w:w="2359" w:type="pct"/>
                  <w:tcBorders>
                    <w:top w:val="single" w:color="auto" w:sz="4" w:space="0"/>
                    <w:bottom w:val="single" w:color="auto" w:sz="4" w:space="0"/>
                  </w:tcBorders>
                  <w:noWrap w:val="0"/>
                  <w:vAlign w:val="center"/>
                </w:tcPr>
                <w:p w14:paraId="75B66D50">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left"/>
                    <w:rPr>
                      <w:rFonts w:hint="eastAsia" w:ascii="Times New Roman" w:hAnsi="Times New Roman" w:eastAsia="宋体"/>
                      <w:color w:val="auto"/>
                      <w:sz w:val="21"/>
                      <w:szCs w:val="21"/>
                      <w:vertAlign w:val="baseline"/>
                      <w:lang w:val="en-US" w:eastAsia="zh-CN"/>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生态保护红线内自然保护区、风景名胜区、饮用水水源保护区等区域，依照法律法规执行。生态保护红线内允许的有限人为活动</w:t>
                  </w:r>
                  <w:r>
                    <w:rPr>
                      <w:rFonts w:hint="default" w:ascii="Times New Roman" w:hAnsi="Times New Roman" w:cs="Times New Roman"/>
                      <w:color w:val="000000" w:themeColor="text1"/>
                      <w:sz w:val="21"/>
                      <w:szCs w:val="21"/>
                      <w:lang w:val="en-US" w:eastAsia="zh-CN"/>
                      <w14:textFill>
                        <w14:solidFill>
                          <w14:schemeClr w14:val="tx1"/>
                        </w14:solidFill>
                      </w14:textFill>
                    </w:rPr>
                    <w:t>涉及</w:t>
                  </w:r>
                  <w:r>
                    <w:rPr>
                      <w:rFonts w:hint="default" w:ascii="Times New Roman" w:hAnsi="Times New Roman" w:eastAsia="宋体" w:cs="Times New Roman"/>
                      <w:color w:val="000000" w:themeColor="text1"/>
                      <w:sz w:val="21"/>
                      <w:szCs w:val="21"/>
                      <w:lang w:eastAsia="zh-CN"/>
                      <w14:textFill>
                        <w14:solidFill>
                          <w14:schemeClr w14:val="tx1"/>
                        </w14:solidFill>
                      </w14:textFill>
                    </w:rPr>
                    <w:t>上述区域的，应当征求相关主管部门意见，涉及自然保护地的，应征求林业主管部门或自然保护地管理机构意见。</w:t>
                  </w:r>
                </w:p>
              </w:tc>
              <w:tc>
                <w:tcPr>
                  <w:tcW w:w="1275" w:type="pct"/>
                  <w:tcBorders>
                    <w:top w:val="single" w:color="auto" w:sz="4" w:space="0"/>
                    <w:bottom w:val="single" w:color="auto" w:sz="4" w:space="0"/>
                  </w:tcBorders>
                  <w:shd w:val="clear" w:color="auto" w:fill="auto"/>
                  <w:noWrap w:val="0"/>
                  <w:vAlign w:val="center"/>
                </w:tcPr>
                <w:p w14:paraId="6D424F81">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both"/>
                    <w:rPr>
                      <w:rFonts w:hint="default" w:ascii="Times New Roman" w:hAnsi="Times New Roman" w:eastAsia="宋体"/>
                      <w:color w:val="0000FF"/>
                      <w:sz w:val="21"/>
                      <w:szCs w:val="21"/>
                      <w:vertAlign w:val="baseline"/>
                      <w:lang w:val="en-US" w:eastAsia="zh-CN"/>
                    </w:rPr>
                  </w:pPr>
                  <w:r>
                    <w:rPr>
                      <w:rFonts w:hint="default" w:ascii="Times New Roman" w:hAnsi="Times New Roman" w:eastAsia="宋体" w:cs="Times New Roman"/>
                      <w:color w:val="auto"/>
                      <w:kern w:val="2"/>
                      <w:sz w:val="21"/>
                      <w:szCs w:val="24"/>
                      <w:lang w:val="en-US" w:eastAsia="zh-CN" w:bidi="ar-SA"/>
                    </w:rPr>
                    <w:t>本项目</w:t>
                  </w:r>
                  <w:r>
                    <w:rPr>
                      <w:rFonts w:hint="default" w:ascii="Times New Roman" w:hAnsi="Times New Roman" w:cs="Times New Roman"/>
                      <w:color w:val="auto"/>
                      <w:sz w:val="21"/>
                      <w:szCs w:val="21"/>
                      <w:lang w:val="en-US" w:eastAsia="zh-CN"/>
                    </w:rPr>
                    <w:t>涉及</w:t>
                  </w:r>
                  <w:r>
                    <w:rPr>
                      <w:rFonts w:hint="eastAsia" w:cs="Times New Roman"/>
                      <w:color w:val="auto"/>
                      <w:lang w:val="en-US" w:eastAsia="zh-CN"/>
                    </w:rPr>
                    <w:t>陕西汉中朱鹮国家级自然保护区，</w:t>
                  </w:r>
                  <w:r>
                    <w:rPr>
                      <w:rFonts w:hint="eastAsia" w:cs="Times New Roman"/>
                      <w:color w:val="auto"/>
                      <w:kern w:val="2"/>
                      <w:sz w:val="21"/>
                      <w:szCs w:val="24"/>
                      <w:lang w:val="en-US" w:eastAsia="zh-CN" w:bidi="ar-SA"/>
                    </w:rPr>
                    <w:t>属于保护内允许的有限人为活动，项目建设已征得</w:t>
                  </w:r>
                  <w:r>
                    <w:rPr>
                      <w:rFonts w:hint="eastAsia" w:cs="Times New Roman"/>
                      <w:color w:val="auto"/>
                      <w:lang w:val="en-US" w:eastAsia="zh-CN"/>
                    </w:rPr>
                    <w:t>陕西汉中朱鹮国家级自然保护区管理局</w:t>
                  </w:r>
                  <w:r>
                    <w:rPr>
                      <w:rFonts w:hint="eastAsia" w:cs="Times New Roman"/>
                      <w:color w:val="auto"/>
                      <w:kern w:val="2"/>
                      <w:sz w:val="21"/>
                      <w:szCs w:val="24"/>
                      <w:lang w:val="en-US" w:eastAsia="zh-CN" w:bidi="ar-SA"/>
                    </w:rPr>
                    <w:t>的同意</w:t>
                  </w:r>
                  <w:r>
                    <w:rPr>
                      <w:rFonts w:hint="default" w:ascii="Times New Roman" w:hAnsi="Times New Roman" w:eastAsia="宋体" w:cs="Times New Roman"/>
                      <w:color w:val="auto"/>
                      <w:kern w:val="2"/>
                      <w:sz w:val="21"/>
                      <w:szCs w:val="24"/>
                      <w:lang w:val="en-US" w:eastAsia="zh-CN" w:bidi="ar-SA"/>
                    </w:rPr>
                    <w:t>。</w:t>
                  </w:r>
                </w:p>
              </w:tc>
              <w:tc>
                <w:tcPr>
                  <w:tcW w:w="556" w:type="pct"/>
                  <w:tcBorders>
                    <w:top w:val="single" w:color="auto" w:sz="4" w:space="0"/>
                    <w:bottom w:val="single" w:color="auto" w:sz="4" w:space="0"/>
                  </w:tcBorders>
                  <w:noWrap w:val="0"/>
                  <w:vAlign w:val="center"/>
                </w:tcPr>
                <w:p w14:paraId="2372D189">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57D839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808" w:type="pct"/>
                  <w:vMerge w:val="continue"/>
                  <w:tcBorders>
                    <w:bottom w:val="single" w:color="auto" w:sz="4" w:space="0"/>
                  </w:tcBorders>
                  <w:noWrap w:val="0"/>
                  <w:vAlign w:val="center"/>
                </w:tcPr>
                <w:p w14:paraId="030B06BE">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exact"/>
                    <w:ind w:left="0" w:right="0" w:firstLine="0" w:firstLineChars="0"/>
                    <w:rPr>
                      <w:rFonts w:hint="eastAsia"/>
                      <w:color w:val="auto"/>
                      <w:kern w:val="0"/>
                      <w:szCs w:val="21"/>
                      <w:lang w:val="en-US" w:eastAsia="zh-CN"/>
                    </w:rPr>
                  </w:pPr>
                </w:p>
              </w:tc>
              <w:tc>
                <w:tcPr>
                  <w:tcW w:w="2359" w:type="pct"/>
                  <w:tcBorders>
                    <w:top w:val="single" w:color="auto" w:sz="4" w:space="0"/>
                    <w:bottom w:val="single" w:color="auto" w:sz="4" w:space="0"/>
                  </w:tcBorders>
                  <w:noWrap w:val="0"/>
                  <w:vAlign w:val="center"/>
                </w:tcPr>
                <w:p w14:paraId="34E4CDD9">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（二）加强有限人为活动管理。</w:t>
                  </w:r>
                </w:p>
                <w:p w14:paraId="6226DA83">
                  <w:pPr>
                    <w:pStyle w:val="42"/>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left"/>
                    <w:rPr>
                      <w:rFonts w:hint="eastAsia" w:ascii="Times New Roman" w:hAnsi="Times New Roman" w:eastAsia="宋体"/>
                      <w:color w:val="auto"/>
                      <w:sz w:val="21"/>
                      <w:szCs w:val="21"/>
                      <w:vertAlign w:val="baseline"/>
                      <w:lang w:val="en-US" w:eastAsia="zh-CN"/>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 有限人为活动不涉及新增建设用地审批的，应严格控制活动强度和规模，避免对生态功能造成破坏。其中，无具体建设活动的，由相关部门按规定做好管理；有具体建设活动的，由建设活动所在地县级政府组织自然资源、生态环境、林业等主管部门进行审查，对符合要求的，形成认定意见，明确建设活动符合生态保护红线内允许有限人为活动要求，作为有关部门做好建设活动管理的依据和办理有关手续的要件。</w:t>
                  </w:r>
                </w:p>
              </w:tc>
              <w:tc>
                <w:tcPr>
                  <w:tcW w:w="1275" w:type="pct"/>
                  <w:tcBorders>
                    <w:top w:val="single" w:color="auto" w:sz="4" w:space="0"/>
                    <w:bottom w:val="single" w:color="auto" w:sz="4" w:space="0"/>
                  </w:tcBorders>
                  <w:shd w:val="clear" w:color="auto" w:fill="auto"/>
                  <w:noWrap w:val="0"/>
                  <w:vAlign w:val="center"/>
                </w:tcPr>
                <w:p w14:paraId="129229ED">
                  <w:pPr>
                    <w:pStyle w:val="42"/>
                    <w:keepNext w:val="0"/>
                    <w:keepLines w:val="0"/>
                    <w:pageBreakBefore w:val="0"/>
                    <w:widowControl/>
                    <w:kinsoku/>
                    <w:wordWrap/>
                    <w:overflowPunct/>
                    <w:topLinePunct w:val="0"/>
                    <w:autoSpaceDE w:val="0"/>
                    <w:autoSpaceDN w:val="0"/>
                    <w:bidi w:val="0"/>
                    <w:adjustRightInd w:val="0"/>
                    <w:snapToGrid w:val="0"/>
                    <w:spacing w:line="272" w:lineRule="auto"/>
                    <w:ind w:firstLine="0" w:firstLineChars="0"/>
                    <w:jc w:val="both"/>
                    <w:textAlignment w:val="auto"/>
                    <w:rPr>
                      <w:rFonts w:hint="default" w:ascii="Times New Roman" w:hAnsi="Times New Roman" w:eastAsia="宋体"/>
                      <w:color w:val="0000FF"/>
                      <w:sz w:val="21"/>
                      <w:szCs w:val="21"/>
                      <w:vertAlign w:val="baseline"/>
                      <w:lang w:val="en-US" w:eastAsia="zh-CN"/>
                    </w:rPr>
                  </w:pPr>
                  <w:r>
                    <w:rPr>
                      <w:rFonts w:hint="default" w:ascii="Times New Roman" w:hAnsi="Times New Roman" w:cs="Times New Roman"/>
                      <w:color w:val="auto"/>
                      <w:kern w:val="2"/>
                      <w:sz w:val="21"/>
                      <w:szCs w:val="21"/>
                      <w:lang w:val="en-US" w:eastAsia="zh-CN" w:bidi="ar-SA"/>
                    </w:rPr>
                    <w:t>项目</w:t>
                  </w:r>
                  <w:r>
                    <w:rPr>
                      <w:rFonts w:hint="default" w:ascii="Times New Roman" w:hAnsi="Times New Roman" w:cs="Times New Roman"/>
                      <w:color w:val="auto"/>
                      <w:sz w:val="21"/>
                      <w:szCs w:val="21"/>
                      <w:lang w:val="en-US" w:eastAsia="zh-CN"/>
                    </w:rPr>
                    <w:t>涉及</w:t>
                  </w:r>
                  <w:r>
                    <w:rPr>
                      <w:rFonts w:hint="eastAsia" w:cs="Times New Roman"/>
                      <w:color w:val="auto"/>
                      <w:lang w:val="en-US" w:eastAsia="zh-CN"/>
                    </w:rPr>
                    <w:t>陕西汉中朱鹮国家级自然保护区</w:t>
                  </w:r>
                  <w:r>
                    <w:rPr>
                      <w:rFonts w:hint="default" w:ascii="Times New Roman" w:hAnsi="Times New Roman" w:cs="Times New Roman"/>
                      <w:color w:val="auto"/>
                      <w:lang w:eastAsia="zh-CN"/>
                    </w:rPr>
                    <w:t>生态保护红线</w:t>
                  </w:r>
                  <w:r>
                    <w:rPr>
                      <w:rFonts w:hint="default" w:ascii="Times New Roman" w:hAnsi="Times New Roman" w:cs="Times New Roman"/>
                      <w:color w:val="auto"/>
                      <w:kern w:val="2"/>
                      <w:sz w:val="21"/>
                      <w:szCs w:val="21"/>
                      <w:lang w:val="en-US" w:eastAsia="zh-CN" w:bidi="ar-SA"/>
                    </w:rPr>
                    <w:t>，但不涉及新增建设用地审批，</w:t>
                  </w:r>
                  <w:r>
                    <w:rPr>
                      <w:rFonts w:hint="eastAsia" w:cs="Times New Roman"/>
                      <w:color w:val="auto"/>
                      <w:kern w:val="2"/>
                      <w:sz w:val="21"/>
                      <w:szCs w:val="21"/>
                      <w:lang w:val="en-US" w:eastAsia="zh-CN" w:bidi="ar-SA"/>
                    </w:rPr>
                    <w:t>工程施工过程中严格按照环评提出的要求控制施工范围，不会对生态功能造成破坏</w:t>
                  </w:r>
                  <w:r>
                    <w:rPr>
                      <w:rFonts w:hint="default" w:ascii="Times New Roman" w:hAnsi="Times New Roman" w:cs="Times New Roman"/>
                      <w:color w:val="auto"/>
                      <w:sz w:val="21"/>
                      <w:szCs w:val="21"/>
                      <w:lang w:val="en-US" w:eastAsia="zh-CN"/>
                    </w:rPr>
                    <w:t>。</w:t>
                  </w:r>
                </w:p>
              </w:tc>
              <w:tc>
                <w:tcPr>
                  <w:tcW w:w="556" w:type="pct"/>
                  <w:tcBorders>
                    <w:top w:val="single" w:color="auto" w:sz="4" w:space="0"/>
                    <w:bottom w:val="single" w:color="auto" w:sz="4" w:space="0"/>
                  </w:tcBorders>
                  <w:noWrap w:val="0"/>
                  <w:vAlign w:val="center"/>
                </w:tcPr>
                <w:p w14:paraId="68D1536D">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4EFE02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808" w:type="pct"/>
                  <w:tcBorders>
                    <w:top w:val="single" w:color="auto" w:sz="4" w:space="0"/>
                    <w:bottom w:val="single" w:color="auto" w:sz="4" w:space="0"/>
                  </w:tcBorders>
                  <w:noWrap w:val="0"/>
                  <w:vAlign w:val="center"/>
                </w:tcPr>
                <w:p w14:paraId="724294E4">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《陕西省河道管理条例》</w:t>
                  </w:r>
                </w:p>
              </w:tc>
              <w:tc>
                <w:tcPr>
                  <w:tcW w:w="2359" w:type="pct"/>
                  <w:tcBorders>
                    <w:top w:val="single" w:color="auto" w:sz="4" w:space="0"/>
                    <w:bottom w:val="single" w:color="auto" w:sz="4" w:space="0"/>
                  </w:tcBorders>
                  <w:noWrap w:val="0"/>
                  <w:vAlign w:val="center"/>
                </w:tcPr>
                <w:p w14:paraId="070041EF">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第二十一条在河道管理范围内禁止下列为：</w:t>
                  </w:r>
                  <w:r>
                    <w:rPr>
                      <w:rFonts w:hint="eastAsia" w:ascii="Times New Roman" w:hAnsi="Times New Roman" w:eastAsia="宋体" w:cs="Times New Roman"/>
                      <w:color w:val="auto"/>
                      <w:kern w:val="0"/>
                      <w:sz w:val="21"/>
                      <w:szCs w:val="21"/>
                      <w:lang w:val="en-US" w:eastAsia="zh-CN"/>
                    </w:rPr>
                    <w:t>（一）</w:t>
                  </w:r>
                  <w:r>
                    <w:rPr>
                      <w:rFonts w:hint="default" w:ascii="Times New Roman" w:hAnsi="Times New Roman" w:eastAsia="宋体" w:cs="Times New Roman"/>
                      <w:color w:val="auto"/>
                      <w:kern w:val="0"/>
                      <w:sz w:val="21"/>
                      <w:szCs w:val="21"/>
                      <w:lang w:val="en-US" w:eastAsia="zh-CN"/>
                    </w:rPr>
                    <w:t>修建违章丁坝、顺坝、围堤、生产堤、高路、高渠、房屋；</w:t>
                  </w:r>
                  <w:r>
                    <w:rPr>
                      <w:rFonts w:hint="eastAsia" w:ascii="Times New Roman" w:hAnsi="Times New Roman" w:eastAsia="宋体" w:cs="Times New Roman"/>
                      <w:color w:val="auto"/>
                      <w:kern w:val="0"/>
                      <w:sz w:val="21"/>
                      <w:szCs w:val="21"/>
                      <w:lang w:val="en-US" w:eastAsia="zh-CN"/>
                    </w:rPr>
                    <w:t>（二）</w:t>
                  </w:r>
                  <w:r>
                    <w:rPr>
                      <w:rFonts w:hint="default" w:ascii="Times New Roman" w:hAnsi="Times New Roman" w:eastAsia="宋体" w:cs="Times New Roman"/>
                      <w:color w:val="auto"/>
                      <w:kern w:val="0"/>
                      <w:sz w:val="21"/>
                      <w:szCs w:val="21"/>
                      <w:lang w:val="en-US" w:eastAsia="zh-CN"/>
                    </w:rPr>
                    <w:t>存放物料，倾倒垃圾、矿渣、煤灰、废弃土石料和其他废弃物；</w:t>
                  </w:r>
                  <w:r>
                    <w:rPr>
                      <w:rFonts w:hint="eastAsia" w:ascii="Times New Roman" w:hAnsi="Times New Roman" w:eastAsia="宋体" w:cs="Times New Roman"/>
                      <w:color w:val="auto"/>
                      <w:kern w:val="0"/>
                      <w:sz w:val="21"/>
                      <w:szCs w:val="21"/>
                      <w:lang w:val="en-US" w:eastAsia="zh-CN"/>
                    </w:rPr>
                    <w:t>（三）</w:t>
                  </w:r>
                  <w:r>
                    <w:rPr>
                      <w:rFonts w:hint="default" w:ascii="Times New Roman" w:hAnsi="Times New Roman" w:eastAsia="宋体" w:cs="Times New Roman"/>
                      <w:color w:val="auto"/>
                      <w:kern w:val="0"/>
                      <w:sz w:val="21"/>
                      <w:szCs w:val="21"/>
                      <w:lang w:val="en-US" w:eastAsia="zh-CN"/>
                    </w:rPr>
                    <w:t>围河造田、种植阻水林木和高秆作物</w:t>
                  </w:r>
                </w:p>
              </w:tc>
              <w:tc>
                <w:tcPr>
                  <w:tcW w:w="1275" w:type="pct"/>
                  <w:tcBorders>
                    <w:top w:val="single" w:color="auto" w:sz="4" w:space="0"/>
                    <w:bottom w:val="single" w:color="auto" w:sz="4" w:space="0"/>
                  </w:tcBorders>
                  <w:noWrap w:val="0"/>
                  <w:vAlign w:val="center"/>
                </w:tcPr>
                <w:p w14:paraId="31C9747D">
                  <w:pPr>
                    <w:autoSpaceDE w:val="0"/>
                    <w:autoSpaceDN w:val="0"/>
                    <w:adjustRightInd w:val="0"/>
                    <w:spacing w:line="240" w:lineRule="auto"/>
                    <w:jc w:val="center"/>
                    <w:rPr>
                      <w:rFonts w:hint="eastAsia" w:ascii="Times New Roman" w:hAnsi="Times New Roman" w:eastAsia="宋体" w:cs="Times New Roman"/>
                      <w:i w:val="0"/>
                      <w:caps w:val="0"/>
                      <w:color w:val="auto"/>
                      <w:spacing w:val="0"/>
                      <w:kern w:val="0"/>
                      <w:sz w:val="21"/>
                      <w:szCs w:val="21"/>
                      <w:highlight w:val="none"/>
                      <w:shd w:val="clear" w:color="auto" w:fill="FFFFFF"/>
                      <w:lang w:val="en-US" w:eastAsia="zh-CN" w:bidi="ar-SA"/>
                    </w:rPr>
                  </w:pPr>
                  <w:r>
                    <w:rPr>
                      <w:rFonts w:hint="eastAsia" w:ascii="Times New Roman" w:hAnsi="Times New Roman" w:eastAsia="宋体" w:cs="Times New Roman"/>
                      <w:i w:val="0"/>
                      <w:caps w:val="0"/>
                      <w:color w:val="auto"/>
                      <w:spacing w:val="0"/>
                      <w:kern w:val="0"/>
                      <w:sz w:val="21"/>
                      <w:szCs w:val="21"/>
                      <w:highlight w:val="none"/>
                      <w:shd w:val="clear" w:color="auto" w:fill="FFFFFF"/>
                      <w:lang w:val="en-US" w:eastAsia="zh-CN" w:bidi="ar-SA"/>
                    </w:rPr>
                    <w:t>本工程不属于条例中禁止行为</w:t>
                  </w:r>
                </w:p>
              </w:tc>
              <w:tc>
                <w:tcPr>
                  <w:tcW w:w="556" w:type="pct"/>
                  <w:tcBorders>
                    <w:top w:val="single" w:color="auto" w:sz="4" w:space="0"/>
                    <w:bottom w:val="single" w:color="auto" w:sz="4" w:space="0"/>
                  </w:tcBorders>
                  <w:noWrap w:val="0"/>
                  <w:vAlign w:val="center"/>
                </w:tcPr>
                <w:p w14:paraId="673217A9">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55F06E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31" w:hRule="atLeast"/>
                <w:jc w:val="center"/>
              </w:trPr>
              <w:tc>
                <w:tcPr>
                  <w:tcW w:w="808" w:type="pct"/>
                  <w:tcBorders>
                    <w:top w:val="single" w:color="auto" w:sz="4" w:space="0"/>
                    <w:bottom w:val="single" w:color="auto" w:sz="4" w:space="0"/>
                  </w:tcBorders>
                  <w:shd w:val="clear" w:color="auto" w:fill="auto"/>
                  <w:noWrap w:val="0"/>
                  <w:vAlign w:val="center"/>
                </w:tcPr>
                <w:p w14:paraId="3412B343">
                  <w:pPr>
                    <w:numPr>
                      <w:ilvl w:val="0"/>
                      <w:numId w:val="0"/>
                    </w:numPr>
                    <w:ind w:left="0" w:leftChars="0" w:firstLine="0" w:firstLineChars="0"/>
                    <w:jc w:val="center"/>
                    <w:rPr>
                      <w:rFonts w:hint="eastAsia"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olor w:val="auto"/>
                      <w:sz w:val="21"/>
                      <w:szCs w:val="21"/>
                      <w:vertAlign w:val="baseline"/>
                      <w:lang w:val="en-US" w:eastAsia="zh-CN"/>
                    </w:rPr>
                    <w:t>《陕西省湿地保护条例》</w:t>
                  </w:r>
                </w:p>
              </w:tc>
              <w:tc>
                <w:tcPr>
                  <w:tcW w:w="2359" w:type="pct"/>
                  <w:tcBorders>
                    <w:top w:val="single" w:color="auto" w:sz="4" w:space="0"/>
                    <w:bottom w:val="single" w:color="auto" w:sz="4" w:space="0"/>
                  </w:tcBorders>
                  <w:shd w:val="clear" w:color="auto" w:fill="auto"/>
                  <w:noWrap w:val="0"/>
                  <w:vAlign w:val="center"/>
                </w:tcPr>
                <w:p w14:paraId="45AFDAA1">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第二十七条 禁止在天然湿地范围内从事下列活动：</w:t>
                  </w:r>
                </w:p>
                <w:p w14:paraId="6CF90463">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（一）开垦、烧荒；</w:t>
                  </w:r>
                </w:p>
                <w:p w14:paraId="22B683EE">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（二）擅自排放湿地蓄水；</w:t>
                  </w:r>
                </w:p>
                <w:p w14:paraId="7172640E">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（三）破坏鱼类等水生生物洄游通道或者野生动物栖息地；</w:t>
                  </w:r>
                </w:p>
                <w:p w14:paraId="1C3BDE04">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（四）擅自采砂、采石、采矿、挖塘；</w:t>
                  </w:r>
                </w:p>
                <w:p w14:paraId="674ACE5E">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（五）擅自砍伐林木、采集野生植物，猎捕野生动物、捡拾鸟卵或者采用灭绝性方式捕捞鱼类及其他水生生物；</w:t>
                  </w:r>
                </w:p>
                <w:p w14:paraId="10A1FE83">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（六）向天然湿地内排放超标污水或者有毒有害气体，投放可能危害水体、水生生物的化学物品；</w:t>
                  </w:r>
                </w:p>
                <w:p w14:paraId="6390BEBB">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（七）向天然湿地及其周边一公里范围内倾倒固体废弃物；</w:t>
                  </w:r>
                </w:p>
                <w:p w14:paraId="1CA28A8B">
                  <w:pPr>
                    <w:autoSpaceDE w:val="0"/>
                    <w:autoSpaceDN w:val="0"/>
                    <w:adjustRightInd w:val="0"/>
                    <w:snapToGrid w:val="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（八）擅自向天然湿地引入外来物种；</w:t>
                  </w:r>
                </w:p>
                <w:p w14:paraId="0371CE36">
                  <w:pPr>
                    <w:numPr>
                      <w:ilvl w:val="0"/>
                      <w:numId w:val="0"/>
                    </w:numPr>
                    <w:ind w:left="0" w:leftChars="0" w:firstLine="0" w:firstLineChars="0"/>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000000" w:themeColor="text1"/>
                      <w14:textFill>
                        <w14:solidFill>
                          <w14:schemeClr w14:val="tx1"/>
                        </w14:solidFill>
                      </w14:textFill>
                    </w:rPr>
                    <w:t>（九）其他破坏天然湿地的行为。</w:t>
                  </w:r>
                </w:p>
              </w:tc>
              <w:tc>
                <w:tcPr>
                  <w:tcW w:w="1275" w:type="pct"/>
                  <w:tcBorders>
                    <w:top w:val="single" w:color="auto" w:sz="4" w:space="0"/>
                    <w:bottom w:val="single" w:color="auto" w:sz="4" w:space="0"/>
                  </w:tcBorders>
                  <w:shd w:val="clear" w:color="auto" w:fill="auto"/>
                  <w:noWrap w:val="0"/>
                  <w:vAlign w:val="center"/>
                </w:tcPr>
                <w:p w14:paraId="78B42396">
                  <w:pPr>
                    <w:numPr>
                      <w:ilvl w:val="0"/>
                      <w:numId w:val="0"/>
                    </w:numPr>
                    <w:jc w:val="center"/>
                    <w:rPr>
                      <w:rFonts w:hint="eastAsia"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olor w:val="auto"/>
                      <w:sz w:val="21"/>
                      <w:szCs w:val="21"/>
                      <w:vertAlign w:val="baseline"/>
                      <w:lang w:val="en-US" w:eastAsia="zh-CN"/>
                    </w:rPr>
                    <w:t>本项目为</w:t>
                  </w:r>
                  <w:r>
                    <w:rPr>
                      <w:rFonts w:hint="eastAsia" w:cs="Times New Roman"/>
                      <w:b w:val="0"/>
                      <w:bCs/>
                      <w:color w:val="000000" w:themeColor="text1"/>
                      <w:sz w:val="21"/>
                      <w:szCs w:val="21"/>
                      <w:lang w:val="en-US" w:eastAsia="zh-CN"/>
                      <w14:textFill>
                        <w14:solidFill>
                          <w14:schemeClr w14:val="tx1"/>
                        </w14:solidFill>
                      </w14:textFill>
                    </w:rPr>
                    <w:t>既有铁路桥基础冲刷病害整治工程</w:t>
                  </w:r>
                  <w:r>
                    <w:rPr>
                      <w:rFonts w:hint="default" w:ascii="Times New Roman" w:hAnsi="Times New Roman" w:eastAsia="宋体"/>
                      <w:color w:val="auto"/>
                      <w:sz w:val="21"/>
                      <w:szCs w:val="21"/>
                      <w:vertAlign w:val="baseline"/>
                      <w:lang w:val="en-US" w:eastAsia="zh-CN"/>
                    </w:rPr>
                    <w:t>，</w:t>
                  </w:r>
                  <w:r>
                    <w:rPr>
                      <w:rFonts w:hint="default" w:ascii="Times New Roman" w:hAnsi="Times New Roman" w:cs="Times New Roman"/>
                      <w:color w:val="000000" w:themeColor="text1"/>
                      <w14:textFill>
                        <w14:solidFill>
                          <w14:schemeClr w14:val="tx1"/>
                        </w14:solidFill>
                      </w14:textFill>
                    </w:rPr>
                    <w:t>项目的建设不属于天然湿地范围内禁止从事的行为。</w:t>
                  </w:r>
                </w:p>
              </w:tc>
              <w:tc>
                <w:tcPr>
                  <w:tcW w:w="556" w:type="pct"/>
                  <w:tcBorders>
                    <w:top w:val="single" w:color="auto" w:sz="4" w:space="0"/>
                    <w:bottom w:val="single" w:color="auto" w:sz="4" w:space="0"/>
                  </w:tcBorders>
                  <w:shd w:val="clear" w:color="auto" w:fill="auto"/>
                  <w:noWrap w:val="0"/>
                  <w:vAlign w:val="center"/>
                </w:tcPr>
                <w:p w14:paraId="68FC44A4">
                  <w:pPr>
                    <w:numPr>
                      <w:ilvl w:val="0"/>
                      <w:numId w:val="0"/>
                    </w:numPr>
                    <w:ind w:left="0" w:leftChars="0" w:firstLine="0" w:firstLine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olor w:val="auto"/>
                      <w:sz w:val="21"/>
                      <w:szCs w:val="21"/>
                      <w:vertAlign w:val="baseline"/>
                      <w:lang w:val="en-US" w:eastAsia="zh-CN"/>
                    </w:rPr>
                    <w:t>符合</w:t>
                  </w:r>
                </w:p>
              </w:tc>
            </w:tr>
            <w:tr w14:paraId="4D3964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62" w:hRule="atLeast"/>
                <w:jc w:val="center"/>
              </w:trPr>
              <w:tc>
                <w:tcPr>
                  <w:tcW w:w="808" w:type="pct"/>
                  <w:shd w:val="clear" w:color="auto" w:fill="auto"/>
                  <w:noWrap w:val="0"/>
                  <w:vAlign w:val="center"/>
                </w:tcPr>
                <w:p w14:paraId="5743B5BF">
                  <w:pPr>
                    <w:numPr>
                      <w:ilvl w:val="0"/>
                      <w:numId w:val="0"/>
                    </w:numPr>
                    <w:ind w:left="0" w:leftChars="0" w:firstLine="0" w:firstLineChars="0"/>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olor w:val="auto"/>
                      <w:sz w:val="21"/>
                      <w:szCs w:val="21"/>
                      <w:vertAlign w:val="baseline"/>
                      <w:lang w:val="en-US" w:eastAsia="zh-CN"/>
                    </w:rPr>
                    <w:t>《陕西省“十四五”生态环境保护规划》</w:t>
                  </w:r>
                </w:p>
              </w:tc>
              <w:tc>
                <w:tcPr>
                  <w:tcW w:w="2359" w:type="pct"/>
                  <w:shd w:val="clear" w:color="auto" w:fill="auto"/>
                  <w:noWrap w:val="0"/>
                  <w:vAlign w:val="center"/>
                </w:tcPr>
                <w:p w14:paraId="385F60A7">
                  <w:pPr>
                    <w:numPr>
                      <w:ilvl w:val="0"/>
                      <w:numId w:val="0"/>
                    </w:numPr>
                    <w:jc w:val="center"/>
                    <w:rPr>
                      <w:rFonts w:hint="default" w:ascii="Times New Roman" w:hAnsi="Times New Roman" w:eastAsia="宋体" w:cs="Times New Roman"/>
                      <w:color w:val="auto"/>
                      <w:kern w:val="2"/>
                      <w:sz w:val="21"/>
                      <w:szCs w:val="21"/>
                      <w:vertAlign w:val="baseline"/>
                      <w:lang w:val="en-US" w:eastAsia="zh-CN" w:bidi="ar-SA"/>
                    </w:rPr>
                  </w:pPr>
                  <w:r>
                    <w:rPr>
                      <w:spacing w:val="12"/>
                      <w:sz w:val="21"/>
                      <w:szCs w:val="21"/>
                    </w:rPr>
                    <w:t>加强扬尘精细化管控。建立扬尘污染源</w:t>
                  </w:r>
                  <w:r>
                    <w:rPr>
                      <w:spacing w:val="15"/>
                      <w:sz w:val="21"/>
                      <w:szCs w:val="21"/>
                    </w:rPr>
                    <w:t>清单，实现扬尘污染源动态管理，构建</w:t>
                  </w:r>
                  <w:r>
                    <w:rPr>
                      <w:rFonts w:ascii="Times New Roman" w:hAnsi="Times New Roman" w:eastAsia="Times New Roman" w:cs="Times New Roman"/>
                      <w:spacing w:val="6"/>
                      <w:sz w:val="21"/>
                      <w:szCs w:val="21"/>
                    </w:rPr>
                    <w:t>“</w:t>
                  </w:r>
                  <w:r>
                    <w:rPr>
                      <w:spacing w:val="6"/>
                      <w:sz w:val="21"/>
                      <w:szCs w:val="21"/>
                    </w:rPr>
                    <w:t>过程全覆盖、管理全方位、责任全链条</w:t>
                  </w:r>
                  <w:r>
                    <w:rPr>
                      <w:rFonts w:ascii="Times New Roman" w:hAnsi="Times New Roman" w:eastAsia="Times New Roman" w:cs="Times New Roman"/>
                      <w:spacing w:val="6"/>
                      <w:sz w:val="21"/>
                      <w:szCs w:val="21"/>
                    </w:rPr>
                    <w:t>”</w:t>
                  </w:r>
                  <w:r>
                    <w:rPr>
                      <w:spacing w:val="16"/>
                      <w:sz w:val="21"/>
                      <w:szCs w:val="21"/>
                    </w:rPr>
                    <w:t>的扬尘防治体系。全面推行绿色施工，</w:t>
                  </w:r>
                  <w:r>
                    <w:rPr>
                      <w:spacing w:val="11"/>
                      <w:sz w:val="21"/>
                      <w:szCs w:val="21"/>
                    </w:rPr>
                    <w:t>将绿色施工纳入企业资质和信用评价。</w:t>
                  </w:r>
                </w:p>
              </w:tc>
              <w:tc>
                <w:tcPr>
                  <w:tcW w:w="1275" w:type="pct"/>
                  <w:shd w:val="clear" w:color="auto" w:fill="auto"/>
                  <w:noWrap w:val="0"/>
                  <w:vAlign w:val="center"/>
                </w:tcPr>
                <w:p w14:paraId="4EA994DA">
                  <w:pPr>
                    <w:numPr>
                      <w:ilvl w:val="0"/>
                      <w:numId w:val="0"/>
                    </w:numPr>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000000" w:themeColor="text1"/>
                      <w14:textFill>
                        <w14:solidFill>
                          <w14:schemeClr w14:val="tx1"/>
                        </w14:solidFill>
                      </w14:textFill>
                    </w:rPr>
                    <w:t>本项目施工过程中严格按照要求施工加强扬尘管控。</w:t>
                  </w:r>
                </w:p>
              </w:tc>
              <w:tc>
                <w:tcPr>
                  <w:tcW w:w="556" w:type="pct"/>
                  <w:tcBorders>
                    <w:top w:val="single" w:color="auto" w:sz="4" w:space="0"/>
                    <w:bottom w:val="single" w:color="auto" w:sz="4" w:space="0"/>
                  </w:tcBorders>
                  <w:shd w:val="clear" w:color="auto" w:fill="auto"/>
                  <w:noWrap w:val="0"/>
                  <w:vAlign w:val="center"/>
                </w:tcPr>
                <w:p w14:paraId="00FEAB92">
                  <w:pPr>
                    <w:numPr>
                      <w:ilvl w:val="0"/>
                      <w:numId w:val="0"/>
                    </w:numPr>
                    <w:ind w:left="0" w:leftChars="0" w:firstLine="0" w:firstLineChars="0"/>
                    <w:jc w:val="center"/>
                    <w:rPr>
                      <w:rFonts w:hint="eastAsia"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olor w:val="auto"/>
                      <w:sz w:val="21"/>
                      <w:szCs w:val="21"/>
                      <w:vertAlign w:val="baseline"/>
                      <w:lang w:val="en-US" w:eastAsia="zh-CN"/>
                    </w:rPr>
                    <w:t>符合</w:t>
                  </w:r>
                </w:p>
              </w:tc>
            </w:tr>
            <w:tr w14:paraId="57E9E0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5" w:hRule="atLeast"/>
                <w:jc w:val="center"/>
              </w:trPr>
              <w:tc>
                <w:tcPr>
                  <w:tcW w:w="808" w:type="pct"/>
                  <w:vMerge w:val="restart"/>
                  <w:noWrap w:val="0"/>
                  <w:vAlign w:val="center"/>
                </w:tcPr>
                <w:p w14:paraId="48B61428">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汉中市人民政府关于印发《汉中市湿地保护管理暂行办法》的通知（汉政发</w:t>
                  </w:r>
                  <w:r>
                    <w:rPr>
                      <w:rFonts w:hint="eastAsia" w:ascii="Times New Roman" w:hAnsi="Times New Roman" w:eastAsia="宋体" w:cs="Times New Roman"/>
                      <w:color w:val="auto"/>
                      <w:kern w:val="0"/>
                      <w:sz w:val="21"/>
                      <w:szCs w:val="21"/>
                      <w:lang w:val="en-US" w:eastAsia="zh-CN"/>
                    </w:rPr>
                    <w:t>〔20</w:t>
                  </w:r>
                  <w:r>
                    <w:rPr>
                      <w:rFonts w:hint="eastAsia" w:cs="Times New Roman"/>
                      <w:color w:val="auto"/>
                      <w:kern w:val="0"/>
                      <w:sz w:val="21"/>
                      <w:szCs w:val="21"/>
                      <w:lang w:val="en-US" w:eastAsia="zh-CN"/>
                    </w:rPr>
                    <w:t>24</w:t>
                  </w:r>
                  <w:r>
                    <w:rPr>
                      <w:rFonts w:hint="eastAsia"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4号）</w:t>
                  </w:r>
                </w:p>
              </w:tc>
              <w:tc>
                <w:tcPr>
                  <w:tcW w:w="2359" w:type="pct"/>
                  <w:tcBorders>
                    <w:bottom w:val="single" w:color="auto" w:sz="4" w:space="0"/>
                  </w:tcBorders>
                  <w:noWrap w:val="0"/>
                  <w:vAlign w:val="center"/>
                </w:tcPr>
                <w:p w14:paraId="3A0CDC8C">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第十五条</w:t>
                  </w:r>
                  <w:r>
                    <w:rPr>
                      <w:rFonts w:hint="eastAsia" w:cs="Times New Roman"/>
                      <w:color w:val="auto"/>
                      <w:kern w:val="0"/>
                      <w:sz w:val="21"/>
                      <w:szCs w:val="21"/>
                      <w:lang w:val="en-US" w:eastAsia="zh-CN"/>
                    </w:rPr>
                    <w:t xml:space="preserve"> </w:t>
                  </w:r>
                  <w:r>
                    <w:rPr>
                      <w:rFonts w:hint="default" w:ascii="Times New Roman" w:hAnsi="Times New Roman" w:eastAsia="宋体" w:cs="Times New Roman"/>
                      <w:color w:val="auto"/>
                      <w:kern w:val="0"/>
                      <w:sz w:val="21"/>
                      <w:szCs w:val="21"/>
                      <w:lang w:val="en-US" w:eastAsia="zh-CN"/>
                    </w:rPr>
                    <w:t>禁止占用国家重要湿地，国家重大项目、防灾减灾项目、重要水利及保护设施项目、湿地保护项目等除外。严格控制建设项目占用湿地。建设项目选址、选线应当避让湿地，无法避让的应当尽量减少占用，并采取必要措施减轻对湿地生态功能的不利影响。</w:t>
                  </w:r>
                </w:p>
              </w:tc>
              <w:tc>
                <w:tcPr>
                  <w:tcW w:w="1275" w:type="pct"/>
                  <w:tcBorders>
                    <w:bottom w:val="single" w:color="auto" w:sz="4" w:space="0"/>
                  </w:tcBorders>
                  <w:noWrap w:val="0"/>
                  <w:vAlign w:val="center"/>
                </w:tcPr>
                <w:p w14:paraId="075218F6">
                  <w:pPr>
                    <w:autoSpaceDE w:val="0"/>
                    <w:autoSpaceDN w:val="0"/>
                    <w:adjustRightInd w:val="0"/>
                    <w:spacing w:line="240" w:lineRule="auto"/>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本项目对既有的铁路桥基础进行病害整治，属于选址、选线无法避让的，施工过程中尽量减少占用，采取环评提出的保护措施后对湿地的影响较小。</w:t>
                  </w:r>
                </w:p>
              </w:tc>
              <w:tc>
                <w:tcPr>
                  <w:tcW w:w="556" w:type="pct"/>
                  <w:tcBorders>
                    <w:top w:val="single" w:color="auto" w:sz="4" w:space="0"/>
                    <w:bottom w:val="single" w:color="auto" w:sz="4" w:space="0"/>
                  </w:tcBorders>
                  <w:noWrap w:val="0"/>
                  <w:vAlign w:val="center"/>
                </w:tcPr>
                <w:p w14:paraId="7A50ECBC">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49C33D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08" w:type="pct"/>
                  <w:vMerge w:val="continue"/>
                  <w:tcBorders>
                    <w:bottom w:val="single" w:color="auto" w:sz="4" w:space="0"/>
                  </w:tcBorders>
                  <w:noWrap w:val="0"/>
                  <w:vAlign w:val="center"/>
                </w:tcPr>
                <w:p w14:paraId="0F6B9B3C">
                  <w:pPr>
                    <w:autoSpaceDE w:val="0"/>
                    <w:autoSpaceDN w:val="0"/>
                    <w:adjustRightInd w:val="0"/>
                    <w:spacing w:line="240" w:lineRule="auto"/>
                    <w:jc w:val="center"/>
                    <w:rPr>
                      <w:rFonts w:hint="eastAsia" w:cs="Times New Roman"/>
                      <w:color w:val="auto"/>
                      <w:kern w:val="0"/>
                      <w:sz w:val="21"/>
                      <w:szCs w:val="21"/>
                      <w:lang w:val="en-US" w:eastAsia="zh-CN"/>
                    </w:rPr>
                  </w:pPr>
                </w:p>
              </w:tc>
              <w:tc>
                <w:tcPr>
                  <w:tcW w:w="2359" w:type="pct"/>
                  <w:tcBorders>
                    <w:bottom w:val="single" w:color="auto" w:sz="4" w:space="0"/>
                  </w:tcBorders>
                  <w:noWrap w:val="0"/>
                  <w:vAlign w:val="center"/>
                </w:tcPr>
                <w:p w14:paraId="11CB764E">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第二十一条</w:t>
                  </w:r>
                  <w:r>
                    <w:rPr>
                      <w:rFonts w:hint="eastAsia" w:cs="Times New Roman"/>
                      <w:color w:val="auto"/>
                      <w:kern w:val="0"/>
                      <w:sz w:val="21"/>
                      <w:szCs w:val="21"/>
                      <w:lang w:val="en-US" w:eastAsia="zh-CN"/>
                    </w:rPr>
                    <w:t xml:space="preserve"> </w:t>
                  </w:r>
                  <w:r>
                    <w:rPr>
                      <w:rFonts w:hint="default" w:ascii="Times New Roman" w:hAnsi="Times New Roman" w:eastAsia="宋体" w:cs="Times New Roman"/>
                      <w:color w:val="auto"/>
                      <w:kern w:val="0"/>
                      <w:sz w:val="21"/>
                      <w:szCs w:val="21"/>
                      <w:lang w:val="en-US" w:eastAsia="zh-CN"/>
                    </w:rPr>
                    <w:t>禁止在湿地范围内从事下列活动：</w:t>
                  </w:r>
                </w:p>
                <w:p w14:paraId="18CC8D61">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（一）开（围）垦、烧荒；</w:t>
                  </w:r>
                </w:p>
                <w:p w14:paraId="5DF5D536">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（二）排干自然湿地，永久性截断自然湿地水源；</w:t>
                  </w:r>
                </w:p>
                <w:p w14:paraId="321C682C">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（三）擅自填埋自然湿地，擅自采砂、采石、采矿、取土、挖塘；</w:t>
                  </w:r>
                </w:p>
                <w:p w14:paraId="758605CF">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（四）排放不符合水污染物排放标准的工业废水、生活污水及其他污染湿地的废水、污水，排放有毒有害气体，倾倒、堆放、丢弃、遗撒固体废物，投放可能危害水体、水生生物的化学物品；</w:t>
                  </w:r>
                </w:p>
                <w:p w14:paraId="4944A9BB">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（五）过度放牧、违法猎捕野生动物或者滥采野生植物，过度捕捞或者灭绝式捕捞，过度施肥、投药、投放饵料等污染湿地的种植养殖行为；</w:t>
                  </w:r>
                </w:p>
                <w:p w14:paraId="4CB08054">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（六）放生外来物种；</w:t>
                  </w:r>
                </w:p>
                <w:p w14:paraId="4825C3CC">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（七）其他破坏湿地及其生态功能的行为。</w:t>
                  </w:r>
                </w:p>
              </w:tc>
              <w:tc>
                <w:tcPr>
                  <w:tcW w:w="1275" w:type="pct"/>
                  <w:tcBorders>
                    <w:bottom w:val="single" w:color="auto" w:sz="4" w:space="0"/>
                  </w:tcBorders>
                  <w:noWrap w:val="0"/>
                  <w:vAlign w:val="center"/>
                </w:tcPr>
                <w:p w14:paraId="0AF48F8F">
                  <w:pPr>
                    <w:autoSpaceDE w:val="0"/>
                    <w:autoSpaceDN w:val="0"/>
                    <w:adjustRightInd w:val="0"/>
                    <w:spacing w:line="240" w:lineRule="auto"/>
                    <w:jc w:val="center"/>
                    <w:rPr>
                      <w:rFonts w:hint="eastAsia" w:ascii="Times New Roman" w:hAnsi="Times New Roman" w:eastAsia="宋体"/>
                      <w:color w:val="auto"/>
                      <w:sz w:val="21"/>
                      <w:szCs w:val="21"/>
                      <w:lang w:eastAsia="zh-CN"/>
                    </w:rPr>
                  </w:pPr>
                  <w:r>
                    <w:rPr>
                      <w:rFonts w:hint="default" w:ascii="Times New Roman" w:hAnsi="Times New Roman" w:eastAsia="宋体"/>
                      <w:color w:val="auto"/>
                      <w:sz w:val="21"/>
                      <w:szCs w:val="21"/>
                      <w:vertAlign w:val="baseline"/>
                      <w:lang w:val="en-US" w:eastAsia="zh-CN"/>
                    </w:rPr>
                    <w:t>本项目为</w:t>
                  </w:r>
                  <w:r>
                    <w:rPr>
                      <w:rFonts w:hint="eastAsia" w:cs="Times New Roman"/>
                      <w:b w:val="0"/>
                      <w:bCs/>
                      <w:color w:val="000000" w:themeColor="text1"/>
                      <w:sz w:val="21"/>
                      <w:szCs w:val="21"/>
                      <w:lang w:val="en-US" w:eastAsia="zh-CN"/>
                      <w14:textFill>
                        <w14:solidFill>
                          <w14:schemeClr w14:val="tx1"/>
                        </w14:solidFill>
                      </w14:textFill>
                    </w:rPr>
                    <w:t>既有铁路桥基础冲刷病害整治工程</w:t>
                  </w:r>
                  <w:r>
                    <w:rPr>
                      <w:rFonts w:hint="default" w:ascii="Times New Roman" w:hAnsi="Times New Roman" w:eastAsia="宋体"/>
                      <w:color w:val="auto"/>
                      <w:sz w:val="21"/>
                      <w:szCs w:val="21"/>
                      <w:vertAlign w:val="baseline"/>
                      <w:lang w:val="en-US" w:eastAsia="zh-CN"/>
                    </w:rPr>
                    <w:t>，</w:t>
                  </w:r>
                  <w:r>
                    <w:rPr>
                      <w:rFonts w:hint="default" w:ascii="Times New Roman" w:hAnsi="Times New Roman" w:cs="Times New Roman"/>
                      <w:color w:val="000000" w:themeColor="text1"/>
                      <w14:textFill>
                        <w14:solidFill>
                          <w14:schemeClr w14:val="tx1"/>
                        </w14:solidFill>
                      </w14:textFill>
                    </w:rPr>
                    <w:t>项目的建设不属于天然湿地范围内禁止从事的行为。</w:t>
                  </w:r>
                </w:p>
              </w:tc>
              <w:tc>
                <w:tcPr>
                  <w:tcW w:w="556" w:type="pct"/>
                  <w:tcBorders>
                    <w:top w:val="single" w:color="auto" w:sz="4" w:space="0"/>
                    <w:bottom w:val="single" w:color="auto" w:sz="4" w:space="0"/>
                  </w:tcBorders>
                  <w:noWrap w:val="0"/>
                  <w:vAlign w:val="center"/>
                </w:tcPr>
                <w:p w14:paraId="10FA77E6">
                  <w:pPr>
                    <w:pStyle w:val="28"/>
                    <w:widowControl w:val="0"/>
                    <w:spacing w:after="0" w:line="240" w:lineRule="auto"/>
                    <w:jc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符合</w:t>
                  </w:r>
                </w:p>
              </w:tc>
            </w:tr>
            <w:tr w14:paraId="6C37CF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808" w:type="pct"/>
                  <w:tcBorders>
                    <w:bottom w:val="single" w:color="auto" w:sz="4" w:space="0"/>
                  </w:tcBorders>
                  <w:noWrap w:val="0"/>
                  <w:vAlign w:val="center"/>
                </w:tcPr>
                <w:p w14:paraId="5D5C72DC">
                  <w:pPr>
                    <w:autoSpaceDE w:val="0"/>
                    <w:autoSpaceDN w:val="0"/>
                    <w:adjustRightInd w:val="0"/>
                    <w:spacing w:line="240" w:lineRule="auto"/>
                    <w:jc w:val="center"/>
                    <w:rPr>
                      <w:rFonts w:hint="eastAsia" w:ascii="Times New Roman" w:hAnsi="Times New Roman" w:eastAsia="宋体" w:cs="Times New Roman"/>
                      <w:b w:val="0"/>
                      <w:bCs w:val="0"/>
                      <w:color w:val="auto"/>
                      <w:kern w:val="0"/>
                      <w:sz w:val="21"/>
                      <w:szCs w:val="21"/>
                      <w:lang w:val="en-US" w:eastAsia="zh-CN"/>
                    </w:rPr>
                  </w:pPr>
                  <w:r>
                    <w:rPr>
                      <w:rFonts w:hint="eastAsia" w:cs="Times New Roman"/>
                      <w:b w:val="0"/>
                      <w:bCs w:val="0"/>
                      <w:color w:val="auto"/>
                      <w:spacing w:val="3"/>
                      <w:sz w:val="21"/>
                      <w:szCs w:val="21"/>
                      <w:lang w:val="en-US" w:eastAsia="zh-CN"/>
                    </w:rPr>
                    <w:t>汉中</w:t>
                  </w:r>
                  <w:r>
                    <w:rPr>
                      <w:rFonts w:hint="default" w:ascii="Times New Roman" w:hAnsi="Times New Roman" w:eastAsia="宋体" w:cs="Times New Roman"/>
                      <w:b w:val="0"/>
                      <w:bCs w:val="0"/>
                      <w:color w:val="auto"/>
                      <w:spacing w:val="3"/>
                      <w:sz w:val="21"/>
                      <w:szCs w:val="21"/>
                    </w:rPr>
                    <w:t>市生态环境保护“十四五”规划（2021年~2025年）</w:t>
                  </w:r>
                </w:p>
              </w:tc>
              <w:tc>
                <w:tcPr>
                  <w:tcW w:w="2359" w:type="pct"/>
                  <w:tcBorders>
                    <w:bottom w:val="single" w:color="auto" w:sz="4" w:space="0"/>
                  </w:tcBorders>
                  <w:noWrap w:val="0"/>
                  <w:vAlign w:val="center"/>
                </w:tcPr>
                <w:p w14:paraId="76D15B32">
                  <w:pPr>
                    <w:autoSpaceDE w:val="0"/>
                    <w:autoSpaceDN w:val="0"/>
                    <w:adjustRightInd w:val="0"/>
                    <w:spacing w:line="240" w:lineRule="auto"/>
                    <w:jc w:val="both"/>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color w:val="auto"/>
                      <w:kern w:val="0"/>
                      <w:sz w:val="21"/>
                      <w:szCs w:val="21"/>
                      <w:lang w:val="en-US" w:eastAsia="zh-CN"/>
                    </w:rPr>
                    <w:t>加强扬尘精细化管控。建立扬尘污染源清单</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实现扬尘污染源动态管理</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构建</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过程全覆盖、管理全方位、责任全链条</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的扬尘防治体系。全面推行绿色施工</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严格执行施工工地</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6个100%</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抑尘措施</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加大执法检查力度</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依法查处各类施工扬尘违法行为</w:t>
                  </w:r>
                  <w:r>
                    <w:rPr>
                      <w:rFonts w:hint="eastAsia" w:eastAsia="宋体"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将绿色施工纳入企业资质和信用评价。</w:t>
                  </w:r>
                </w:p>
              </w:tc>
              <w:tc>
                <w:tcPr>
                  <w:tcW w:w="1275" w:type="pct"/>
                  <w:tcBorders>
                    <w:bottom w:val="single" w:color="auto" w:sz="4" w:space="0"/>
                  </w:tcBorders>
                  <w:shd w:val="clear" w:color="auto" w:fill="auto"/>
                  <w:noWrap w:val="0"/>
                  <w:vAlign w:val="center"/>
                </w:tcPr>
                <w:p w14:paraId="641E70A4">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本项目施工过程中严格按照要求执行六个100%，并加强扬尘管控。</w:t>
                  </w:r>
                </w:p>
              </w:tc>
              <w:tc>
                <w:tcPr>
                  <w:tcW w:w="556" w:type="pct"/>
                  <w:tcBorders>
                    <w:top w:val="single" w:color="auto" w:sz="4" w:space="0"/>
                    <w:bottom w:val="single" w:color="auto" w:sz="4" w:space="0"/>
                  </w:tcBorders>
                  <w:shd w:val="clear" w:color="auto" w:fill="auto"/>
                  <w:noWrap w:val="0"/>
                  <w:vAlign w:val="center"/>
                </w:tcPr>
                <w:p w14:paraId="42445C5D">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符合</w:t>
                  </w:r>
                </w:p>
              </w:tc>
            </w:tr>
            <w:tr w14:paraId="334F53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808" w:type="pct"/>
                  <w:tcBorders>
                    <w:bottom w:val="single" w:color="auto" w:sz="4" w:space="0"/>
                  </w:tcBorders>
                  <w:noWrap w:val="0"/>
                  <w:vAlign w:val="center"/>
                </w:tcPr>
                <w:p w14:paraId="7919CD5A">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汉中</w:t>
                  </w:r>
                  <w:r>
                    <w:rPr>
                      <w:rFonts w:hint="default" w:ascii="Times New Roman" w:hAnsi="Times New Roman" w:eastAsia="宋体" w:cs="Times New Roman"/>
                      <w:color w:val="auto"/>
                      <w:kern w:val="0"/>
                      <w:sz w:val="21"/>
                      <w:szCs w:val="21"/>
                      <w:lang w:val="en-US" w:eastAsia="zh-CN"/>
                    </w:rPr>
                    <w:t>市大气污染防治条例》</w:t>
                  </w:r>
                </w:p>
              </w:tc>
              <w:tc>
                <w:tcPr>
                  <w:tcW w:w="2359" w:type="pct"/>
                  <w:tcBorders>
                    <w:bottom w:val="single" w:color="auto" w:sz="4" w:space="0"/>
                  </w:tcBorders>
                  <w:noWrap w:val="0"/>
                  <w:vAlign w:val="center"/>
                </w:tcPr>
                <w:p w14:paraId="0AF4370D">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第二十一条  施工单位应当按照工地扬尘污染防治方案的要求施工，并采取下列防尘管理措施：</w:t>
                  </w:r>
                </w:p>
                <w:p w14:paraId="0C38F5BC">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（一）在施工现场出入口公示扬尘污染控制措施、负责人、环保监督员、扬尘监管行政主管部门等有关信息，接受社会监督；</w:t>
                  </w:r>
                </w:p>
                <w:p w14:paraId="5BFD088F">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（二）城市规划区内施工工地周围应当设置硬质材料围挡，工地内暂未施工的区域应当覆盖、硬化或者绿化，暂未开工的建设用地，由土地使用权人负责对裸露地面进行覆盖，超过三个月的，应当进行绿化；</w:t>
                  </w:r>
                </w:p>
                <w:p w14:paraId="7DE6BF95">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（三）施工工地内堆放水泥、灰土、砂石等易产生扬尘污染物料和建筑垃圾、工程渣土，应当采用密闭式防尘网遮盖或者在库房内存放；</w:t>
                  </w:r>
                </w:p>
                <w:p w14:paraId="0306A696">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四）土石方、拆除、洗刨工程作业时应当分段作业，采取洒水抑尘措施，缩短起尘操作时间；气象预报风速达到四级以上或者出现重污染天气状况时，应当停止土石方作业、拆除工程以及其他可能产生扬尘污染的施工；</w:t>
                  </w:r>
                </w:p>
                <w:p w14:paraId="0F719493">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（五）建筑施工工地进出口处应当设置车辆清洗设施及配套的排水、泥浆沉淀设施，运送建筑物料的车辆驶出工地应当进行冲洗，防止泥水溢流，周边一百米以内的道路应当保持清洁，不得存留建筑垃圾和泥土；</w:t>
                  </w:r>
                </w:p>
                <w:p w14:paraId="6D673173">
                  <w:pPr>
                    <w:autoSpaceDE w:val="0"/>
                    <w:autoSpaceDN w:val="0"/>
                    <w:adjustRightInd w:val="0"/>
                    <w:spacing w:line="240" w:lineRule="auto"/>
                    <w:jc w:val="both"/>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（六）按照规定安装扬尘污染防治在线监测和视频监控设备，并与有关主管部门联网；</w:t>
                  </w:r>
                </w:p>
                <w:p w14:paraId="01304235">
                  <w:pPr>
                    <w:autoSpaceDE w:val="0"/>
                    <w:autoSpaceDN w:val="0"/>
                    <w:adjustRightInd w:val="0"/>
                    <w:spacing w:line="240" w:lineRule="auto"/>
                    <w:jc w:val="both"/>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color w:val="auto"/>
                      <w:kern w:val="0"/>
                      <w:sz w:val="21"/>
                      <w:szCs w:val="21"/>
                      <w:lang w:val="en-US" w:eastAsia="zh-CN"/>
                    </w:rPr>
                    <w:t>（七）国家、省规定的其他措施。</w:t>
                  </w:r>
                </w:p>
              </w:tc>
              <w:tc>
                <w:tcPr>
                  <w:tcW w:w="1275" w:type="pct"/>
                  <w:tcBorders>
                    <w:bottom w:val="single" w:color="auto" w:sz="4" w:space="0"/>
                  </w:tcBorders>
                  <w:shd w:val="clear" w:color="auto" w:fill="auto"/>
                  <w:noWrap w:val="0"/>
                  <w:vAlign w:val="center"/>
                </w:tcPr>
                <w:p w14:paraId="7A1E73BA">
                  <w:pPr>
                    <w:autoSpaceDE w:val="0"/>
                    <w:autoSpaceDN w:val="0"/>
                    <w:adjustRightInd w:val="0"/>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本项目施工期间建筑垃圾及时清运、裸露地方密目网苫盖；对运输车辆出施工场地时进行冲洗等措施，符合污染条例的规定</w:t>
                  </w:r>
                </w:p>
              </w:tc>
              <w:tc>
                <w:tcPr>
                  <w:tcW w:w="556" w:type="pct"/>
                  <w:tcBorders>
                    <w:top w:val="single" w:color="auto" w:sz="4" w:space="0"/>
                    <w:bottom w:val="single" w:color="auto" w:sz="4" w:space="0"/>
                  </w:tcBorders>
                  <w:shd w:val="clear" w:color="auto" w:fill="auto"/>
                  <w:noWrap w:val="0"/>
                  <w:vAlign w:val="center"/>
                </w:tcPr>
                <w:p w14:paraId="723B3DBD">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符合</w:t>
                  </w:r>
                </w:p>
              </w:tc>
            </w:tr>
            <w:tr w14:paraId="6AC5CB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808" w:type="pct"/>
                  <w:vMerge w:val="restart"/>
                  <w:noWrap w:val="0"/>
                  <w:vAlign w:val="center"/>
                </w:tcPr>
                <w:p w14:paraId="0FEF4707">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w:t>
                  </w:r>
                  <w:r>
                    <w:rPr>
                      <w:rFonts w:hint="eastAsia" w:cs="Times New Roman"/>
                      <w:color w:val="auto"/>
                      <w:kern w:val="0"/>
                      <w:sz w:val="21"/>
                      <w:szCs w:val="21"/>
                      <w:lang w:val="en-US" w:eastAsia="zh-CN"/>
                    </w:rPr>
                    <w:t>汉中</w:t>
                  </w:r>
                  <w:r>
                    <w:rPr>
                      <w:rFonts w:hint="eastAsia" w:ascii="Times New Roman" w:hAnsi="Times New Roman" w:eastAsia="宋体" w:cs="Times New Roman"/>
                      <w:color w:val="auto"/>
                      <w:kern w:val="0"/>
                      <w:sz w:val="21"/>
                      <w:szCs w:val="21"/>
                      <w:lang w:val="en-US" w:eastAsia="zh-CN"/>
                    </w:rPr>
                    <w:t>市大气污染治理专项行动方案（2023～2027年）》</w:t>
                  </w:r>
                </w:p>
              </w:tc>
              <w:tc>
                <w:tcPr>
                  <w:tcW w:w="3689" w:type="dxa"/>
                  <w:tcBorders>
                    <w:bottom w:val="single" w:color="auto" w:sz="4" w:space="0"/>
                  </w:tcBorders>
                  <w:shd w:val="clear" w:color="auto" w:fill="auto"/>
                  <w:noWrap w:val="0"/>
                  <w:vAlign w:val="center"/>
                </w:tcPr>
                <w:p w14:paraId="6EF7B654">
                  <w:pPr>
                    <w:autoSpaceDE w:val="0"/>
                    <w:autoSpaceDN w:val="0"/>
                    <w:adjustRightInd w:val="0"/>
                    <w:spacing w:line="240" w:lineRule="auto"/>
                    <w:jc w:val="center"/>
                    <w:rPr>
                      <w:rFonts w:hint="default" w:ascii="Times New Roman" w:hAnsi="Times New Roman" w:eastAsia="宋体" w:cs="Times New Roman"/>
                      <w:color w:val="FF0000"/>
                      <w:kern w:val="0"/>
                      <w:sz w:val="21"/>
                      <w:szCs w:val="21"/>
                      <w:lang w:val="en-US" w:eastAsia="zh-CN"/>
                    </w:rPr>
                  </w:pPr>
                  <w:r>
                    <w:rPr>
                      <w:rFonts w:hint="default" w:ascii="Times New Roman" w:hAnsi="Times New Roman" w:eastAsia="宋体" w:cs="Times New Roman"/>
                      <w:color w:val="auto"/>
                      <w:kern w:val="0"/>
                      <w:szCs w:val="21"/>
                      <w:lang w:val="en-US" w:eastAsia="zh-CN"/>
                    </w:rPr>
                    <w:t>2023年5月底前，建立覆盖全市的商品房开发、市政工程、道路（含国、省、县、村）工程、管线管道工程、房屋拆除工程、建筑垃圾消纳场、取土场的动态管理清单，每月更新一次。在工地公示具体防治措施及负责人信息，建设单位应当在施工前向工程主管部门、生态环境主管部门提交工地扬尘污染防治方案</w:t>
                  </w:r>
                  <w:r>
                    <w:rPr>
                      <w:rFonts w:hint="eastAsia" w:cs="Times New Roman"/>
                      <w:color w:val="auto"/>
                      <w:kern w:val="0"/>
                      <w:szCs w:val="21"/>
                      <w:lang w:val="en-US" w:eastAsia="zh-CN"/>
                    </w:rPr>
                    <w:t>，将</w:t>
                  </w:r>
                  <w:r>
                    <w:rPr>
                      <w:rFonts w:hint="default" w:ascii="Times New Roman" w:hAnsi="Times New Roman" w:eastAsia="宋体" w:cs="Times New Roman"/>
                      <w:color w:val="auto"/>
                      <w:kern w:val="0"/>
                      <w:szCs w:val="21"/>
                      <w:lang w:val="en-US" w:eastAsia="zh-CN"/>
                    </w:rPr>
                    <w:t>防治扬尘污染费用纳入工程造价。指导建设单位合理调整涉土作业计划，减少秋冬季土方开挖、回填、运输等涉土作业，合理降低长距离的市政、城市道路、水利等工程土方作业范围，实施分段施工</w:t>
                  </w:r>
                </w:p>
              </w:tc>
              <w:tc>
                <w:tcPr>
                  <w:tcW w:w="1995" w:type="dxa"/>
                  <w:tcBorders>
                    <w:bottom w:val="single" w:color="auto" w:sz="4" w:space="0"/>
                  </w:tcBorders>
                  <w:shd w:val="clear" w:color="auto" w:fill="auto"/>
                  <w:noWrap w:val="0"/>
                  <w:vAlign w:val="center"/>
                </w:tcPr>
                <w:p w14:paraId="268807F2">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olor w:val="auto"/>
                      <w:sz w:val="21"/>
                      <w:szCs w:val="21"/>
                      <w:lang w:eastAsia="zh-CN"/>
                    </w:rPr>
                    <w:t>本</w:t>
                  </w:r>
                  <w:r>
                    <w:rPr>
                      <w:rFonts w:hint="eastAsia"/>
                      <w:color w:val="auto"/>
                      <w:sz w:val="21"/>
                      <w:szCs w:val="21"/>
                      <w:lang w:val="en-US" w:eastAsia="zh-CN"/>
                    </w:rPr>
                    <w:t>工程</w:t>
                  </w:r>
                  <w:r>
                    <w:rPr>
                      <w:rFonts w:hint="eastAsia" w:ascii="Times New Roman" w:hAnsi="Times New Roman"/>
                      <w:color w:val="auto"/>
                      <w:sz w:val="21"/>
                      <w:szCs w:val="21"/>
                      <w:lang w:eastAsia="zh-CN"/>
                    </w:rPr>
                    <w:t>实施</w:t>
                  </w:r>
                  <w:r>
                    <w:rPr>
                      <w:rFonts w:hint="eastAsia"/>
                      <w:color w:val="auto"/>
                      <w:sz w:val="21"/>
                      <w:szCs w:val="21"/>
                      <w:lang w:val="en-US" w:eastAsia="zh-CN"/>
                    </w:rPr>
                    <w:t>阶段</w:t>
                  </w:r>
                  <w:r>
                    <w:rPr>
                      <w:rFonts w:hint="eastAsia" w:ascii="Times New Roman" w:hAnsi="Times New Roman"/>
                      <w:color w:val="auto"/>
                      <w:sz w:val="21"/>
                      <w:szCs w:val="21"/>
                      <w:lang w:eastAsia="zh-CN"/>
                    </w:rPr>
                    <w:t>要求建设单位在工地公示具体防治措施及负责人信息</w:t>
                  </w:r>
                  <w:r>
                    <w:rPr>
                      <w:rFonts w:hint="eastAsia"/>
                      <w:color w:val="auto"/>
                      <w:sz w:val="21"/>
                      <w:szCs w:val="21"/>
                      <w:lang w:eastAsia="zh-CN"/>
                    </w:rPr>
                    <w:t>，并</w:t>
                  </w:r>
                  <w:r>
                    <w:rPr>
                      <w:rFonts w:hint="eastAsia" w:ascii="Times New Roman" w:hAnsi="Times New Roman"/>
                      <w:color w:val="auto"/>
                      <w:sz w:val="21"/>
                      <w:szCs w:val="21"/>
                      <w:lang w:eastAsia="zh-CN"/>
                    </w:rPr>
                    <w:t>在施工前向工程主管部门、生态环境主管部门提交工地扬尘污染防治方案，合理调整涉土作业计划，减少秋冬季土方开挖、回填、运输等涉土作业。</w:t>
                  </w:r>
                </w:p>
              </w:tc>
              <w:tc>
                <w:tcPr>
                  <w:tcW w:w="556" w:type="pct"/>
                  <w:tcBorders>
                    <w:top w:val="single" w:color="auto" w:sz="4" w:space="0"/>
                    <w:bottom w:val="single" w:color="auto" w:sz="4" w:space="0"/>
                  </w:tcBorders>
                  <w:noWrap w:val="0"/>
                  <w:vAlign w:val="center"/>
                </w:tcPr>
                <w:p w14:paraId="4DF15A0F">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符合</w:t>
                  </w:r>
                </w:p>
              </w:tc>
            </w:tr>
            <w:tr w14:paraId="422404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808" w:type="pct"/>
                  <w:vMerge w:val="continue"/>
                  <w:noWrap w:val="0"/>
                  <w:vAlign w:val="center"/>
                </w:tcPr>
                <w:p w14:paraId="16D9DF23">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p>
              </w:tc>
              <w:tc>
                <w:tcPr>
                  <w:tcW w:w="2359" w:type="pct"/>
                  <w:shd w:val="clear" w:color="auto" w:fill="auto"/>
                  <w:noWrap w:val="0"/>
                  <w:vAlign w:val="center"/>
                </w:tcPr>
                <w:p w14:paraId="04608F5E">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2025</w:t>
                  </w:r>
                  <w:r>
                    <w:rPr>
                      <w:rFonts w:hint="eastAsia" w:ascii="Times New Roman" w:hAnsi="Times New Roman" w:eastAsia="宋体" w:cs="Times New Roman"/>
                      <w:color w:val="auto"/>
                      <w:kern w:val="0"/>
                      <w:szCs w:val="21"/>
                      <w:lang w:val="en-US" w:eastAsia="zh-CN"/>
                    </w:rPr>
                    <w:t>年底前淘汰国三及以下排放标准柴油货车，推进淘汰国一及以下排放标准非道路移动工程机械。</w:t>
                  </w:r>
                  <w:r>
                    <w:rPr>
                      <w:rFonts w:hint="default" w:ascii="Times New Roman" w:hAnsi="Times New Roman" w:eastAsia="宋体" w:cs="Times New Roman"/>
                      <w:color w:val="auto"/>
                      <w:kern w:val="0"/>
                      <w:szCs w:val="21"/>
                      <w:lang w:val="en-US" w:eastAsia="zh-CN"/>
                    </w:rPr>
                    <w:t>2025</w:t>
                  </w:r>
                  <w:r>
                    <w:rPr>
                      <w:rFonts w:hint="eastAsia" w:ascii="Times New Roman" w:hAnsi="Times New Roman" w:eastAsia="宋体" w:cs="Times New Roman"/>
                      <w:color w:val="auto"/>
                      <w:kern w:val="0"/>
                      <w:szCs w:val="21"/>
                      <w:lang w:val="en-US" w:eastAsia="zh-CN"/>
                    </w:rPr>
                    <w:t>年新能源和国六排放标准货车保有量占比达到</w:t>
                  </w:r>
                  <w:r>
                    <w:rPr>
                      <w:rFonts w:hint="default" w:ascii="Times New Roman" w:hAnsi="Times New Roman" w:eastAsia="宋体" w:cs="Times New Roman"/>
                      <w:color w:val="auto"/>
                      <w:kern w:val="0"/>
                      <w:szCs w:val="21"/>
                      <w:lang w:val="en-US" w:eastAsia="zh-CN"/>
                    </w:rPr>
                    <w:t>40%</w:t>
                  </w:r>
                  <w:r>
                    <w:rPr>
                      <w:rFonts w:hint="eastAsia" w:ascii="Times New Roman" w:hAnsi="Times New Roman" w:eastAsia="宋体" w:cs="Times New Roman"/>
                      <w:color w:val="auto"/>
                      <w:kern w:val="0"/>
                      <w:szCs w:val="21"/>
                      <w:lang w:val="en-US" w:eastAsia="zh-CN"/>
                    </w:rPr>
                    <w:t>左右。强化非道路移动机械排放控制区管控，到</w:t>
                  </w:r>
                  <w:r>
                    <w:rPr>
                      <w:rFonts w:hint="default" w:ascii="Times New Roman" w:hAnsi="Times New Roman" w:eastAsia="宋体" w:cs="Times New Roman"/>
                      <w:color w:val="auto"/>
                      <w:kern w:val="0"/>
                      <w:szCs w:val="21"/>
                      <w:lang w:val="en-US" w:eastAsia="zh-CN"/>
                    </w:rPr>
                    <w:t>2025</w:t>
                  </w:r>
                  <w:r>
                    <w:rPr>
                      <w:rFonts w:hint="eastAsia" w:ascii="Times New Roman" w:hAnsi="Times New Roman" w:eastAsia="宋体" w:cs="Times New Roman"/>
                      <w:color w:val="auto"/>
                      <w:kern w:val="0"/>
                      <w:szCs w:val="21"/>
                      <w:lang w:val="en-US" w:eastAsia="zh-CN"/>
                    </w:rPr>
                    <w:t xml:space="preserve">年禁止使用不符 </w:t>
                  </w:r>
                </w:p>
                <w:p w14:paraId="349B8558">
                  <w:pPr>
                    <w:autoSpaceDE w:val="0"/>
                    <w:autoSpaceDN w:val="0"/>
                    <w:adjustRightInd w:val="0"/>
                    <w:spacing w:line="240" w:lineRule="auto"/>
                    <w:jc w:val="both"/>
                    <w:rPr>
                      <w:rFonts w:hint="default" w:ascii="Times New Roman" w:hAnsi="Times New Roman" w:eastAsia="宋体" w:cs="宋体"/>
                      <w:color w:val="FF0000"/>
                      <w:spacing w:val="-6"/>
                      <w:kern w:val="2"/>
                      <w:sz w:val="21"/>
                      <w:szCs w:val="21"/>
                      <w:lang w:val="en-US" w:eastAsia="zh-CN" w:bidi="ar-SA"/>
                    </w:rPr>
                  </w:pPr>
                  <w:r>
                    <w:rPr>
                      <w:rFonts w:hint="eastAsia" w:ascii="Times New Roman" w:hAnsi="Times New Roman" w:eastAsia="宋体" w:cs="Times New Roman"/>
                      <w:color w:val="auto"/>
                      <w:kern w:val="0"/>
                      <w:szCs w:val="21"/>
                      <w:lang w:val="en-US" w:eastAsia="zh-CN"/>
                    </w:rPr>
                    <w:t>合第三阶段和在用机械排放标准三类限值的机械，具备条件的可更换国四及以上排放标准的发动机。</w:t>
                  </w:r>
                </w:p>
              </w:tc>
              <w:tc>
                <w:tcPr>
                  <w:tcW w:w="1275" w:type="pct"/>
                  <w:shd w:val="clear" w:color="auto" w:fill="auto"/>
                  <w:noWrap w:val="0"/>
                  <w:vAlign w:val="center"/>
                </w:tcPr>
                <w:p w14:paraId="29E6D8A1">
                  <w:pPr>
                    <w:pStyle w:val="3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Times New Roman" w:hAnsi="Times New Roman" w:eastAsia="宋体" w:cs="宋体"/>
                      <w:color w:val="auto"/>
                      <w:spacing w:val="-6"/>
                      <w:kern w:val="2"/>
                      <w:sz w:val="21"/>
                      <w:szCs w:val="21"/>
                      <w:lang w:val="en-US" w:eastAsia="zh-CN" w:bidi="ar-SA"/>
                    </w:rPr>
                  </w:pPr>
                  <w:r>
                    <w:rPr>
                      <w:rFonts w:hint="default" w:ascii="Times New Roman" w:hAnsi="Times New Roman" w:eastAsia="宋体" w:cs="Times New Roman"/>
                      <w:color w:val="auto"/>
                      <w:spacing w:val="-6"/>
                      <w:sz w:val="21"/>
                      <w:szCs w:val="21"/>
                      <w:lang w:val="en-US" w:eastAsia="zh-CN"/>
                    </w:rPr>
                    <w:t>本项目使用的非道路移动机械均为国IV以上，施工期运输车辆严格执行《非道路柴油移动机械污染物排放控制技术要求》（HJ1014-2020）</w:t>
                  </w:r>
                </w:p>
              </w:tc>
              <w:tc>
                <w:tcPr>
                  <w:tcW w:w="556" w:type="pct"/>
                  <w:tcBorders>
                    <w:top w:val="single" w:color="auto" w:sz="4" w:space="0"/>
                    <w:bottom w:val="single" w:color="auto" w:sz="4" w:space="0"/>
                  </w:tcBorders>
                  <w:shd w:val="clear" w:color="auto" w:fill="auto"/>
                  <w:noWrap w:val="0"/>
                  <w:vAlign w:val="center"/>
                </w:tcPr>
                <w:p w14:paraId="3342DBA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宋体"/>
                      <w:color w:val="auto"/>
                      <w:spacing w:val="3"/>
                      <w:kern w:val="2"/>
                      <w:sz w:val="21"/>
                      <w:szCs w:val="21"/>
                      <w:lang w:val="en-US" w:eastAsia="zh-CN" w:bidi="ar-SA"/>
                    </w:rPr>
                  </w:pPr>
                  <w:r>
                    <w:rPr>
                      <w:rFonts w:hint="eastAsia" w:ascii="Times New Roman" w:hAnsi="Times New Roman" w:eastAsia="宋体"/>
                      <w:color w:val="auto"/>
                      <w:spacing w:val="3"/>
                      <w:sz w:val="21"/>
                      <w:szCs w:val="21"/>
                      <w:lang w:val="en-US" w:eastAsia="zh-CN"/>
                    </w:rPr>
                    <w:t>符合</w:t>
                  </w:r>
                </w:p>
              </w:tc>
            </w:tr>
            <w:tr w14:paraId="4CAAAA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jc w:val="center"/>
              </w:trPr>
              <w:tc>
                <w:tcPr>
                  <w:tcW w:w="808" w:type="pct"/>
                  <w:noWrap w:val="0"/>
                  <w:vAlign w:val="center"/>
                </w:tcPr>
                <w:p w14:paraId="1B1BE523">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Cs w:val="21"/>
                      <w:lang w:val="en-US" w:eastAsia="zh-CN"/>
                    </w:rPr>
                    <w:t>《汉中市汉江</w:t>
                  </w:r>
                  <w:r>
                    <w:rPr>
                      <w:rFonts w:hint="eastAsia" w:cs="Times New Roman"/>
                      <w:color w:val="auto"/>
                      <w:kern w:val="0"/>
                      <w:szCs w:val="21"/>
                      <w:lang w:val="en-US" w:eastAsia="zh-CN"/>
                    </w:rPr>
                    <w:t>水质保护</w:t>
                  </w:r>
                  <w:r>
                    <w:rPr>
                      <w:rFonts w:hint="eastAsia" w:ascii="Times New Roman" w:hAnsi="Times New Roman" w:eastAsia="宋体" w:cs="Times New Roman"/>
                      <w:color w:val="auto"/>
                      <w:kern w:val="0"/>
                      <w:szCs w:val="21"/>
                      <w:lang w:val="en-US" w:eastAsia="zh-CN"/>
                    </w:rPr>
                    <w:t>条例》</w:t>
                  </w:r>
                  <w:r>
                    <w:rPr>
                      <w:rFonts w:hint="eastAsia" w:cs="Times New Roman"/>
                      <w:color w:val="auto"/>
                      <w:kern w:val="0"/>
                      <w:szCs w:val="21"/>
                      <w:lang w:val="en-US" w:eastAsia="zh-CN"/>
                    </w:rPr>
                    <w:t>（2023年3月1日起施行）</w:t>
                  </w:r>
                </w:p>
              </w:tc>
              <w:tc>
                <w:tcPr>
                  <w:tcW w:w="2359" w:type="pct"/>
                  <w:shd w:val="clear" w:color="auto" w:fill="auto"/>
                  <w:noWrap w:val="0"/>
                  <w:vAlign w:val="center"/>
                </w:tcPr>
                <w:p w14:paraId="059F18FB">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第</w:t>
                  </w:r>
                  <w:r>
                    <w:rPr>
                      <w:rFonts w:hint="eastAsia" w:ascii="Times New Roman" w:hAnsi="Times New Roman" w:eastAsia="宋体" w:cs="Times New Roman"/>
                      <w:color w:val="auto"/>
                      <w:kern w:val="0"/>
                      <w:szCs w:val="21"/>
                      <w:lang w:val="en-US" w:eastAsia="zh-CN"/>
                    </w:rPr>
                    <w:t>三十七</w:t>
                  </w:r>
                  <w:r>
                    <w:rPr>
                      <w:rFonts w:hint="default" w:ascii="Times New Roman" w:hAnsi="Times New Roman" w:eastAsia="宋体" w:cs="Times New Roman"/>
                      <w:color w:val="auto"/>
                      <w:kern w:val="0"/>
                      <w:szCs w:val="21"/>
                      <w:lang w:val="en-US" w:eastAsia="zh-CN"/>
                    </w:rPr>
                    <w:t>条 汉江流域禁止下列行为：</w:t>
                  </w:r>
                </w:p>
                <w:p w14:paraId="4F84C98C">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一）在汉江流域湖库、河道管理范围内堆放、倾倒、存贮生活垃圾、建筑垃圾、动物尸体及其他固体废弃物，或者在江河、渠道、水库最高水位线以下滩地、岸坡体排放、倾倒工业废渣、城镇垃圾或者其他废弃物；</w:t>
                  </w:r>
                </w:p>
                <w:p w14:paraId="716960FD">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二）向水体排放油类、酸液、碱液、剧毒废液，排放、倾倒放射性固体废物或者含有高放射性、中放射性物质的废水，或者将含有汞、镉、砷、铬、铅、氰化物、黄磷等的可溶性剧毒废渣向水体排放、倾倒或者直接埋入地下；</w:t>
                  </w:r>
                </w:p>
                <w:p w14:paraId="0F8ED97A">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（三）在水体清洗装贮过油类、有毒污染物的车辆或者容器；</w:t>
                  </w:r>
                </w:p>
                <w:p w14:paraId="7FD1CB83">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（四）利用裂缝、溶洞、渗坑、渗井，私设暗管，篡改、伪造监测数据，或者不正常运行水污染防治设施等逃避监管的方式排放水污染物；</w:t>
                  </w:r>
                </w:p>
                <w:p w14:paraId="698CB2BD">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（五）在国家规定的期限内，在汉江干流进行天然渔业资源的生产性捕捞；</w:t>
                  </w:r>
                </w:p>
                <w:p w14:paraId="42CC8E9C">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（六）从事炸鱼、毒鱼、电鱼等破坏渔业资源的活动；</w:t>
                  </w:r>
                </w:p>
                <w:p w14:paraId="650511BE">
                  <w:pPr>
                    <w:autoSpaceDE w:val="0"/>
                    <w:autoSpaceDN w:val="0"/>
                    <w:adjustRightInd w:val="0"/>
                    <w:spacing w:line="240" w:lineRule="auto"/>
                    <w:jc w:val="both"/>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（七）水上餐饮、水上住宿等的经营者向水体排放污染物的；</w:t>
                  </w:r>
                </w:p>
                <w:p w14:paraId="0B50353A">
                  <w:pPr>
                    <w:autoSpaceDE w:val="0"/>
                    <w:autoSpaceDN w:val="0"/>
                    <w:adjustRightInd w:val="0"/>
                    <w:spacing w:line="240" w:lineRule="auto"/>
                    <w:jc w:val="both"/>
                    <w:rPr>
                      <w:rFonts w:hint="eastAsia"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Cs w:val="21"/>
                      <w:lang w:val="en-US" w:eastAsia="zh-CN"/>
                    </w:rPr>
                    <w:t>（八）法律、法规禁止的其他污染水质行为。</w:t>
                  </w:r>
                </w:p>
              </w:tc>
              <w:tc>
                <w:tcPr>
                  <w:tcW w:w="1275" w:type="pct"/>
                  <w:shd w:val="clear" w:color="auto" w:fill="auto"/>
                  <w:noWrap w:val="0"/>
                  <w:vAlign w:val="center"/>
                </w:tcPr>
                <w:p w14:paraId="6ED50164">
                  <w:pPr>
                    <w:autoSpaceDE w:val="0"/>
                    <w:autoSpaceDN w:val="0"/>
                    <w:adjustRightInd w:val="0"/>
                    <w:spacing w:line="240" w:lineRule="auto"/>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Cs w:val="21"/>
                      <w:lang w:val="en-US" w:eastAsia="zh-CN"/>
                    </w:rPr>
                    <w:t>工程施工期间严禁在河道、水体进行机械设备清洗作业，确保废水不排入河道；严禁向河道内弃置、堆放各类固体废物，也不存在前述规定的其他禁止行为，因此满足《汉中市汉江流域水环境保护条例》的保护要求</w:t>
                  </w:r>
                </w:p>
              </w:tc>
              <w:tc>
                <w:tcPr>
                  <w:tcW w:w="556" w:type="pct"/>
                  <w:tcBorders>
                    <w:top w:val="single" w:color="auto" w:sz="4" w:space="0"/>
                    <w:bottom w:val="single" w:color="auto" w:sz="4" w:space="0"/>
                  </w:tcBorders>
                  <w:shd w:val="clear" w:color="auto" w:fill="auto"/>
                  <w:noWrap w:val="0"/>
                  <w:vAlign w:val="center"/>
                </w:tcPr>
                <w:p w14:paraId="3FD71BF9">
                  <w:pPr>
                    <w:autoSpaceDE w:val="0"/>
                    <w:autoSpaceDN w:val="0"/>
                    <w:adjustRightInd w:val="0"/>
                    <w:spacing w:line="240" w:lineRule="auto"/>
                    <w:jc w:val="center"/>
                    <w:rPr>
                      <w:rFonts w:hint="eastAsia" w:ascii="Times New Roman" w:hAnsi="Times New Roman" w:eastAsia="宋体"/>
                      <w:color w:val="auto"/>
                      <w:spacing w:val="3"/>
                      <w:sz w:val="21"/>
                      <w:szCs w:val="21"/>
                      <w:lang w:val="en-US" w:eastAsia="zh-CN"/>
                    </w:rPr>
                  </w:pPr>
                  <w:r>
                    <w:rPr>
                      <w:rFonts w:hint="eastAsia" w:ascii="Times New Roman" w:hAnsi="Times New Roman" w:eastAsia="宋体"/>
                      <w:color w:val="auto"/>
                      <w:spacing w:val="3"/>
                      <w:sz w:val="21"/>
                      <w:szCs w:val="21"/>
                      <w:lang w:val="en-US" w:eastAsia="zh-CN"/>
                    </w:rPr>
                    <w:t>符合</w:t>
                  </w:r>
                </w:p>
              </w:tc>
            </w:tr>
          </w:tbl>
          <w:p w14:paraId="3E61630F">
            <w:pPr>
              <w:pStyle w:val="3"/>
              <w:rPr>
                <w:rFonts w:hint="default"/>
                <w:lang w:val="en-US" w:eastAsia="zh-CN"/>
              </w:rPr>
            </w:pPr>
          </w:p>
          <w:p w14:paraId="1792EA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kern w:val="0"/>
                <w:sz w:val="24"/>
                <w:szCs w:val="24"/>
                <w:lang w:val="en-US" w:eastAsia="zh-CN"/>
              </w:rPr>
            </w:pPr>
          </w:p>
        </w:tc>
      </w:tr>
    </w:tbl>
    <w:p w14:paraId="59B9C226">
      <w:pPr>
        <w:spacing w:line="360" w:lineRule="auto"/>
        <w:outlineLvl w:val="0"/>
        <w:rPr>
          <w:rFonts w:eastAsia="黑体"/>
          <w:color w:val="auto"/>
          <w:sz w:val="30"/>
        </w:rPr>
        <w:sectPr>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14:paraId="32D94EB4">
      <w:pPr>
        <w:pStyle w:val="18"/>
        <w:jc w:val="center"/>
        <w:outlineLvl w:val="0"/>
        <w:rPr>
          <w:rFonts w:hint="eastAsia" w:ascii="黑体" w:hAnsi="黑体" w:eastAsia="黑体"/>
          <w:snapToGrid w:val="0"/>
          <w:color w:val="auto"/>
          <w:sz w:val="30"/>
          <w:szCs w:val="30"/>
          <w:lang w:val="en-US" w:eastAsia="zh-CN"/>
        </w:rPr>
      </w:pPr>
      <w:r>
        <w:rPr>
          <w:rFonts w:hint="eastAsia" w:ascii="黑体" w:hAnsi="黑体" w:eastAsia="黑体"/>
          <w:snapToGrid w:val="0"/>
          <w:color w:val="auto"/>
          <w:sz w:val="30"/>
          <w:szCs w:val="30"/>
        </w:rPr>
        <w:t>二、建设</w:t>
      </w:r>
      <w:r>
        <w:rPr>
          <w:rFonts w:hint="eastAsia" w:ascii="黑体" w:hAnsi="黑体" w:eastAsia="黑体"/>
          <w:snapToGrid w:val="0"/>
          <w:color w:val="auto"/>
          <w:sz w:val="30"/>
          <w:szCs w:val="30"/>
          <w:lang w:val="en-US" w:eastAsia="zh-CN"/>
        </w:rPr>
        <w:t>内容</w:t>
      </w:r>
    </w:p>
    <w:tbl>
      <w:tblPr>
        <w:tblStyle w:val="19"/>
        <w:tblW w:w="496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273"/>
      </w:tblGrid>
      <w:tr w14:paraId="53EF6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5" w:hRule="atLeast"/>
          <w:jc w:val="center"/>
        </w:trPr>
        <w:tc>
          <w:tcPr>
            <w:tcW w:w="400" w:type="pct"/>
            <w:noWrap w:val="0"/>
            <w:vAlign w:val="center"/>
          </w:tcPr>
          <w:p w14:paraId="29D3E0A7">
            <w:pPr>
              <w:pStyle w:val="18"/>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rPr>
                <w:rFonts w:hint="default" w:cs="宋体"/>
                <w:color w:val="auto"/>
                <w:szCs w:val="24"/>
                <w:lang w:val="en-US" w:eastAsia="zh-CN"/>
              </w:rPr>
            </w:pPr>
            <w:r>
              <w:rPr>
                <w:rFonts w:hint="eastAsia" w:cs="宋体"/>
                <w:color w:val="auto"/>
                <w:szCs w:val="24"/>
                <w:lang w:val="en-US" w:eastAsia="zh-CN"/>
              </w:rPr>
              <w:t>地理位置</w:t>
            </w:r>
          </w:p>
        </w:tc>
        <w:tc>
          <w:tcPr>
            <w:tcW w:w="4599" w:type="pct"/>
            <w:noWrap w:val="0"/>
            <w:vAlign w:val="top"/>
          </w:tcPr>
          <w:p w14:paraId="0B75E686">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eastAsia="宋体" w:cs="Times New Roman"/>
                <w:color w:val="auto"/>
                <w:sz w:val="24"/>
                <w:szCs w:val="24"/>
                <w:lang w:val="en-US" w:eastAsia="zh-CN"/>
              </w:rPr>
            </w:pPr>
            <w:r>
              <w:rPr>
                <w:rFonts w:hint="eastAsia" w:cs="Times New Roman"/>
                <w:color w:val="auto"/>
                <w:sz w:val="24"/>
                <w:szCs w:val="24"/>
                <w:lang w:val="en-US" w:eastAsia="zh-CN"/>
              </w:rPr>
              <w:t>阳安线上行K155+746汉江3号桥基础冲刷病害整治工程位于汉中市洋县谢村镇海莲村，跨越汉江，河道右岸为京昆高速公路，左岸为G108，水流与桥墩呈5</w:t>
            </w:r>
            <w:r>
              <w:rPr>
                <w:rFonts w:hint="default" w:cs="宋体"/>
                <w:i w:val="0"/>
                <w:iCs w:val="0"/>
                <w:caps w:val="0"/>
                <w:color w:val="auto"/>
                <w:spacing w:val="0"/>
                <w:sz w:val="24"/>
                <w:szCs w:val="24"/>
                <w:shd w:val="clear" w:fill="FFFFFF"/>
                <w:lang w:val="en-US" w:eastAsia="en-US"/>
              </w:rPr>
              <w:t>°</w:t>
            </w:r>
            <w:r>
              <w:rPr>
                <w:rFonts w:hint="eastAsia" w:cs="宋体"/>
                <w:i w:val="0"/>
                <w:iCs w:val="0"/>
                <w:caps w:val="0"/>
                <w:color w:val="auto"/>
                <w:spacing w:val="0"/>
                <w:sz w:val="24"/>
                <w:szCs w:val="24"/>
                <w:shd w:val="clear" w:fill="FFFFFF"/>
                <w:lang w:val="en-US" w:eastAsia="zh-CN"/>
              </w:rPr>
              <w:t>夹角。</w:t>
            </w:r>
            <w:r>
              <w:rPr>
                <w:rFonts w:hint="eastAsia" w:cs="Times New Roman"/>
                <w:color w:val="auto"/>
                <w:sz w:val="24"/>
                <w:szCs w:val="24"/>
                <w:lang w:val="en-US" w:eastAsia="zh-CN"/>
              </w:rPr>
              <w:t>阳安线上行K155+746汉江3号桥起点坐标为</w:t>
            </w:r>
            <w:r>
              <w:rPr>
                <w:rFonts w:hint="default" w:cs="Times New Roman"/>
                <w:color w:val="auto"/>
                <w:sz w:val="24"/>
                <w:szCs w:val="24"/>
                <w:lang w:val="en-US" w:eastAsia="zh-CN"/>
              </w:rPr>
              <w:t>10</w:t>
            </w:r>
            <w:r>
              <w:rPr>
                <w:rFonts w:hint="eastAsia" w:cs="Times New Roman"/>
                <w:color w:val="auto"/>
                <w:sz w:val="24"/>
                <w:szCs w:val="24"/>
                <w:lang w:val="en-US" w:eastAsia="zh-CN"/>
              </w:rPr>
              <w:t>7</w:t>
            </w:r>
            <w:r>
              <w:rPr>
                <w:rFonts w:hint="default" w:cs="宋体"/>
                <w:i w:val="0"/>
                <w:iCs w:val="0"/>
                <w:caps w:val="0"/>
                <w:color w:val="auto"/>
                <w:spacing w:val="0"/>
                <w:sz w:val="21"/>
                <w:szCs w:val="21"/>
                <w:shd w:val="clear" w:fill="FFFFFF"/>
                <w:lang w:val="en-US" w:eastAsia="en-US"/>
              </w:rPr>
              <w:t>°</w:t>
            </w:r>
            <w:r>
              <w:rPr>
                <w:rFonts w:hint="eastAsia" w:cs="Times New Roman"/>
                <w:color w:val="auto"/>
                <w:sz w:val="24"/>
                <w:szCs w:val="24"/>
                <w:lang w:val="en-US" w:eastAsia="zh-CN"/>
              </w:rPr>
              <w:t>24</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4"/>
                <w:szCs w:val="24"/>
                <w:lang w:val="en-US" w:eastAsia="zh-CN"/>
              </w:rPr>
              <w:t>44.671</w:t>
            </w:r>
            <w:r>
              <w:rPr>
                <w:rFonts w:ascii="Times New Roman" w:hAnsi="Times New Roman" w:eastAsia="宋体" w:cs="宋体"/>
                <w:i w:val="0"/>
                <w:iCs w:val="0"/>
                <w:caps w:val="0"/>
                <w:color w:val="auto"/>
                <w:spacing w:val="0"/>
                <w:sz w:val="21"/>
                <w:szCs w:val="21"/>
                <w:shd w:val="clear" w:fill="FFFFFF"/>
              </w:rPr>
              <w:t>"</w:t>
            </w:r>
            <w:r>
              <w:rPr>
                <w:rFonts w:hint="default" w:cs="Times New Roman"/>
                <w:color w:val="auto"/>
                <w:sz w:val="24"/>
                <w:szCs w:val="24"/>
                <w:lang w:val="en-US" w:eastAsia="zh-CN"/>
              </w:rPr>
              <w:t>，3</w:t>
            </w:r>
            <w:r>
              <w:rPr>
                <w:rFonts w:hint="eastAsia" w:cs="Times New Roman"/>
                <w:color w:val="auto"/>
                <w:sz w:val="24"/>
                <w:szCs w:val="24"/>
                <w:lang w:val="en-US" w:eastAsia="zh-CN"/>
              </w:rPr>
              <w:t>3</w:t>
            </w:r>
            <w:r>
              <w:rPr>
                <w:rFonts w:hint="default" w:cs="宋体"/>
                <w:i w:val="0"/>
                <w:iCs w:val="0"/>
                <w:caps w:val="0"/>
                <w:color w:val="auto"/>
                <w:spacing w:val="0"/>
                <w:sz w:val="21"/>
                <w:szCs w:val="21"/>
                <w:shd w:val="clear" w:fill="FFFFFF"/>
                <w:lang w:val="en-US" w:eastAsia="en-US"/>
              </w:rPr>
              <w:t>°</w:t>
            </w:r>
            <w:r>
              <w:rPr>
                <w:rFonts w:hint="eastAsia" w:cs="Times New Roman"/>
                <w:color w:val="auto"/>
                <w:sz w:val="24"/>
                <w:szCs w:val="24"/>
                <w:lang w:val="en-US" w:eastAsia="zh-CN"/>
              </w:rPr>
              <w:t>9</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4"/>
                <w:szCs w:val="24"/>
                <w:lang w:val="en-US" w:eastAsia="zh-CN"/>
              </w:rPr>
              <w:t>41.922</w:t>
            </w:r>
            <w:r>
              <w:rPr>
                <w:rFonts w:ascii="Times New Roman" w:hAnsi="Times New Roman" w:eastAsia="宋体" w:cs="宋体"/>
                <w:i w:val="0"/>
                <w:iCs w:val="0"/>
                <w:caps w:val="0"/>
                <w:color w:val="auto"/>
                <w:spacing w:val="0"/>
                <w:sz w:val="21"/>
                <w:szCs w:val="21"/>
                <w:shd w:val="clear" w:fill="FFFFFF"/>
              </w:rPr>
              <w:t>"</w:t>
            </w:r>
            <w:r>
              <w:rPr>
                <w:rFonts w:hint="eastAsia" w:cs="Times New Roman"/>
                <w:color w:val="auto"/>
                <w:sz w:val="24"/>
                <w:szCs w:val="24"/>
                <w:lang w:val="en-US" w:eastAsia="zh-CN"/>
              </w:rPr>
              <w:t>；终点坐标为</w:t>
            </w:r>
            <w:r>
              <w:rPr>
                <w:rFonts w:hint="default" w:cs="Times New Roman"/>
                <w:color w:val="auto"/>
                <w:sz w:val="24"/>
                <w:szCs w:val="24"/>
                <w:lang w:val="en-US" w:eastAsia="zh-CN"/>
              </w:rPr>
              <w:t>10</w:t>
            </w:r>
            <w:r>
              <w:rPr>
                <w:rFonts w:hint="eastAsia" w:cs="Times New Roman"/>
                <w:color w:val="auto"/>
                <w:sz w:val="24"/>
                <w:szCs w:val="24"/>
                <w:lang w:val="en-US" w:eastAsia="zh-CN"/>
              </w:rPr>
              <w:t>7</w:t>
            </w:r>
            <w:r>
              <w:rPr>
                <w:rFonts w:hint="default" w:cs="宋体"/>
                <w:i w:val="0"/>
                <w:iCs w:val="0"/>
                <w:caps w:val="0"/>
                <w:color w:val="auto"/>
                <w:spacing w:val="0"/>
                <w:sz w:val="21"/>
                <w:szCs w:val="21"/>
                <w:shd w:val="clear" w:fill="FFFFFF"/>
                <w:lang w:val="en-US" w:eastAsia="en-US"/>
              </w:rPr>
              <w:t>°</w:t>
            </w:r>
            <w:r>
              <w:rPr>
                <w:rFonts w:hint="eastAsia" w:cs="Times New Roman"/>
                <w:color w:val="auto"/>
                <w:sz w:val="24"/>
                <w:szCs w:val="24"/>
                <w:lang w:val="en-US" w:eastAsia="zh-CN"/>
              </w:rPr>
              <w:t>25</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4"/>
                <w:szCs w:val="24"/>
                <w:lang w:val="en-US" w:eastAsia="zh-CN"/>
              </w:rPr>
              <w:t>7.072</w:t>
            </w:r>
            <w:r>
              <w:rPr>
                <w:rFonts w:ascii="Times New Roman" w:hAnsi="Times New Roman" w:eastAsia="宋体" w:cs="宋体"/>
                <w:i w:val="0"/>
                <w:iCs w:val="0"/>
                <w:caps w:val="0"/>
                <w:color w:val="auto"/>
                <w:spacing w:val="0"/>
                <w:sz w:val="21"/>
                <w:szCs w:val="21"/>
                <w:shd w:val="clear" w:fill="FFFFFF"/>
              </w:rPr>
              <w:t>"</w:t>
            </w:r>
            <w:r>
              <w:rPr>
                <w:rFonts w:hint="default" w:cs="Times New Roman"/>
                <w:color w:val="auto"/>
                <w:sz w:val="24"/>
                <w:szCs w:val="24"/>
                <w:lang w:val="en-US" w:eastAsia="zh-CN"/>
              </w:rPr>
              <w:t>，3</w:t>
            </w:r>
            <w:r>
              <w:rPr>
                <w:rFonts w:hint="eastAsia" w:cs="Times New Roman"/>
                <w:color w:val="auto"/>
                <w:sz w:val="24"/>
                <w:szCs w:val="24"/>
                <w:lang w:val="en-US" w:eastAsia="zh-CN"/>
              </w:rPr>
              <w:t>3</w:t>
            </w:r>
            <w:r>
              <w:rPr>
                <w:rFonts w:hint="default" w:cs="宋体"/>
                <w:i w:val="0"/>
                <w:iCs w:val="0"/>
                <w:caps w:val="0"/>
                <w:color w:val="auto"/>
                <w:spacing w:val="0"/>
                <w:sz w:val="21"/>
                <w:szCs w:val="21"/>
                <w:shd w:val="clear" w:fill="FFFFFF"/>
                <w:lang w:val="en-US" w:eastAsia="en-US"/>
              </w:rPr>
              <w:t>°</w:t>
            </w:r>
            <w:r>
              <w:rPr>
                <w:rFonts w:hint="eastAsia" w:cs="Times New Roman"/>
                <w:color w:val="auto"/>
                <w:sz w:val="24"/>
                <w:szCs w:val="24"/>
                <w:lang w:val="en-US" w:eastAsia="zh-CN"/>
              </w:rPr>
              <w:t>9</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4"/>
                <w:szCs w:val="24"/>
                <w:lang w:val="en-US" w:eastAsia="zh-CN"/>
              </w:rPr>
              <w:t>28.172</w:t>
            </w:r>
            <w:r>
              <w:rPr>
                <w:rFonts w:ascii="Times New Roman" w:hAnsi="Times New Roman" w:eastAsia="宋体" w:cs="宋体"/>
                <w:i w:val="0"/>
                <w:iCs w:val="0"/>
                <w:caps w:val="0"/>
                <w:color w:val="auto"/>
                <w:spacing w:val="0"/>
                <w:sz w:val="21"/>
                <w:szCs w:val="21"/>
                <w:shd w:val="clear" w:fill="FFFFFF"/>
              </w:rPr>
              <w:t>"</w:t>
            </w:r>
            <w:r>
              <w:rPr>
                <w:rFonts w:hint="eastAsia" w:cs="Times New Roman"/>
                <w:color w:val="auto"/>
                <w:sz w:val="24"/>
                <w:szCs w:val="24"/>
                <w:lang w:val="en-US" w:eastAsia="zh-CN"/>
              </w:rPr>
              <w:t>。</w:t>
            </w:r>
          </w:p>
          <w:p w14:paraId="405A55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u w:val="none"/>
                <w:lang w:val="en-US" w:eastAsia="en-US"/>
              </w:rPr>
            </w:pPr>
            <w:r>
              <w:rPr>
                <w:rFonts w:hint="eastAsia" w:cs="Times New Roman"/>
                <w:color w:val="auto"/>
                <w:kern w:val="0"/>
                <w:sz w:val="24"/>
                <w:szCs w:val="24"/>
                <w:lang w:val="en-US" w:eastAsia="zh-CN" w:bidi="ar"/>
              </w:rPr>
              <w:t>工程</w:t>
            </w:r>
            <w:r>
              <w:rPr>
                <w:rFonts w:hint="default" w:ascii="Times New Roman" w:hAnsi="Times New Roman" w:eastAsia="宋体" w:cs="Times New Roman"/>
                <w:color w:val="auto"/>
                <w:kern w:val="0"/>
                <w:sz w:val="24"/>
                <w:szCs w:val="24"/>
                <w:lang w:val="en-US" w:eastAsia="zh-CN" w:bidi="ar"/>
              </w:rPr>
              <w:t>地理位置见附图1。</w:t>
            </w:r>
          </w:p>
          <w:p w14:paraId="354D71F9">
            <w:pPr>
              <w:pStyle w:val="5"/>
              <w:bidi w:val="0"/>
              <w:spacing w:line="240" w:lineRule="auto"/>
              <w:rPr>
                <w:rFonts w:hint="eastAsia" w:ascii="Times New Roman" w:hAnsi="Times New Roman" w:eastAsia="宋体" w:cs="宋体"/>
                <w:b/>
                <w:bCs/>
                <w:snapToGrid w:val="0"/>
                <w:color w:val="auto"/>
                <w:kern w:val="0"/>
                <w:sz w:val="21"/>
                <w:szCs w:val="21"/>
                <w:highlight w:val="none"/>
                <w:lang w:val="en-US" w:eastAsia="zh-CN" w:bidi="ar-SA"/>
              </w:rPr>
            </w:pPr>
            <w:r>
              <w:rPr>
                <w:rFonts w:ascii="Times New Roman" w:hAnsi="Times New Roman" w:eastAsia="宋体" w:cs="宋体"/>
                <w:b/>
                <w:bCs/>
                <w:snapToGrid w:val="0"/>
                <w:color w:val="auto"/>
                <w:spacing w:val="-2"/>
                <w:kern w:val="0"/>
                <w:sz w:val="21"/>
                <w:szCs w:val="21"/>
                <w:highlight w:val="none"/>
                <w:lang w:val="en-US" w:eastAsia="en-US" w:bidi="ar-SA"/>
              </w:rPr>
              <w:t>表</w:t>
            </w:r>
            <w:r>
              <w:rPr>
                <w:rFonts w:ascii="Times New Roman" w:hAnsi="Times New Roman" w:eastAsia="宋体" w:cs="Times New Roman"/>
                <w:b/>
                <w:bCs/>
                <w:snapToGrid w:val="0"/>
                <w:color w:val="auto"/>
                <w:spacing w:val="-2"/>
                <w:kern w:val="0"/>
                <w:sz w:val="21"/>
                <w:szCs w:val="21"/>
                <w:highlight w:val="none"/>
                <w:lang w:val="en-US" w:eastAsia="en-US" w:bidi="ar-SA"/>
              </w:rPr>
              <w:t>2-1</w:t>
            </w:r>
            <w:r>
              <w:rPr>
                <w:rFonts w:hint="eastAsia" w:cs="Times New Roman"/>
                <w:b/>
                <w:bCs/>
                <w:snapToGrid w:val="0"/>
                <w:color w:val="auto"/>
                <w:spacing w:val="-2"/>
                <w:kern w:val="0"/>
                <w:sz w:val="21"/>
                <w:szCs w:val="21"/>
                <w:highlight w:val="none"/>
                <w:lang w:val="en-US" w:eastAsia="zh-CN" w:bidi="ar-SA"/>
              </w:rPr>
              <w:t xml:space="preserve">  </w:t>
            </w:r>
            <w:r>
              <w:rPr>
                <w:rFonts w:ascii="Times New Roman" w:hAnsi="Times New Roman" w:eastAsia="宋体" w:cs="宋体"/>
                <w:b/>
                <w:bCs/>
                <w:snapToGrid w:val="0"/>
                <w:color w:val="auto"/>
                <w:spacing w:val="-2"/>
                <w:kern w:val="0"/>
                <w:sz w:val="21"/>
                <w:szCs w:val="21"/>
                <w:highlight w:val="none"/>
                <w:lang w:val="en-US" w:eastAsia="en-US" w:bidi="ar-SA"/>
              </w:rPr>
              <w:t>起点和终点位置及坐标</w:t>
            </w:r>
          </w:p>
          <w:p w14:paraId="645D0CD5">
            <w:pPr>
              <w:widowControl/>
              <w:kinsoku w:val="0"/>
              <w:autoSpaceDE w:val="0"/>
              <w:autoSpaceDN w:val="0"/>
              <w:adjustRightInd w:val="0"/>
              <w:snapToGrid w:val="0"/>
              <w:spacing w:line="22" w:lineRule="exact"/>
              <w:jc w:val="left"/>
              <w:textAlignment w:val="baseline"/>
              <w:rPr>
                <w:rFonts w:ascii="Times New Roman" w:hAnsi="Times New Roman" w:eastAsia="宋体" w:cs="Arial"/>
                <w:snapToGrid w:val="0"/>
                <w:color w:val="auto"/>
                <w:kern w:val="0"/>
                <w:szCs w:val="21"/>
                <w:lang w:eastAsia="en-US"/>
              </w:rPr>
            </w:pPr>
          </w:p>
          <w:tbl>
            <w:tblPr>
              <w:tblStyle w:val="39"/>
              <w:tblW w:w="8058"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2367"/>
              <w:gridCol w:w="2283"/>
              <w:gridCol w:w="1420"/>
            </w:tblGrid>
            <w:tr w14:paraId="4D179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exact"/>
              </w:trPr>
              <w:tc>
                <w:tcPr>
                  <w:tcW w:w="1233" w:type="pct"/>
                  <w:vAlign w:val="center"/>
                </w:tcPr>
                <w:p w14:paraId="195F7BAF">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ascii="Times New Roman" w:hAnsi="Times New Roman" w:eastAsia="宋体" w:cs="Times New Roman"/>
                      <w:snapToGrid w:val="0"/>
                      <w:color w:val="auto"/>
                      <w:kern w:val="0"/>
                      <w:sz w:val="21"/>
                      <w:szCs w:val="21"/>
                      <w:lang w:val="en-US" w:eastAsia="zh-CN" w:bidi="ar-SA"/>
                    </w:rPr>
                  </w:pPr>
                  <w:r>
                    <w:rPr>
                      <w:rFonts w:hint="eastAsia" w:cs="Times New Roman"/>
                      <w:snapToGrid w:val="0"/>
                      <w:color w:val="auto"/>
                      <w:kern w:val="0"/>
                      <w:sz w:val="21"/>
                      <w:szCs w:val="21"/>
                      <w:lang w:val="en-US" w:eastAsia="zh-CN" w:bidi="ar-SA"/>
                    </w:rPr>
                    <w:t>名称</w:t>
                  </w:r>
                </w:p>
              </w:tc>
              <w:tc>
                <w:tcPr>
                  <w:tcW w:w="1468" w:type="pct"/>
                  <w:vAlign w:val="center"/>
                </w:tcPr>
                <w:p w14:paraId="2EBAE6BB">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ascii="Times New Roman" w:hAnsi="Times New Roman" w:eastAsia="宋体" w:cs="Times New Roman"/>
                      <w:snapToGrid w:val="0"/>
                      <w:color w:val="auto"/>
                      <w:kern w:val="0"/>
                      <w:sz w:val="21"/>
                      <w:szCs w:val="21"/>
                      <w:lang w:val="en-US" w:eastAsia="en-US" w:bidi="ar-SA"/>
                    </w:rPr>
                  </w:pPr>
                  <w:r>
                    <w:rPr>
                      <w:rFonts w:ascii="Times New Roman" w:hAnsi="Times New Roman" w:eastAsia="宋体" w:cs="Times New Roman"/>
                      <w:snapToGrid w:val="0"/>
                      <w:color w:val="auto"/>
                      <w:spacing w:val="7"/>
                      <w:kern w:val="0"/>
                      <w:sz w:val="21"/>
                      <w:szCs w:val="21"/>
                      <w:lang w:val="en-US" w:eastAsia="en-US" w:bidi="ar-SA"/>
                    </w:rPr>
                    <w:t>起点坐标</w:t>
                  </w:r>
                </w:p>
              </w:tc>
              <w:tc>
                <w:tcPr>
                  <w:tcW w:w="1416" w:type="pct"/>
                  <w:vAlign w:val="center"/>
                </w:tcPr>
                <w:p w14:paraId="4F2D03AC">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ascii="Times New Roman" w:hAnsi="Times New Roman" w:eastAsia="宋体" w:cs="Times New Roman"/>
                      <w:snapToGrid w:val="0"/>
                      <w:color w:val="auto"/>
                      <w:kern w:val="0"/>
                      <w:sz w:val="21"/>
                      <w:szCs w:val="21"/>
                      <w:lang w:val="en-US" w:eastAsia="en-US" w:bidi="ar-SA"/>
                    </w:rPr>
                  </w:pPr>
                  <w:r>
                    <w:rPr>
                      <w:rFonts w:ascii="Times New Roman" w:hAnsi="Times New Roman" w:eastAsia="宋体" w:cs="Times New Roman"/>
                      <w:snapToGrid w:val="0"/>
                      <w:color w:val="auto"/>
                      <w:spacing w:val="6"/>
                      <w:kern w:val="0"/>
                      <w:sz w:val="21"/>
                      <w:szCs w:val="21"/>
                      <w:lang w:val="en-US" w:eastAsia="en-US" w:bidi="ar-SA"/>
                    </w:rPr>
                    <w:t>终点坐标</w:t>
                  </w:r>
                </w:p>
              </w:tc>
              <w:tc>
                <w:tcPr>
                  <w:tcW w:w="881" w:type="pct"/>
                  <w:vAlign w:val="center"/>
                </w:tcPr>
                <w:p w14:paraId="286FD457">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ascii="Times New Roman" w:hAnsi="Times New Roman" w:eastAsia="宋体" w:cs="Times New Roman"/>
                      <w:snapToGrid w:val="0"/>
                      <w:color w:val="auto"/>
                      <w:kern w:val="0"/>
                      <w:sz w:val="21"/>
                      <w:szCs w:val="21"/>
                      <w:lang w:val="en-US" w:eastAsia="en-US" w:bidi="ar-SA"/>
                    </w:rPr>
                  </w:pPr>
                  <w:r>
                    <w:rPr>
                      <w:rFonts w:ascii="Times New Roman" w:hAnsi="Times New Roman" w:eastAsia="宋体" w:cs="Times New Roman"/>
                      <w:snapToGrid w:val="0"/>
                      <w:color w:val="auto"/>
                      <w:spacing w:val="6"/>
                      <w:kern w:val="0"/>
                      <w:sz w:val="21"/>
                      <w:szCs w:val="21"/>
                      <w:lang w:val="en-US" w:eastAsia="en-US" w:bidi="ar-SA"/>
                    </w:rPr>
                    <w:t>长</w:t>
                  </w:r>
                  <w:r>
                    <w:rPr>
                      <w:rFonts w:ascii="Times New Roman" w:hAnsi="Times New Roman" w:eastAsia="宋体" w:cs="Times New Roman"/>
                      <w:snapToGrid w:val="0"/>
                      <w:color w:val="auto"/>
                      <w:spacing w:val="3"/>
                      <w:kern w:val="0"/>
                      <w:position w:val="1"/>
                      <w:sz w:val="21"/>
                      <w:szCs w:val="21"/>
                      <w:lang w:val="en-US" w:eastAsia="en-US" w:bidi="ar-SA"/>
                    </w:rPr>
                    <w:t>度/m</w:t>
                  </w:r>
                </w:p>
              </w:tc>
            </w:tr>
            <w:tr w14:paraId="2B589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exact"/>
              </w:trPr>
              <w:tc>
                <w:tcPr>
                  <w:tcW w:w="1233" w:type="pct"/>
                  <w:tcBorders>
                    <w:top w:val="single" w:color="auto" w:sz="4" w:space="0"/>
                  </w:tcBorders>
                  <w:vAlign w:val="center"/>
                </w:tcPr>
                <w:p w14:paraId="592E1098">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napToGrid w:val="0"/>
                      <w:color w:val="auto"/>
                      <w:kern w:val="0"/>
                      <w:sz w:val="21"/>
                      <w:szCs w:val="21"/>
                      <w:lang w:val="en-US" w:eastAsia="en-US" w:bidi="ar-SA"/>
                    </w:rPr>
                  </w:pPr>
                  <w:r>
                    <w:rPr>
                      <w:rFonts w:hint="eastAsia" w:cs="Times New Roman"/>
                      <w:color w:val="auto"/>
                      <w:sz w:val="21"/>
                      <w:szCs w:val="21"/>
                      <w:lang w:val="en-US" w:eastAsia="zh-CN"/>
                    </w:rPr>
                    <w:t>阳安线上行K155+746汉江3号桥</w:t>
                  </w:r>
                </w:p>
              </w:tc>
              <w:tc>
                <w:tcPr>
                  <w:tcW w:w="1468" w:type="pct"/>
                  <w:vAlign w:val="center"/>
                </w:tcPr>
                <w:p w14:paraId="05070766">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宋体"/>
                      <w:i w:val="0"/>
                      <w:iCs w:val="0"/>
                      <w:caps w:val="0"/>
                      <w:color w:val="auto"/>
                      <w:spacing w:val="0"/>
                      <w:sz w:val="21"/>
                      <w:szCs w:val="21"/>
                      <w:shd w:val="clear" w:fill="FFFFFF"/>
                      <w:lang w:val="en-US" w:eastAsia="zh-CN"/>
                    </w:rPr>
                  </w:pPr>
                  <w:r>
                    <w:rPr>
                      <w:rFonts w:hint="default" w:cs="Times New Roman"/>
                      <w:color w:val="auto"/>
                      <w:sz w:val="21"/>
                      <w:szCs w:val="21"/>
                      <w:lang w:val="en-US" w:eastAsia="zh-CN"/>
                    </w:rPr>
                    <w:t>10</w:t>
                  </w:r>
                  <w:r>
                    <w:rPr>
                      <w:rFonts w:hint="eastAsia" w:cs="Times New Roman"/>
                      <w:color w:val="auto"/>
                      <w:sz w:val="21"/>
                      <w:szCs w:val="21"/>
                      <w:lang w:val="en-US" w:eastAsia="zh-CN"/>
                    </w:rPr>
                    <w:t>7</w:t>
                  </w:r>
                  <w:r>
                    <w:rPr>
                      <w:rFonts w:hint="default" w:cs="宋体"/>
                      <w:i w:val="0"/>
                      <w:iCs w:val="0"/>
                      <w:caps w:val="0"/>
                      <w:color w:val="auto"/>
                      <w:spacing w:val="0"/>
                      <w:sz w:val="21"/>
                      <w:szCs w:val="21"/>
                      <w:shd w:val="clear" w:fill="FFFFFF"/>
                      <w:lang w:val="en-US" w:eastAsia="en-US"/>
                    </w:rPr>
                    <w:t>°</w:t>
                  </w:r>
                  <w:r>
                    <w:rPr>
                      <w:rFonts w:hint="eastAsia" w:cs="Times New Roman"/>
                      <w:color w:val="auto"/>
                      <w:sz w:val="21"/>
                      <w:szCs w:val="21"/>
                      <w:lang w:val="en-US" w:eastAsia="zh-CN"/>
                    </w:rPr>
                    <w:t>24</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1"/>
                      <w:szCs w:val="21"/>
                      <w:lang w:val="en-US" w:eastAsia="zh-CN"/>
                    </w:rPr>
                    <w:t>44.671</w:t>
                  </w:r>
                  <w:r>
                    <w:rPr>
                      <w:rFonts w:ascii="Times New Roman" w:hAnsi="Times New Roman" w:eastAsia="宋体" w:cs="宋体"/>
                      <w:i w:val="0"/>
                      <w:iCs w:val="0"/>
                      <w:caps w:val="0"/>
                      <w:color w:val="auto"/>
                      <w:spacing w:val="0"/>
                      <w:sz w:val="21"/>
                      <w:szCs w:val="21"/>
                      <w:shd w:val="clear" w:fill="FFFFFF"/>
                    </w:rPr>
                    <w:t>"</w:t>
                  </w:r>
                  <w:r>
                    <w:rPr>
                      <w:rFonts w:hint="default" w:cs="Times New Roman"/>
                      <w:color w:val="auto"/>
                      <w:sz w:val="21"/>
                      <w:szCs w:val="21"/>
                      <w:lang w:val="en-US" w:eastAsia="zh-CN"/>
                    </w:rPr>
                    <w:t>，3</w:t>
                  </w:r>
                  <w:r>
                    <w:rPr>
                      <w:rFonts w:hint="eastAsia" w:cs="Times New Roman"/>
                      <w:color w:val="auto"/>
                      <w:sz w:val="21"/>
                      <w:szCs w:val="21"/>
                      <w:lang w:val="en-US" w:eastAsia="zh-CN"/>
                    </w:rPr>
                    <w:t>3</w:t>
                  </w:r>
                  <w:r>
                    <w:rPr>
                      <w:rFonts w:hint="default" w:cs="宋体"/>
                      <w:i w:val="0"/>
                      <w:iCs w:val="0"/>
                      <w:caps w:val="0"/>
                      <w:color w:val="auto"/>
                      <w:spacing w:val="0"/>
                      <w:sz w:val="21"/>
                      <w:szCs w:val="21"/>
                      <w:shd w:val="clear" w:fill="FFFFFF"/>
                      <w:lang w:val="en-US" w:eastAsia="en-US"/>
                    </w:rPr>
                    <w:t>°</w:t>
                  </w:r>
                  <w:r>
                    <w:rPr>
                      <w:rFonts w:hint="eastAsia" w:cs="Times New Roman"/>
                      <w:color w:val="auto"/>
                      <w:sz w:val="21"/>
                      <w:szCs w:val="21"/>
                      <w:lang w:val="en-US" w:eastAsia="zh-CN"/>
                    </w:rPr>
                    <w:t>9</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1"/>
                      <w:szCs w:val="21"/>
                      <w:lang w:val="en-US" w:eastAsia="zh-CN"/>
                    </w:rPr>
                    <w:t>41.922</w:t>
                  </w:r>
                  <w:r>
                    <w:rPr>
                      <w:rFonts w:ascii="Times New Roman" w:hAnsi="Times New Roman" w:eastAsia="宋体" w:cs="宋体"/>
                      <w:i w:val="0"/>
                      <w:iCs w:val="0"/>
                      <w:caps w:val="0"/>
                      <w:color w:val="auto"/>
                      <w:spacing w:val="0"/>
                      <w:sz w:val="21"/>
                      <w:szCs w:val="21"/>
                      <w:shd w:val="clear" w:fill="FFFFFF"/>
                    </w:rPr>
                    <w:t>"</w:t>
                  </w:r>
                </w:p>
              </w:tc>
              <w:tc>
                <w:tcPr>
                  <w:tcW w:w="1416" w:type="pct"/>
                  <w:vAlign w:val="center"/>
                </w:tcPr>
                <w:p w14:paraId="04F56E54">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宋体"/>
                      <w:i w:val="0"/>
                      <w:iCs w:val="0"/>
                      <w:caps w:val="0"/>
                      <w:color w:val="auto"/>
                      <w:spacing w:val="0"/>
                      <w:sz w:val="21"/>
                      <w:szCs w:val="21"/>
                      <w:shd w:val="clear" w:fill="FFFFFF"/>
                      <w:lang w:val="en-US" w:eastAsia="zh-CN"/>
                    </w:rPr>
                  </w:pPr>
                  <w:r>
                    <w:rPr>
                      <w:rFonts w:hint="default" w:cs="Times New Roman"/>
                      <w:color w:val="auto"/>
                      <w:sz w:val="21"/>
                      <w:szCs w:val="21"/>
                      <w:lang w:val="en-US" w:eastAsia="zh-CN"/>
                    </w:rPr>
                    <w:t>10</w:t>
                  </w:r>
                  <w:r>
                    <w:rPr>
                      <w:rFonts w:hint="eastAsia" w:cs="Times New Roman"/>
                      <w:color w:val="auto"/>
                      <w:sz w:val="21"/>
                      <w:szCs w:val="21"/>
                      <w:lang w:val="en-US" w:eastAsia="zh-CN"/>
                    </w:rPr>
                    <w:t>7</w:t>
                  </w:r>
                  <w:r>
                    <w:rPr>
                      <w:rFonts w:hint="default" w:cs="宋体"/>
                      <w:i w:val="0"/>
                      <w:iCs w:val="0"/>
                      <w:caps w:val="0"/>
                      <w:color w:val="auto"/>
                      <w:spacing w:val="0"/>
                      <w:sz w:val="21"/>
                      <w:szCs w:val="21"/>
                      <w:shd w:val="clear" w:fill="FFFFFF"/>
                      <w:lang w:val="en-US" w:eastAsia="en-US"/>
                    </w:rPr>
                    <w:t>°</w:t>
                  </w:r>
                  <w:r>
                    <w:rPr>
                      <w:rFonts w:hint="eastAsia" w:cs="Times New Roman"/>
                      <w:color w:val="auto"/>
                      <w:sz w:val="21"/>
                      <w:szCs w:val="21"/>
                      <w:lang w:val="en-US" w:eastAsia="zh-CN"/>
                    </w:rPr>
                    <w:t>25</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1"/>
                      <w:szCs w:val="21"/>
                      <w:lang w:val="en-US" w:eastAsia="zh-CN"/>
                    </w:rPr>
                    <w:t>7.072</w:t>
                  </w:r>
                  <w:r>
                    <w:rPr>
                      <w:rFonts w:ascii="Times New Roman" w:hAnsi="Times New Roman" w:eastAsia="宋体" w:cs="宋体"/>
                      <w:i w:val="0"/>
                      <w:iCs w:val="0"/>
                      <w:caps w:val="0"/>
                      <w:color w:val="auto"/>
                      <w:spacing w:val="0"/>
                      <w:sz w:val="21"/>
                      <w:szCs w:val="21"/>
                      <w:shd w:val="clear" w:fill="FFFFFF"/>
                    </w:rPr>
                    <w:t>"</w:t>
                  </w:r>
                  <w:r>
                    <w:rPr>
                      <w:rFonts w:hint="default" w:cs="Times New Roman"/>
                      <w:color w:val="auto"/>
                      <w:sz w:val="21"/>
                      <w:szCs w:val="21"/>
                      <w:lang w:val="en-US" w:eastAsia="zh-CN"/>
                    </w:rPr>
                    <w:t>，3</w:t>
                  </w:r>
                  <w:r>
                    <w:rPr>
                      <w:rFonts w:hint="eastAsia" w:cs="Times New Roman"/>
                      <w:color w:val="auto"/>
                      <w:sz w:val="21"/>
                      <w:szCs w:val="21"/>
                      <w:lang w:val="en-US" w:eastAsia="zh-CN"/>
                    </w:rPr>
                    <w:t>3</w:t>
                  </w:r>
                  <w:r>
                    <w:rPr>
                      <w:rFonts w:hint="default" w:cs="宋体"/>
                      <w:i w:val="0"/>
                      <w:iCs w:val="0"/>
                      <w:caps w:val="0"/>
                      <w:color w:val="auto"/>
                      <w:spacing w:val="0"/>
                      <w:sz w:val="21"/>
                      <w:szCs w:val="21"/>
                      <w:shd w:val="clear" w:fill="FFFFFF"/>
                      <w:lang w:val="en-US" w:eastAsia="en-US"/>
                    </w:rPr>
                    <w:t>°</w:t>
                  </w:r>
                  <w:r>
                    <w:rPr>
                      <w:rFonts w:hint="eastAsia" w:cs="Times New Roman"/>
                      <w:color w:val="auto"/>
                      <w:sz w:val="21"/>
                      <w:szCs w:val="21"/>
                      <w:lang w:val="en-US" w:eastAsia="zh-CN"/>
                    </w:rPr>
                    <w:t>9</w:t>
                  </w:r>
                  <w:r>
                    <w:rPr>
                      <w:rFonts w:ascii="Times New Roman" w:hAnsi="Times New Roman" w:eastAsia="宋体" w:cs="宋体"/>
                      <w:i w:val="0"/>
                      <w:iCs w:val="0"/>
                      <w:caps w:val="0"/>
                      <w:color w:val="auto"/>
                      <w:spacing w:val="0"/>
                      <w:sz w:val="21"/>
                      <w:szCs w:val="21"/>
                      <w:highlight w:val="none"/>
                      <w:shd w:val="clear" w:fill="FFFFFF"/>
                    </w:rPr>
                    <w:t>'</w:t>
                  </w:r>
                  <w:r>
                    <w:rPr>
                      <w:rFonts w:hint="eastAsia" w:cs="Times New Roman"/>
                      <w:color w:val="auto"/>
                      <w:sz w:val="21"/>
                      <w:szCs w:val="21"/>
                      <w:lang w:val="en-US" w:eastAsia="zh-CN"/>
                    </w:rPr>
                    <w:t>28.172</w:t>
                  </w:r>
                  <w:r>
                    <w:rPr>
                      <w:rFonts w:ascii="Times New Roman" w:hAnsi="Times New Roman" w:eastAsia="宋体" w:cs="宋体"/>
                      <w:i w:val="0"/>
                      <w:iCs w:val="0"/>
                      <w:caps w:val="0"/>
                      <w:color w:val="auto"/>
                      <w:spacing w:val="0"/>
                      <w:sz w:val="21"/>
                      <w:szCs w:val="21"/>
                      <w:shd w:val="clear" w:fill="FFFFFF"/>
                    </w:rPr>
                    <w:t>"</w:t>
                  </w:r>
                </w:p>
              </w:tc>
              <w:tc>
                <w:tcPr>
                  <w:tcW w:w="881" w:type="pct"/>
                  <w:vAlign w:val="center"/>
                </w:tcPr>
                <w:p w14:paraId="0CB8642D">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宋体"/>
                      <w:i w:val="0"/>
                      <w:iCs w:val="0"/>
                      <w:caps w:val="0"/>
                      <w:color w:val="auto"/>
                      <w:spacing w:val="0"/>
                      <w:sz w:val="21"/>
                      <w:szCs w:val="21"/>
                      <w:shd w:val="clear" w:fill="FFFFFF"/>
                      <w:lang w:val="en-US" w:eastAsia="zh-CN"/>
                    </w:rPr>
                  </w:pPr>
                  <w:r>
                    <w:rPr>
                      <w:rFonts w:hint="eastAsia" w:cs="宋体"/>
                      <w:i w:val="0"/>
                      <w:iCs w:val="0"/>
                      <w:caps w:val="0"/>
                      <w:color w:val="auto"/>
                      <w:spacing w:val="0"/>
                      <w:sz w:val="21"/>
                      <w:szCs w:val="21"/>
                      <w:shd w:val="clear" w:fill="FFFFFF"/>
                      <w:lang w:val="en-US" w:eastAsia="zh-CN"/>
                    </w:rPr>
                    <w:t>737</w:t>
                  </w:r>
                </w:p>
              </w:tc>
            </w:tr>
          </w:tbl>
          <w:p w14:paraId="12E5619C">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auto"/>
              <w:rPr>
                <w:rFonts w:hint="default" w:ascii="宋体" w:hAnsi="宋体" w:cs="宋体"/>
                <w:bCs/>
                <w:color w:val="auto"/>
                <w:szCs w:val="21"/>
                <w:lang w:val="en-US"/>
              </w:rPr>
            </w:pPr>
          </w:p>
        </w:tc>
      </w:tr>
      <w:tr w14:paraId="3DD52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14:paraId="387F52C1">
            <w:pPr>
              <w:pStyle w:val="18"/>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rPr>
                <w:rFonts w:hint="default" w:cs="宋体"/>
                <w:color w:val="auto"/>
                <w:szCs w:val="24"/>
                <w:lang w:val="en-US" w:eastAsia="zh-CN"/>
              </w:rPr>
            </w:pPr>
            <w:r>
              <w:rPr>
                <w:rFonts w:hint="eastAsia" w:cs="宋体"/>
                <w:color w:val="auto"/>
                <w:szCs w:val="24"/>
                <w:lang w:val="en-US" w:eastAsia="zh-CN"/>
              </w:rPr>
              <w:t>项目组成及规模</w:t>
            </w:r>
          </w:p>
        </w:tc>
        <w:tc>
          <w:tcPr>
            <w:tcW w:w="4599" w:type="pct"/>
            <w:noWrap w:val="0"/>
            <w:vAlign w:val="top"/>
          </w:tcPr>
          <w:p w14:paraId="32063B3D">
            <w:pPr>
              <w:spacing w:line="360" w:lineRule="auto"/>
              <w:rPr>
                <w:rFonts w:hint="eastAsia" w:cs="Times New Roman"/>
                <w:color w:val="auto"/>
                <w:sz w:val="24"/>
                <w:szCs w:val="24"/>
                <w:lang w:val="en-US" w:eastAsia="zh-CN"/>
              </w:rPr>
            </w:pPr>
            <w:r>
              <w:rPr>
                <w:rFonts w:hint="eastAsia" w:cs="Times New Roman"/>
                <w:color w:val="auto"/>
                <w:sz w:val="24"/>
                <w:szCs w:val="24"/>
                <w:lang w:val="en-US" w:eastAsia="zh-CN"/>
              </w:rPr>
              <w:t>1、工程建设背景</w:t>
            </w:r>
          </w:p>
          <w:p w14:paraId="1110DDC0">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（1）项目由来</w:t>
            </w:r>
          </w:p>
          <w:p w14:paraId="4AA6E99E">
            <w:pPr>
              <w:spacing w:line="360" w:lineRule="auto"/>
              <w:ind w:firstLine="480" w:firstLineChars="200"/>
              <w:rPr>
                <w:rFonts w:hint="eastAsia" w:cs="Times New Roman"/>
                <w:color w:val="auto"/>
                <w:sz w:val="24"/>
                <w:szCs w:val="24"/>
                <w:lang w:val="en-US" w:eastAsia="zh-CN"/>
              </w:rPr>
            </w:pPr>
            <w:r>
              <w:rPr>
                <w:rFonts w:hint="default" w:cs="Times New Roman"/>
                <w:color w:val="auto"/>
                <w:sz w:val="24"/>
                <w:szCs w:val="24"/>
                <w:lang w:val="en-US" w:eastAsia="zh-CN"/>
              </w:rPr>
              <w:t>阳安线上行线汉江3号桥</w:t>
            </w:r>
            <w:r>
              <w:rPr>
                <w:rFonts w:hint="eastAsia" w:cs="Times New Roman"/>
                <w:color w:val="auto"/>
                <w:sz w:val="24"/>
                <w:szCs w:val="24"/>
                <w:lang w:val="en-US" w:eastAsia="zh-CN"/>
              </w:rPr>
              <w:t>设计中心里程K155+746，孔跨22~31.7m预应力钢筋混凝土T形，全长737.1m。桥横跨汉江而设，从左岸（阳平关方向）向右岸（安康方向）第2~20孔为主要的过洪河道，2~19号墩为过水墩，其中1、2、8、9、10、21号桥墩基础形式原为沉井基础，后整治采用桩基托换，其余3~7、11~20号桥墩基础均为沉井基础。</w:t>
            </w:r>
          </w:p>
          <w:p w14:paraId="08ADC5DA">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桥梁部采用预应力混凝土T梁，设计荷载采用“中-26级”。固定支座设于安康端，采用摇轴支座。桥墩采用圆形实体墩、沉井基础、桩基础及明挖扩大基础。2-21号墩为沉井基础，沉井高10~13m，埋深10~11m，沉井基础直径6.2m~6.5m。基底为粗砂、砂夹卵砾。</w:t>
            </w:r>
          </w:p>
          <w:p w14:paraId="1095B5FA">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由于线路开通年代久远，河床连年下切，墩周局部地形冲刷明显。根据行洪桥检算评估报告，3~7、11~20号桥墩基础经检算冲刷后基础埋置深度均不满足《普速铁路桥隧建筑物修理规则》第五节第2.5.1条基底埋置深度的要求，对应基础埋置深度劣化等级为A1级及AA级。根据《普速铁路桥隧建筑物修理规则》，3~7、11~20号桥墩为浅基，应进行防护、加固或改建，因此中国铁路西安局集团有限公司工务部计划实施阳安线上行K155+746汉江3号桥基础冲刷病害整治工程。</w:t>
            </w:r>
          </w:p>
          <w:p w14:paraId="6280FDDF">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（2）判定依据</w:t>
            </w:r>
          </w:p>
          <w:p w14:paraId="5911A742">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本项目主要建设内容为对3~7、11~20号桥墩基础采用桩基托换的整治措施，根据《中华人民共和国环境影响评价法》《建设项目环境保护管理条例》及《建设项目环境影响评价分类管理名录》（2021版）等环境保护管理规定，本项目属于“五十二、交通运输业、管道运输业-133、改建铁路-其他”，应编制环境影响报告表。为此，中国铁路西安局集团有限公司于2026年4月委托我公司承担该工程环境影响评价工作。我公司接受委托后，对工程现场进行了踏勘和资料收集，在对工程分析的基础上，按照《建设项目环境影响报告表编制技术指南（生态影响类）（试行）》等相关技术规范编制完成了本工程环境影响报告表。</w:t>
            </w:r>
          </w:p>
          <w:p w14:paraId="5FF46633">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2、工程基本情况</w:t>
            </w:r>
          </w:p>
          <w:p w14:paraId="156974E1">
            <w:pPr>
              <w:spacing w:line="360" w:lineRule="auto"/>
              <w:ind w:firstLine="480" w:firstLineChars="200"/>
              <w:rPr>
                <w:rFonts w:hint="eastAsia" w:cs="Times New Roman"/>
                <w:color w:val="auto"/>
                <w:sz w:val="24"/>
                <w:szCs w:val="24"/>
                <w:lang w:val="en-US" w:eastAsia="zh-CN"/>
              </w:rPr>
            </w:pPr>
            <w:r>
              <w:rPr>
                <w:rFonts w:hint="default" w:cs="Times New Roman"/>
                <w:color w:val="auto"/>
                <w:sz w:val="24"/>
                <w:szCs w:val="24"/>
                <w:lang w:val="en-US" w:eastAsia="zh-CN"/>
              </w:rPr>
              <w:t>项目名称：</w:t>
            </w:r>
            <w:r>
              <w:rPr>
                <w:rFonts w:hint="eastAsia" w:cs="Times New Roman"/>
                <w:color w:val="auto"/>
                <w:sz w:val="24"/>
                <w:szCs w:val="24"/>
                <w:lang w:val="en-US" w:eastAsia="zh-CN"/>
              </w:rPr>
              <w:t>阳安线上行K155+746汉江3号桥基础冲刷病害整治工程</w:t>
            </w:r>
          </w:p>
          <w:p w14:paraId="1299D580">
            <w:pPr>
              <w:spacing w:line="360" w:lineRule="auto"/>
              <w:ind w:firstLine="480" w:firstLineChars="200"/>
              <w:rPr>
                <w:rFonts w:hint="eastAsia" w:cs="Times New Roman"/>
                <w:color w:val="FF0000"/>
                <w:sz w:val="24"/>
                <w:szCs w:val="24"/>
                <w:lang w:val="en-US" w:eastAsia="zh-CN"/>
              </w:rPr>
            </w:pPr>
            <w:r>
              <w:rPr>
                <w:rFonts w:hint="default" w:cs="Times New Roman"/>
                <w:color w:val="auto"/>
                <w:sz w:val="24"/>
                <w:szCs w:val="24"/>
                <w:lang w:val="en-US" w:eastAsia="zh-CN"/>
              </w:rPr>
              <w:t>建设单位：</w:t>
            </w:r>
            <w:r>
              <w:rPr>
                <w:rFonts w:hint="eastAsia" w:cs="Times New Roman"/>
                <w:color w:val="auto"/>
                <w:sz w:val="24"/>
                <w:szCs w:val="24"/>
                <w:lang w:val="en-US" w:eastAsia="zh-CN"/>
              </w:rPr>
              <w:t>中国铁路西安局集团有限公司</w:t>
            </w:r>
          </w:p>
          <w:p w14:paraId="5EA14C4A">
            <w:pPr>
              <w:spacing w:line="360" w:lineRule="auto"/>
              <w:ind w:firstLine="480" w:firstLineChars="200"/>
              <w:rPr>
                <w:rFonts w:hint="default" w:cs="Times New Roman"/>
                <w:color w:val="auto"/>
                <w:sz w:val="24"/>
                <w:szCs w:val="24"/>
                <w:lang w:val="en-US" w:eastAsia="zh-CN"/>
              </w:rPr>
            </w:pPr>
            <w:r>
              <w:rPr>
                <w:rFonts w:hint="default" w:cs="Times New Roman"/>
                <w:color w:val="auto"/>
                <w:sz w:val="24"/>
                <w:szCs w:val="24"/>
                <w:lang w:val="en-US" w:eastAsia="zh-CN"/>
              </w:rPr>
              <w:t>建设地点：</w:t>
            </w:r>
            <w:r>
              <w:rPr>
                <w:rFonts w:hint="eastAsia" w:cs="Times New Roman"/>
                <w:color w:val="auto"/>
                <w:sz w:val="24"/>
                <w:szCs w:val="24"/>
                <w:lang w:val="en-US" w:eastAsia="zh-CN"/>
              </w:rPr>
              <w:t>汉中市洋县谢村镇海莲村</w:t>
            </w:r>
          </w:p>
          <w:p w14:paraId="1B41431C">
            <w:pPr>
              <w:spacing w:line="360" w:lineRule="auto"/>
              <w:ind w:firstLine="480" w:firstLineChars="200"/>
              <w:rPr>
                <w:rFonts w:hint="eastAsia" w:cs="Times New Roman"/>
                <w:color w:val="auto"/>
                <w:sz w:val="24"/>
                <w:szCs w:val="24"/>
                <w:lang w:val="en-US" w:eastAsia="zh-CN"/>
              </w:rPr>
            </w:pPr>
            <w:r>
              <w:rPr>
                <w:rFonts w:hint="default" w:cs="Times New Roman"/>
                <w:color w:val="auto"/>
                <w:sz w:val="24"/>
                <w:szCs w:val="24"/>
                <w:lang w:val="en-US" w:eastAsia="zh-CN"/>
              </w:rPr>
              <w:t>建设性质：</w:t>
            </w:r>
            <w:r>
              <w:rPr>
                <w:rFonts w:hint="eastAsia" w:cs="Times New Roman"/>
                <w:color w:val="auto"/>
                <w:sz w:val="24"/>
                <w:szCs w:val="24"/>
                <w:lang w:val="en-US" w:eastAsia="zh-CN"/>
              </w:rPr>
              <w:t>改建</w:t>
            </w:r>
          </w:p>
          <w:p w14:paraId="56750DE7">
            <w:pPr>
              <w:spacing w:line="360" w:lineRule="auto"/>
              <w:ind w:firstLine="480" w:firstLineChars="200"/>
              <w:rPr>
                <w:rFonts w:hint="default" w:cs="Times New Roman"/>
                <w:color w:val="auto"/>
                <w:sz w:val="24"/>
                <w:szCs w:val="24"/>
                <w:lang w:val="en-US" w:eastAsia="zh-CN"/>
              </w:rPr>
            </w:pPr>
            <w:r>
              <w:rPr>
                <w:rFonts w:hint="default" w:cs="Times New Roman"/>
                <w:color w:val="auto"/>
                <w:sz w:val="24"/>
                <w:szCs w:val="24"/>
                <w:lang w:val="en-US" w:eastAsia="zh-CN"/>
              </w:rPr>
              <w:t>工程投资：</w:t>
            </w:r>
            <w:r>
              <w:rPr>
                <w:rFonts w:hint="eastAsia" w:cs="Times New Roman"/>
                <w:color w:val="auto"/>
                <w:sz w:val="24"/>
                <w:szCs w:val="24"/>
                <w:lang w:val="en-US" w:eastAsia="zh-CN"/>
              </w:rPr>
              <w:t>根据本工程可行性研究设计说明，工程概算</w:t>
            </w:r>
            <w:r>
              <w:rPr>
                <w:rFonts w:hint="default" w:cs="Times New Roman"/>
                <w:color w:val="auto"/>
                <w:sz w:val="24"/>
                <w:szCs w:val="24"/>
                <w:lang w:val="en-US" w:eastAsia="zh-CN"/>
              </w:rPr>
              <w:t>总投资</w:t>
            </w:r>
            <w:r>
              <w:rPr>
                <w:rFonts w:hint="eastAsia" w:cs="Times New Roman"/>
                <w:color w:val="auto"/>
                <w:sz w:val="24"/>
                <w:szCs w:val="24"/>
                <w:lang w:val="en-US" w:eastAsia="zh-CN"/>
              </w:rPr>
              <w:t>2510.0</w:t>
            </w:r>
            <w:r>
              <w:rPr>
                <w:rFonts w:hint="default" w:cs="Times New Roman"/>
                <w:color w:val="auto"/>
                <w:sz w:val="24"/>
                <w:szCs w:val="24"/>
                <w:lang w:val="en-US" w:eastAsia="zh-CN"/>
              </w:rPr>
              <w:t>万元</w:t>
            </w:r>
            <w:r>
              <w:rPr>
                <w:rFonts w:hint="eastAsia" w:cs="Times New Roman"/>
                <w:color w:val="auto"/>
                <w:sz w:val="24"/>
                <w:szCs w:val="24"/>
                <w:lang w:val="en-US" w:eastAsia="zh-CN"/>
              </w:rPr>
              <w:t>，其中环保投资44.5万元</w:t>
            </w:r>
            <w:r>
              <w:rPr>
                <w:rFonts w:hint="default" w:cs="Times New Roman"/>
                <w:color w:val="auto"/>
                <w:sz w:val="24"/>
                <w:szCs w:val="24"/>
                <w:lang w:val="en-US" w:eastAsia="zh-CN"/>
              </w:rPr>
              <w:t>。</w:t>
            </w:r>
          </w:p>
          <w:p w14:paraId="6F73CCBC">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3、主要建设内容</w:t>
            </w:r>
          </w:p>
          <w:p w14:paraId="1CE4CE1D">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阳安线上行K155+746汉江3号桥基础冲刷病害整治工程主要建设内容为：对3~7、11~20号桥墩基础进行病害整治，共整治桥墩15座，整治措施为在每座沉井周围施工6根直径1.25m桩基，桩基边缘至沉井边缘按50cm控制，承台采用圆环型承台，高度2.0m，在沉井周围植筋连成一体。为使桥墩力传递到承台桩基，在承台顶以上2m设置加台，加台部分沉井（或墩底）范围植筋，承台、加台及墩身连成一体。</w:t>
            </w:r>
          </w:p>
          <w:p w14:paraId="483B4506">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增设承台厚2.0m，承台顶高度：水中墩不高于勘测常水位，河滩范围桥墩不高于河床面。承台圆环型外缘直径10.8~11.0m，采用C35钢筋混凝土。</w:t>
            </w:r>
          </w:p>
          <w:p w14:paraId="3B5309ED">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具体建设内容详见表2-2。</w:t>
            </w:r>
          </w:p>
          <w:p w14:paraId="09E4D11C">
            <w:pPr>
              <w:pStyle w:val="5"/>
              <w:bidi w:val="0"/>
              <w:spacing w:line="240" w:lineRule="auto"/>
              <w:rPr>
                <w:rFonts w:hint="default" w:ascii="Times New Roman" w:hAnsi="Times New Roman" w:eastAsia="宋体" w:cs="宋体"/>
                <w:b/>
                <w:bCs/>
                <w:snapToGrid w:val="0"/>
                <w:color w:val="auto"/>
                <w:spacing w:val="-2"/>
                <w:kern w:val="0"/>
                <w:sz w:val="21"/>
                <w:szCs w:val="21"/>
                <w:highlight w:val="none"/>
                <w:lang w:val="en-US" w:eastAsia="zh-CN" w:bidi="ar-SA"/>
              </w:rPr>
            </w:pPr>
          </w:p>
          <w:p w14:paraId="4522A474">
            <w:pPr>
              <w:pStyle w:val="5"/>
              <w:bidi w:val="0"/>
              <w:spacing w:line="240" w:lineRule="auto"/>
              <w:rPr>
                <w:rFonts w:hint="default" w:ascii="Times New Roman" w:hAnsi="Times New Roman" w:eastAsia="宋体" w:cs="宋体"/>
                <w:b/>
                <w:bCs/>
                <w:snapToGrid w:val="0"/>
                <w:color w:val="auto"/>
                <w:spacing w:val="-2"/>
                <w:kern w:val="0"/>
                <w:sz w:val="21"/>
                <w:szCs w:val="21"/>
                <w:highlight w:val="none"/>
                <w:lang w:val="en-US" w:eastAsia="zh-CN" w:bidi="ar-SA"/>
              </w:rPr>
            </w:pPr>
            <w:r>
              <w:rPr>
                <w:rFonts w:hint="default" w:ascii="Times New Roman" w:hAnsi="Times New Roman" w:eastAsia="宋体" w:cs="宋体"/>
                <w:b/>
                <w:bCs/>
                <w:snapToGrid w:val="0"/>
                <w:color w:val="auto"/>
                <w:spacing w:val="-2"/>
                <w:kern w:val="0"/>
                <w:sz w:val="21"/>
                <w:szCs w:val="21"/>
                <w:highlight w:val="none"/>
                <w:lang w:val="en-US" w:eastAsia="zh-CN" w:bidi="ar-SA"/>
              </w:rPr>
              <w:t>表</w:t>
            </w:r>
            <w:r>
              <w:rPr>
                <w:rFonts w:hint="eastAsia" w:ascii="Times New Roman" w:hAnsi="Times New Roman" w:eastAsia="宋体" w:cs="宋体"/>
                <w:b/>
                <w:bCs/>
                <w:snapToGrid w:val="0"/>
                <w:color w:val="auto"/>
                <w:spacing w:val="-2"/>
                <w:kern w:val="0"/>
                <w:sz w:val="21"/>
                <w:szCs w:val="21"/>
                <w:highlight w:val="none"/>
                <w:lang w:val="en-US" w:eastAsia="zh-CN" w:bidi="ar-SA"/>
              </w:rPr>
              <w:t>2-2</w:t>
            </w:r>
            <w:r>
              <w:rPr>
                <w:rFonts w:hint="default" w:ascii="Times New Roman" w:hAnsi="Times New Roman" w:eastAsia="宋体" w:cs="宋体"/>
                <w:b/>
                <w:bCs/>
                <w:snapToGrid w:val="0"/>
                <w:color w:val="auto"/>
                <w:spacing w:val="-2"/>
                <w:kern w:val="0"/>
                <w:sz w:val="21"/>
                <w:szCs w:val="21"/>
                <w:highlight w:val="none"/>
                <w:lang w:val="en-US" w:eastAsia="zh-CN" w:bidi="ar-SA"/>
              </w:rPr>
              <w:t xml:space="preserve">  主要建设内容一览表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394"/>
              <w:gridCol w:w="6206"/>
            </w:tblGrid>
            <w:tr w14:paraId="1A0B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41" w:type="dxa"/>
                  <w:gridSpan w:val="2"/>
                  <w:noWrap w:val="0"/>
                  <w:vAlign w:val="center"/>
                </w:tcPr>
                <w:p w14:paraId="7B0D64B2">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default" w:cs="Times New Roman"/>
                      <w:color w:val="auto"/>
                      <w:sz w:val="21"/>
                      <w:szCs w:val="21"/>
                      <w:lang w:val="en-US" w:eastAsia="zh-CN"/>
                    </w:rPr>
                    <w:t>工程名称</w:t>
                  </w:r>
                </w:p>
              </w:tc>
              <w:tc>
                <w:tcPr>
                  <w:tcW w:w="6206" w:type="dxa"/>
                  <w:noWrap w:val="0"/>
                  <w:vAlign w:val="center"/>
                </w:tcPr>
                <w:p w14:paraId="7D21BB51">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default" w:cs="Times New Roman"/>
                      <w:color w:val="auto"/>
                      <w:sz w:val="21"/>
                      <w:szCs w:val="21"/>
                      <w:lang w:val="en-US" w:eastAsia="zh-CN"/>
                    </w:rPr>
                    <w:t>建设内容</w:t>
                  </w:r>
                </w:p>
              </w:tc>
            </w:tr>
            <w:tr w14:paraId="6C77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447" w:type="dxa"/>
                  <w:noWrap w:val="0"/>
                  <w:vAlign w:val="center"/>
                </w:tcPr>
                <w:p w14:paraId="004EB235">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default" w:cs="Times New Roman"/>
                      <w:color w:val="auto"/>
                      <w:sz w:val="21"/>
                      <w:szCs w:val="21"/>
                      <w:lang w:val="en-US" w:eastAsia="zh-CN"/>
                    </w:rPr>
                    <w:t>主体工程</w:t>
                  </w:r>
                </w:p>
              </w:tc>
              <w:tc>
                <w:tcPr>
                  <w:tcW w:w="1394" w:type="dxa"/>
                  <w:noWrap w:val="0"/>
                  <w:vAlign w:val="center"/>
                </w:tcPr>
                <w:p w14:paraId="4EFCB2B1">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基础桩基托换</w:t>
                  </w:r>
                </w:p>
              </w:tc>
              <w:tc>
                <w:tcPr>
                  <w:tcW w:w="6206" w:type="dxa"/>
                  <w:noWrap w:val="0"/>
                  <w:vAlign w:val="center"/>
                </w:tcPr>
                <w:p w14:paraId="1D75133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cs="Times New Roman"/>
                      <w:color w:val="auto"/>
                      <w:sz w:val="21"/>
                      <w:szCs w:val="21"/>
                      <w:lang w:val="en-US" w:eastAsia="zh-CN"/>
                    </w:rPr>
                  </w:pPr>
                  <w:r>
                    <w:rPr>
                      <w:rFonts w:hint="eastAsia" w:cs="Times New Roman"/>
                      <w:color w:val="auto"/>
                      <w:sz w:val="21"/>
                      <w:szCs w:val="21"/>
                      <w:lang w:val="en-US" w:eastAsia="zh-CN"/>
                    </w:rPr>
                    <w:t>在</w:t>
                  </w:r>
                  <w:r>
                    <w:rPr>
                      <w:rFonts w:hint="default" w:cs="Times New Roman"/>
                      <w:color w:val="auto"/>
                      <w:sz w:val="21"/>
                      <w:szCs w:val="21"/>
                      <w:lang w:val="en-US" w:eastAsia="zh-CN"/>
                    </w:rPr>
                    <w:t>沉井周围施工6根直径1.25m桩基，桩基边缘至沉井边缘按50cm控制，承台采用圆环型承台，高度2.0m，在沉井周围植筋连成一体。</w:t>
                  </w:r>
                  <w:r>
                    <w:rPr>
                      <w:rFonts w:hint="eastAsia" w:cs="Times New Roman"/>
                      <w:color w:val="auto"/>
                      <w:sz w:val="21"/>
                      <w:szCs w:val="21"/>
                      <w:lang w:val="en-US" w:eastAsia="zh-CN"/>
                    </w:rPr>
                    <w:t>为使桥墩力传递到承台桩基，在承台顶以上2m设置加台，加台部分沉井（或墩底）范围植筋，承台、加台及墩身连成一体。</w:t>
                  </w:r>
                </w:p>
                <w:p w14:paraId="4FB30F2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cs="Times New Roman"/>
                      <w:color w:val="auto"/>
                      <w:sz w:val="21"/>
                      <w:szCs w:val="21"/>
                      <w:lang w:val="en-US" w:eastAsia="zh-CN"/>
                    </w:rPr>
                  </w:pPr>
                  <w:r>
                    <w:rPr>
                      <w:rFonts w:hint="eastAsia" w:cs="Times New Roman"/>
                      <w:color w:val="auto"/>
                      <w:sz w:val="21"/>
                      <w:szCs w:val="21"/>
                      <w:lang w:val="en-US" w:eastAsia="zh-CN"/>
                    </w:rPr>
                    <w:t>增设承台厚2.0m，承台顶高度：水中墩不高于勘测常水位，河滩范围桥墩不高于河床面。承台圆环型外缘直径10.8~11.0m，采用C35钢筋混凝土。共整治桥墩15座。</w:t>
                  </w:r>
                </w:p>
              </w:tc>
            </w:tr>
            <w:tr w14:paraId="17CF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47" w:type="dxa"/>
                  <w:vMerge w:val="restart"/>
                  <w:noWrap w:val="0"/>
                  <w:vAlign w:val="center"/>
                </w:tcPr>
                <w:p w14:paraId="6CFBA7F9">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临时工程</w:t>
                  </w:r>
                </w:p>
              </w:tc>
              <w:tc>
                <w:tcPr>
                  <w:tcW w:w="1394" w:type="dxa"/>
                  <w:noWrap w:val="0"/>
                  <w:vAlign w:val="center"/>
                </w:tcPr>
                <w:p w14:paraId="1B869C98">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施工便道</w:t>
                  </w:r>
                </w:p>
              </w:tc>
              <w:tc>
                <w:tcPr>
                  <w:tcW w:w="6206" w:type="dxa"/>
                  <w:noWrap w:val="0"/>
                  <w:vAlign w:val="center"/>
                </w:tcPr>
                <w:p w14:paraId="1F3FA0C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cs="Times New Roman"/>
                      <w:color w:val="auto"/>
                      <w:sz w:val="21"/>
                      <w:szCs w:val="21"/>
                      <w:lang w:val="en-US" w:eastAsia="zh-CN"/>
                    </w:rPr>
                  </w:pPr>
                  <w:r>
                    <w:rPr>
                      <w:rFonts w:hint="eastAsia" w:cs="Times New Roman"/>
                      <w:color w:val="auto"/>
                      <w:sz w:val="21"/>
                      <w:szCs w:val="21"/>
                      <w:lang w:val="en-US" w:eastAsia="zh-CN"/>
                    </w:rPr>
                    <w:t>施工便道从大里程侧便道可直接引入，河道中长流水河道搭设栈桥。共新建施工便道800m，宽5m，采用泥结碎石路面，临时栈桥长140m，宽5m，水深6m。施工期结束后拆除。</w:t>
                  </w:r>
                </w:p>
              </w:tc>
            </w:tr>
            <w:tr w14:paraId="5FD5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47" w:type="dxa"/>
                  <w:vMerge w:val="continue"/>
                  <w:noWrap w:val="0"/>
                  <w:vAlign w:val="center"/>
                </w:tcPr>
                <w:p w14:paraId="3937EA72">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p>
              </w:tc>
              <w:tc>
                <w:tcPr>
                  <w:tcW w:w="1394" w:type="dxa"/>
                  <w:noWrap w:val="0"/>
                  <w:vAlign w:val="center"/>
                </w:tcPr>
                <w:p w14:paraId="7E1EADEE">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施工围堰</w:t>
                  </w:r>
                </w:p>
              </w:tc>
              <w:tc>
                <w:tcPr>
                  <w:tcW w:w="6206" w:type="dxa"/>
                  <w:noWrap w:val="0"/>
                  <w:vAlign w:val="center"/>
                </w:tcPr>
                <w:p w14:paraId="3C7CB862">
                  <w:pPr>
                    <w:keepNext w:val="0"/>
                    <w:keepLines w:val="0"/>
                    <w:pageBreakBefore w:val="0"/>
                    <w:widowControl w:val="0"/>
                    <w:kinsoku/>
                    <w:wordWrap/>
                    <w:overflowPunct/>
                    <w:topLinePunct w:val="0"/>
                    <w:bidi w:val="0"/>
                    <w:rPr>
                      <w:rFonts w:hint="eastAsia"/>
                      <w:lang w:val="en-US" w:eastAsia="zh-CN"/>
                    </w:rPr>
                  </w:pPr>
                  <w:r>
                    <w:rPr>
                      <w:rFonts w:hint="eastAsia"/>
                      <w:lang w:val="en-US" w:eastAsia="zh-CN"/>
                    </w:rPr>
                    <w:t>目前3~7、17~19号墩临近常流水区，基础施工时需采用土袋围堰进行防护，堰顶宽度为1m，外侧边坡1:1，内侧为1:0.5。土袋围堰应用黏土填心。袋内装入松散黏性土后，袋口应缝合，装填量约为袋容量的60%。在流速较大处，外侧土袋内可装粗砂或小卵石。</w:t>
                  </w:r>
                </w:p>
                <w:p w14:paraId="04002D1E">
                  <w:pPr>
                    <w:keepNext w:val="0"/>
                    <w:keepLines w:val="0"/>
                    <w:pageBreakBefore w:val="0"/>
                    <w:widowControl w:val="0"/>
                    <w:kinsoku/>
                    <w:wordWrap/>
                    <w:overflowPunct/>
                    <w:topLinePunct w:val="0"/>
                    <w:bidi w:val="0"/>
                    <w:rPr>
                      <w:rFonts w:hint="eastAsia" w:cs="Times New Roman"/>
                      <w:color w:val="auto"/>
                      <w:sz w:val="21"/>
                      <w:szCs w:val="21"/>
                      <w:lang w:val="en-US" w:eastAsia="zh-CN"/>
                    </w:rPr>
                  </w:pPr>
                  <w:r>
                    <w:rPr>
                      <w:rFonts w:hint="eastAsia"/>
                      <w:lang w:val="en-US" w:eastAsia="zh-CN"/>
                    </w:rPr>
                    <w:t>堆码时土袋应平放，其上下层和内外层应互相错缝，搭接长度为1/2～1/3，并应堆码密实、平整。</w:t>
                  </w:r>
                </w:p>
              </w:tc>
            </w:tr>
            <w:tr w14:paraId="77B7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447" w:type="dxa"/>
                  <w:vMerge w:val="continue"/>
                  <w:noWrap w:val="0"/>
                  <w:vAlign w:val="center"/>
                </w:tcPr>
                <w:p w14:paraId="12475879">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p>
              </w:tc>
              <w:tc>
                <w:tcPr>
                  <w:tcW w:w="1394" w:type="dxa"/>
                  <w:noWrap w:val="0"/>
                  <w:vAlign w:val="center"/>
                </w:tcPr>
                <w:p w14:paraId="0140A45B">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施工营地</w:t>
                  </w:r>
                </w:p>
              </w:tc>
              <w:tc>
                <w:tcPr>
                  <w:tcW w:w="6206" w:type="dxa"/>
                  <w:noWrap w:val="0"/>
                  <w:vAlign w:val="center"/>
                </w:tcPr>
                <w:p w14:paraId="30EE9D4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施工营地860m</w:t>
                  </w:r>
                  <w:r>
                    <w:rPr>
                      <w:rFonts w:hint="eastAsia" w:cs="Times New Roman"/>
                      <w:color w:val="auto"/>
                      <w:sz w:val="21"/>
                      <w:szCs w:val="21"/>
                      <w:vertAlign w:val="superscript"/>
                      <w:lang w:val="en-US" w:eastAsia="zh-CN"/>
                    </w:rPr>
                    <w:t>2</w:t>
                  </w:r>
                  <w:r>
                    <w:rPr>
                      <w:rFonts w:hint="eastAsia" w:cs="Times New Roman"/>
                      <w:color w:val="auto"/>
                      <w:sz w:val="21"/>
                      <w:szCs w:val="21"/>
                      <w:lang w:val="en-US" w:eastAsia="zh-CN"/>
                    </w:rPr>
                    <w:t>，设置在汉江左岸，本项目汉江3号桥西南约50m处的未利用地，用于施工机械停放、施工材料堆放及钢筋棚等建设。</w:t>
                  </w:r>
                </w:p>
              </w:tc>
            </w:tr>
            <w:tr w14:paraId="20B0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47" w:type="dxa"/>
                  <w:vMerge w:val="continue"/>
                  <w:noWrap w:val="0"/>
                  <w:vAlign w:val="center"/>
                </w:tcPr>
                <w:p w14:paraId="6ACD6582">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p>
              </w:tc>
              <w:tc>
                <w:tcPr>
                  <w:tcW w:w="1394" w:type="dxa"/>
                  <w:noWrap w:val="0"/>
                  <w:vAlign w:val="center"/>
                </w:tcPr>
                <w:p w14:paraId="326AC5A4">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取土场、弃渣场</w:t>
                  </w:r>
                </w:p>
              </w:tc>
              <w:tc>
                <w:tcPr>
                  <w:tcW w:w="6206" w:type="dxa"/>
                  <w:noWrap w:val="0"/>
                  <w:vAlign w:val="center"/>
                </w:tcPr>
                <w:p w14:paraId="055E30A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项目不设置取土场和弃土场，不能利用的弃方由专用车辆运送至附近弃土场。</w:t>
                  </w:r>
                </w:p>
              </w:tc>
            </w:tr>
            <w:tr w14:paraId="3137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47" w:type="dxa"/>
                  <w:vMerge w:val="continue"/>
                  <w:noWrap w:val="0"/>
                  <w:vAlign w:val="center"/>
                </w:tcPr>
                <w:p w14:paraId="7567C392">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p>
              </w:tc>
              <w:tc>
                <w:tcPr>
                  <w:tcW w:w="1394" w:type="dxa"/>
                  <w:noWrap w:val="0"/>
                  <w:vAlign w:val="center"/>
                </w:tcPr>
                <w:p w14:paraId="1C4944EC">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施工生活区</w:t>
                  </w:r>
                </w:p>
              </w:tc>
              <w:tc>
                <w:tcPr>
                  <w:tcW w:w="6206" w:type="dxa"/>
                  <w:noWrap w:val="0"/>
                  <w:vAlign w:val="center"/>
                </w:tcPr>
                <w:p w14:paraId="61D5858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本工程不设施工生活区，办公生活租赁工程东侧联合村村民房屋及设施。</w:t>
                  </w:r>
                </w:p>
              </w:tc>
            </w:tr>
            <w:tr w14:paraId="670E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47" w:type="dxa"/>
                  <w:vMerge w:val="restart"/>
                  <w:noWrap w:val="0"/>
                  <w:vAlign w:val="center"/>
                </w:tcPr>
                <w:p w14:paraId="1A9E406F">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公用工程</w:t>
                  </w:r>
                </w:p>
              </w:tc>
              <w:tc>
                <w:tcPr>
                  <w:tcW w:w="1394" w:type="dxa"/>
                  <w:noWrap w:val="0"/>
                  <w:vAlign w:val="center"/>
                </w:tcPr>
                <w:p w14:paraId="65443F18">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供水</w:t>
                  </w:r>
                </w:p>
              </w:tc>
              <w:tc>
                <w:tcPr>
                  <w:tcW w:w="6206" w:type="dxa"/>
                  <w:noWrap w:val="0"/>
                  <w:vAlign w:val="center"/>
                </w:tcPr>
                <w:p w14:paraId="544D887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生活用水依托附近村庄用水，生产用水取自就近河道。</w:t>
                  </w:r>
                </w:p>
              </w:tc>
            </w:tr>
            <w:tr w14:paraId="5976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47" w:type="dxa"/>
                  <w:vMerge w:val="continue"/>
                  <w:noWrap w:val="0"/>
                  <w:vAlign w:val="center"/>
                </w:tcPr>
                <w:p w14:paraId="389445F7">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p>
              </w:tc>
              <w:tc>
                <w:tcPr>
                  <w:tcW w:w="1394" w:type="dxa"/>
                  <w:noWrap w:val="0"/>
                  <w:vAlign w:val="center"/>
                </w:tcPr>
                <w:p w14:paraId="373BE491">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供电</w:t>
                  </w:r>
                </w:p>
              </w:tc>
              <w:tc>
                <w:tcPr>
                  <w:tcW w:w="6206" w:type="dxa"/>
                  <w:noWrap w:val="0"/>
                  <w:vAlign w:val="center"/>
                </w:tcPr>
                <w:p w14:paraId="6BB80EF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当地电网供给</w:t>
                  </w:r>
                </w:p>
              </w:tc>
            </w:tr>
            <w:tr w14:paraId="6E46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47" w:type="dxa"/>
                  <w:vMerge w:val="continue"/>
                  <w:noWrap w:val="0"/>
                  <w:vAlign w:val="center"/>
                </w:tcPr>
                <w:p w14:paraId="26F24C5C">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p>
              </w:tc>
              <w:tc>
                <w:tcPr>
                  <w:tcW w:w="1394" w:type="dxa"/>
                  <w:noWrap w:val="0"/>
                  <w:vAlign w:val="center"/>
                </w:tcPr>
                <w:p w14:paraId="7B514EEC">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排水</w:t>
                  </w:r>
                </w:p>
              </w:tc>
              <w:tc>
                <w:tcPr>
                  <w:tcW w:w="6206" w:type="dxa"/>
                  <w:noWrap w:val="0"/>
                  <w:vAlign w:val="center"/>
                </w:tcPr>
                <w:p w14:paraId="19C2565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施工人员生活污水依托联合村村民的生活设施，施工废水设置沉淀池，经沉淀池处理后用于施工场地内洒水降尘，施工结束后沉淀池拆除。</w:t>
                  </w:r>
                </w:p>
              </w:tc>
            </w:tr>
            <w:tr w14:paraId="1D8A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47" w:type="dxa"/>
                  <w:vMerge w:val="restart"/>
                  <w:noWrap w:val="0"/>
                  <w:vAlign w:val="center"/>
                </w:tcPr>
                <w:p w14:paraId="3836D8EF">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环保工程</w:t>
                  </w:r>
                </w:p>
              </w:tc>
              <w:tc>
                <w:tcPr>
                  <w:tcW w:w="1394" w:type="dxa"/>
                  <w:noWrap w:val="0"/>
                  <w:vAlign w:val="center"/>
                </w:tcPr>
                <w:p w14:paraId="4B6A9668">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废气</w:t>
                  </w:r>
                </w:p>
              </w:tc>
              <w:tc>
                <w:tcPr>
                  <w:tcW w:w="6206" w:type="dxa"/>
                  <w:noWrap w:val="0"/>
                  <w:vAlign w:val="center"/>
                </w:tcPr>
                <w:p w14:paraId="4F21475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default" w:cs="Times New Roman"/>
                      <w:color w:val="auto"/>
                      <w:sz w:val="21"/>
                      <w:szCs w:val="21"/>
                      <w:lang w:val="en-US" w:eastAsia="zh-CN"/>
                    </w:rPr>
                    <w:t>①</w:t>
                  </w:r>
                  <w:r>
                    <w:rPr>
                      <w:rFonts w:hint="eastAsia" w:cs="Times New Roman"/>
                      <w:color w:val="auto"/>
                      <w:sz w:val="21"/>
                      <w:szCs w:val="21"/>
                      <w:lang w:val="en-US" w:eastAsia="zh-CN"/>
                    </w:rPr>
                    <w:t>洒水抑</w:t>
                  </w:r>
                  <w:r>
                    <w:rPr>
                      <w:rFonts w:hint="default" w:cs="Times New Roman"/>
                      <w:color w:val="auto"/>
                      <w:sz w:val="21"/>
                      <w:szCs w:val="21"/>
                      <w:lang w:val="en-US" w:eastAsia="zh-CN"/>
                    </w:rPr>
                    <w:t>尘②对</w:t>
                  </w:r>
                  <w:r>
                    <w:rPr>
                      <w:rFonts w:hint="eastAsia" w:cs="Times New Roman"/>
                      <w:color w:val="auto"/>
                      <w:sz w:val="21"/>
                      <w:szCs w:val="21"/>
                      <w:lang w:val="en-US" w:eastAsia="zh-CN"/>
                    </w:rPr>
                    <w:t>建筑材料采用防尘网进行覆盖</w:t>
                  </w:r>
                  <w:r>
                    <w:rPr>
                      <w:rFonts w:hint="default" w:cs="Times New Roman"/>
                      <w:color w:val="auto"/>
                      <w:sz w:val="21"/>
                      <w:szCs w:val="21"/>
                      <w:lang w:val="en-US" w:eastAsia="zh-CN"/>
                    </w:rPr>
                    <w:t>③</w:t>
                  </w:r>
                  <w:r>
                    <w:rPr>
                      <w:rFonts w:hint="eastAsia" w:cs="Times New Roman"/>
                      <w:color w:val="auto"/>
                      <w:sz w:val="21"/>
                      <w:szCs w:val="21"/>
                      <w:lang w:val="en-US" w:eastAsia="zh-CN"/>
                    </w:rPr>
                    <w:t>采用符合相关环境标准的机械和车辆</w:t>
                  </w:r>
                </w:p>
              </w:tc>
            </w:tr>
            <w:tr w14:paraId="0935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47" w:type="dxa"/>
                  <w:vMerge w:val="continue"/>
                  <w:noWrap w:val="0"/>
                  <w:vAlign w:val="center"/>
                </w:tcPr>
                <w:p w14:paraId="14B88A29">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p>
              </w:tc>
              <w:tc>
                <w:tcPr>
                  <w:tcW w:w="1394" w:type="dxa"/>
                  <w:noWrap w:val="0"/>
                  <w:vAlign w:val="center"/>
                </w:tcPr>
                <w:p w14:paraId="29675EDF">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废水</w:t>
                  </w:r>
                </w:p>
              </w:tc>
              <w:tc>
                <w:tcPr>
                  <w:tcW w:w="6206" w:type="dxa"/>
                  <w:noWrap w:val="0"/>
                  <w:vAlign w:val="center"/>
                </w:tcPr>
                <w:p w14:paraId="7F13EDF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default" w:cs="Times New Roman"/>
                      <w:color w:val="auto"/>
                      <w:sz w:val="21"/>
                      <w:szCs w:val="21"/>
                      <w:lang w:val="en-US" w:eastAsia="zh-CN"/>
                    </w:rPr>
                    <w:t>①</w:t>
                  </w:r>
                  <w:r>
                    <w:rPr>
                      <w:rFonts w:hint="eastAsia" w:cs="Times New Roman"/>
                      <w:color w:val="auto"/>
                      <w:sz w:val="21"/>
                      <w:szCs w:val="21"/>
                      <w:lang w:val="en-US" w:eastAsia="zh-CN"/>
                    </w:rPr>
                    <w:t>施工人员生活污水依托沿线村民化粪池收集后用于周边农地施肥，综合利用</w:t>
                  </w:r>
                  <w:r>
                    <w:rPr>
                      <w:rFonts w:hint="default" w:cs="Times New Roman"/>
                      <w:color w:val="auto"/>
                      <w:sz w:val="21"/>
                      <w:szCs w:val="21"/>
                      <w:lang w:val="en-US" w:eastAsia="zh-CN"/>
                    </w:rPr>
                    <w:t>②</w:t>
                  </w:r>
                  <w:r>
                    <w:rPr>
                      <w:rFonts w:hint="eastAsia" w:cs="Times New Roman"/>
                      <w:color w:val="auto"/>
                      <w:sz w:val="21"/>
                      <w:szCs w:val="21"/>
                      <w:lang w:val="en-US" w:eastAsia="zh-CN"/>
                    </w:rPr>
                    <w:t>施工废水设置沉淀池，经沉淀池处理后用于施工场地内洒水降尘</w:t>
                  </w:r>
                </w:p>
              </w:tc>
            </w:tr>
            <w:tr w14:paraId="1C83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47" w:type="dxa"/>
                  <w:vMerge w:val="continue"/>
                  <w:noWrap w:val="0"/>
                  <w:vAlign w:val="center"/>
                </w:tcPr>
                <w:p w14:paraId="441AF192">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p>
              </w:tc>
              <w:tc>
                <w:tcPr>
                  <w:tcW w:w="1394" w:type="dxa"/>
                  <w:noWrap w:val="0"/>
                  <w:vAlign w:val="center"/>
                </w:tcPr>
                <w:p w14:paraId="38F61EC4">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r>
                    <w:rPr>
                      <w:rFonts w:hint="eastAsia" w:cs="Times New Roman"/>
                      <w:color w:val="auto"/>
                      <w:sz w:val="21"/>
                      <w:szCs w:val="21"/>
                      <w:lang w:val="en-US" w:eastAsia="zh-CN"/>
                    </w:rPr>
                    <w:t>噪声</w:t>
                  </w:r>
                </w:p>
              </w:tc>
              <w:tc>
                <w:tcPr>
                  <w:tcW w:w="6206" w:type="dxa"/>
                  <w:noWrap w:val="0"/>
                  <w:vAlign w:val="center"/>
                </w:tcPr>
                <w:p w14:paraId="756CC9F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default" w:cs="Times New Roman"/>
                      <w:color w:val="auto"/>
                      <w:sz w:val="21"/>
                      <w:szCs w:val="21"/>
                      <w:lang w:val="en-US" w:eastAsia="zh-CN"/>
                    </w:rPr>
                    <w:t>①</w:t>
                  </w:r>
                  <w:r>
                    <w:rPr>
                      <w:rFonts w:hint="eastAsia" w:cs="Times New Roman"/>
                      <w:color w:val="auto"/>
                      <w:sz w:val="21"/>
                      <w:szCs w:val="21"/>
                      <w:lang w:val="en-US" w:eastAsia="zh-CN"/>
                    </w:rPr>
                    <w:t>合理安排施工进度和时间、严禁</w:t>
                  </w:r>
                  <w:r>
                    <w:rPr>
                      <w:rFonts w:hint="default" w:cs="Times New Roman"/>
                      <w:color w:val="auto"/>
                      <w:sz w:val="21"/>
                      <w:szCs w:val="21"/>
                      <w:lang w:val="en-US" w:eastAsia="zh-CN"/>
                    </w:rPr>
                    <w:t>夜间施工②选用低噪声</w:t>
                  </w:r>
                  <w:r>
                    <w:rPr>
                      <w:rFonts w:hint="eastAsia" w:cs="Times New Roman"/>
                      <w:color w:val="auto"/>
                      <w:sz w:val="21"/>
                      <w:szCs w:val="21"/>
                      <w:lang w:val="en-US" w:eastAsia="zh-CN"/>
                    </w:rPr>
                    <w:t>施工</w:t>
                  </w:r>
                  <w:r>
                    <w:rPr>
                      <w:rFonts w:hint="default" w:cs="Times New Roman"/>
                      <w:color w:val="auto"/>
                      <w:sz w:val="21"/>
                      <w:szCs w:val="21"/>
                      <w:lang w:val="en-US" w:eastAsia="zh-CN"/>
                    </w:rPr>
                    <w:t>设备</w:t>
                  </w:r>
                  <w:r>
                    <w:rPr>
                      <w:rFonts w:hint="eastAsia" w:cs="Times New Roman"/>
                      <w:color w:val="auto"/>
                      <w:sz w:val="21"/>
                      <w:szCs w:val="21"/>
                      <w:lang w:val="en-US" w:eastAsia="zh-CN"/>
                    </w:rPr>
                    <w:t>，加强施工机械维护保养</w:t>
                  </w:r>
                  <w:r>
                    <w:rPr>
                      <w:rFonts w:hint="default" w:cs="Times New Roman"/>
                      <w:color w:val="auto"/>
                      <w:sz w:val="21"/>
                      <w:szCs w:val="21"/>
                      <w:lang w:val="en-US" w:eastAsia="zh-CN"/>
                    </w:rPr>
                    <w:t>③</w:t>
                  </w:r>
                  <w:r>
                    <w:rPr>
                      <w:rFonts w:hint="eastAsia" w:cs="Times New Roman"/>
                      <w:color w:val="auto"/>
                      <w:sz w:val="21"/>
                      <w:szCs w:val="21"/>
                      <w:lang w:val="en-US" w:eastAsia="zh-CN"/>
                    </w:rPr>
                    <w:t>控制车速，</w:t>
                  </w:r>
                  <w:r>
                    <w:rPr>
                      <w:rFonts w:hint="default" w:cs="Times New Roman"/>
                      <w:color w:val="auto"/>
                      <w:sz w:val="21"/>
                      <w:szCs w:val="21"/>
                      <w:lang w:val="en-US" w:eastAsia="zh-CN"/>
                    </w:rPr>
                    <w:t>途经声环境保护目标处减速缓行，并禁止鸣笛</w:t>
                  </w:r>
                  <w:r>
                    <w:rPr>
                      <w:rFonts w:hint="eastAsia" w:cs="Times New Roman"/>
                      <w:color w:val="auto"/>
                      <w:sz w:val="21"/>
                      <w:szCs w:val="21"/>
                      <w:lang w:val="en-US" w:eastAsia="zh-CN"/>
                    </w:rPr>
                    <w:t>④</w:t>
                  </w:r>
                  <w:r>
                    <w:rPr>
                      <w:rFonts w:hint="default" w:cs="Times New Roman"/>
                      <w:color w:val="auto"/>
                      <w:sz w:val="21"/>
                      <w:szCs w:val="21"/>
                      <w:lang w:val="en-US" w:eastAsia="zh-CN"/>
                    </w:rPr>
                    <w:t>优化施工场地布设，使施工场地远离居民点</w:t>
                  </w:r>
                  <w:r>
                    <w:rPr>
                      <w:rFonts w:hint="eastAsia" w:cs="Times New Roman"/>
                      <w:color w:val="auto"/>
                      <w:sz w:val="21"/>
                      <w:szCs w:val="21"/>
                      <w:lang w:val="en-US" w:eastAsia="zh-CN"/>
                    </w:rPr>
                    <w:t>。</w:t>
                  </w:r>
                </w:p>
              </w:tc>
            </w:tr>
            <w:tr w14:paraId="2220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47" w:type="dxa"/>
                  <w:vMerge w:val="continue"/>
                  <w:noWrap w:val="0"/>
                  <w:vAlign w:val="center"/>
                </w:tcPr>
                <w:p w14:paraId="6E621CAD">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p>
              </w:tc>
              <w:tc>
                <w:tcPr>
                  <w:tcW w:w="1394" w:type="dxa"/>
                  <w:noWrap w:val="0"/>
                  <w:vAlign w:val="center"/>
                </w:tcPr>
                <w:p w14:paraId="4E717DFE">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固体废物</w:t>
                  </w:r>
                </w:p>
              </w:tc>
              <w:tc>
                <w:tcPr>
                  <w:tcW w:w="6206" w:type="dxa"/>
                  <w:noWrap w:val="0"/>
                  <w:vAlign w:val="center"/>
                </w:tcPr>
                <w:p w14:paraId="1EDFCEA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default" w:cs="Times New Roman"/>
                      <w:color w:val="auto"/>
                      <w:sz w:val="21"/>
                      <w:szCs w:val="21"/>
                      <w:lang w:val="en-US" w:eastAsia="zh-CN"/>
                    </w:rPr>
                    <w:t>①</w:t>
                  </w:r>
                  <w:r>
                    <w:rPr>
                      <w:rFonts w:hint="eastAsia" w:cs="Times New Roman"/>
                      <w:color w:val="auto"/>
                      <w:sz w:val="21"/>
                      <w:szCs w:val="21"/>
                      <w:lang w:val="en-US" w:eastAsia="zh-CN"/>
                    </w:rPr>
                    <w:t>生活垃圾经垃圾桶收集后运送至最近环卫垃圾收集点，由环卫部门统一清运</w:t>
                  </w:r>
                  <w:r>
                    <w:rPr>
                      <w:rFonts w:hint="default" w:cs="Times New Roman"/>
                      <w:color w:val="auto"/>
                      <w:sz w:val="21"/>
                      <w:szCs w:val="21"/>
                      <w:lang w:val="en-US" w:eastAsia="zh-CN"/>
                    </w:rPr>
                    <w:t>②</w:t>
                  </w:r>
                  <w:r>
                    <w:rPr>
                      <w:rFonts w:hint="eastAsia" w:cs="Times New Roman"/>
                      <w:color w:val="auto"/>
                      <w:sz w:val="21"/>
                      <w:szCs w:val="21"/>
                      <w:lang w:val="en-US" w:eastAsia="zh-CN"/>
                    </w:rPr>
                    <w:t>施工场地平整及施工便道修筑无弃方产生</w:t>
                  </w:r>
                  <w:r>
                    <w:rPr>
                      <w:rFonts w:hint="default" w:cs="Times New Roman"/>
                      <w:color w:val="auto"/>
                      <w:sz w:val="21"/>
                      <w:szCs w:val="21"/>
                      <w:lang w:val="en-US" w:eastAsia="zh-CN"/>
                    </w:rPr>
                    <w:t>③</w:t>
                  </w:r>
                  <w:r>
                    <w:rPr>
                      <w:rFonts w:hint="eastAsia" w:cs="Times New Roman"/>
                      <w:color w:val="auto"/>
                      <w:sz w:val="21"/>
                      <w:szCs w:val="21"/>
                      <w:lang w:val="en-US" w:eastAsia="zh-CN"/>
                    </w:rPr>
                    <w:t>施工产生的建筑废垃圾可回收利用的回收利用，不能回收利用的及时清运至建筑垃圾填埋场。</w:t>
                  </w:r>
                  <w:r>
                    <w:rPr>
                      <w:rFonts w:hint="eastAsia" w:ascii="微软雅黑" w:hAnsi="微软雅黑" w:eastAsia="微软雅黑" w:cs="微软雅黑"/>
                      <w:color w:val="auto"/>
                      <w:sz w:val="21"/>
                      <w:szCs w:val="21"/>
                      <w:lang w:val="en-US" w:eastAsia="zh-CN"/>
                    </w:rPr>
                    <w:t>④</w:t>
                  </w:r>
                  <w:r>
                    <w:rPr>
                      <w:rFonts w:hint="eastAsia" w:cs="Times New Roman"/>
                      <w:color w:val="auto"/>
                      <w:sz w:val="21"/>
                      <w:szCs w:val="21"/>
                      <w:lang w:val="en-US" w:eastAsia="zh-CN"/>
                    </w:rPr>
                    <w:t>钻孔渣等泥渣经沉淀池沉淀后上清液用于洒水，沉淀的泥渣大部分为河沙，回填至河道。</w:t>
                  </w:r>
                </w:p>
              </w:tc>
            </w:tr>
            <w:tr w14:paraId="7DB8B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447" w:type="dxa"/>
                  <w:vMerge w:val="continue"/>
                  <w:noWrap w:val="0"/>
                  <w:vAlign w:val="center"/>
                </w:tcPr>
                <w:p w14:paraId="516BDACC">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cs="Times New Roman"/>
                      <w:color w:val="auto"/>
                      <w:sz w:val="21"/>
                      <w:szCs w:val="21"/>
                      <w:lang w:val="en-US" w:eastAsia="zh-CN"/>
                    </w:rPr>
                  </w:pPr>
                </w:p>
              </w:tc>
              <w:tc>
                <w:tcPr>
                  <w:tcW w:w="1394" w:type="dxa"/>
                  <w:noWrap w:val="0"/>
                  <w:vAlign w:val="center"/>
                </w:tcPr>
                <w:p w14:paraId="2030C8FA">
                  <w:pPr>
                    <w:keepNext w:val="0"/>
                    <w:keepLines w:val="0"/>
                    <w:pageBreakBefore w:val="0"/>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cs="Times New Roman"/>
                      <w:color w:val="auto"/>
                      <w:sz w:val="21"/>
                      <w:szCs w:val="21"/>
                      <w:lang w:val="en-US" w:eastAsia="zh-CN"/>
                    </w:rPr>
                  </w:pPr>
                  <w:r>
                    <w:rPr>
                      <w:rFonts w:hint="eastAsia" w:cs="Times New Roman"/>
                      <w:color w:val="auto"/>
                      <w:sz w:val="21"/>
                      <w:szCs w:val="21"/>
                      <w:lang w:val="en-US" w:eastAsia="zh-CN"/>
                    </w:rPr>
                    <w:t>生态环境</w:t>
                  </w:r>
                </w:p>
              </w:tc>
              <w:tc>
                <w:tcPr>
                  <w:tcW w:w="6206" w:type="dxa"/>
                  <w:noWrap w:val="0"/>
                  <w:vAlign w:val="center"/>
                </w:tcPr>
                <w:p w14:paraId="1EA24EE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cs="Times New Roman"/>
                      <w:color w:val="0000FF"/>
                      <w:sz w:val="21"/>
                      <w:szCs w:val="21"/>
                      <w:lang w:val="en-US" w:eastAsia="zh-CN"/>
                    </w:rPr>
                  </w:pPr>
                  <w:r>
                    <w:rPr>
                      <w:rFonts w:hint="default" w:cs="Times New Roman"/>
                      <w:color w:val="auto"/>
                      <w:sz w:val="21"/>
                      <w:szCs w:val="21"/>
                      <w:lang w:val="en-US" w:eastAsia="zh-CN"/>
                    </w:rPr>
                    <w:t>①</w:t>
                  </w:r>
                  <w:r>
                    <w:rPr>
                      <w:rFonts w:hint="eastAsia" w:cs="Times New Roman"/>
                      <w:color w:val="auto"/>
                      <w:sz w:val="21"/>
                      <w:szCs w:val="21"/>
                      <w:lang w:val="en-US" w:eastAsia="zh-CN"/>
                    </w:rPr>
                    <w:t>不设置取、弃土场，施工结束后，及时拆除临时工程，清理场地内垃圾，及时对临时占地进行生态恢复；</w:t>
                  </w:r>
                  <w:r>
                    <w:rPr>
                      <w:rFonts w:hint="default" w:cs="Times New Roman"/>
                      <w:color w:val="auto"/>
                      <w:sz w:val="21"/>
                      <w:szCs w:val="21"/>
                      <w:lang w:val="en-US" w:eastAsia="zh-CN"/>
                    </w:rPr>
                    <w:t>②</w:t>
                  </w:r>
                  <w:r>
                    <w:rPr>
                      <w:rFonts w:hint="eastAsia" w:cs="Times New Roman"/>
                      <w:color w:val="auto"/>
                      <w:sz w:val="21"/>
                      <w:szCs w:val="21"/>
                      <w:lang w:val="en-US" w:eastAsia="zh-CN"/>
                    </w:rPr>
                    <w:t>设置围堰施工，禁止将施工废水直接排入水体；</w:t>
                  </w:r>
                  <w:r>
                    <w:rPr>
                      <w:rFonts w:hint="default" w:cs="Times New Roman"/>
                      <w:color w:val="auto"/>
                      <w:sz w:val="21"/>
                      <w:szCs w:val="21"/>
                      <w:lang w:val="en-US" w:eastAsia="zh-CN"/>
                    </w:rPr>
                    <w:t>③</w:t>
                  </w:r>
                  <w:r>
                    <w:rPr>
                      <w:rFonts w:hint="eastAsia" w:cs="Times New Roman"/>
                      <w:color w:val="auto"/>
                      <w:sz w:val="21"/>
                      <w:szCs w:val="21"/>
                      <w:lang w:val="en-US" w:eastAsia="zh-CN"/>
                    </w:rPr>
                    <w:t>安排在枯水施工，并应及时掌握天气情况，时刻注意上游来水，将建筑材料等堆放在河道外场地上，做好防护措施。</w:t>
                  </w:r>
                </w:p>
              </w:tc>
            </w:tr>
          </w:tbl>
          <w:p w14:paraId="61B251A1">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4、工程设计方案</w:t>
            </w:r>
          </w:p>
          <w:p w14:paraId="1B5BEF66">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（1）病害整治方案</w:t>
            </w:r>
          </w:p>
          <w:p w14:paraId="1949F247">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根据《</w:t>
            </w:r>
            <w:r>
              <w:rPr>
                <w:rFonts w:hint="default" w:cs="Times New Roman"/>
                <w:color w:val="auto"/>
                <w:sz w:val="24"/>
                <w:szCs w:val="24"/>
                <w:lang w:val="en-US" w:eastAsia="zh-CN"/>
              </w:rPr>
              <w:t>阳安线上行线K155+746汉江3号桥</w:t>
            </w:r>
            <w:r>
              <w:rPr>
                <w:rFonts w:hint="eastAsia" w:cs="Times New Roman"/>
                <w:color w:val="auto"/>
                <w:sz w:val="24"/>
                <w:szCs w:val="24"/>
                <w:lang w:val="en-US" w:eastAsia="zh-CN"/>
              </w:rPr>
              <w:t>基础冲刷病害整治可行性研究》病害整治意见为：对3~7、11~20号桥墩基础采用桩基托换的整治措施。</w:t>
            </w:r>
          </w:p>
          <w:p w14:paraId="2C7C7123">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在</w:t>
            </w:r>
            <w:r>
              <w:rPr>
                <w:rFonts w:hint="default" w:cs="Times New Roman"/>
                <w:color w:val="auto"/>
                <w:sz w:val="24"/>
                <w:szCs w:val="24"/>
                <w:lang w:val="en-US" w:eastAsia="zh-CN"/>
              </w:rPr>
              <w:t>沉井周围施工6根直径1.25m桩基，桩基边缘至沉井边缘按50cm控制，承台采用圆环型承台，高度2.0m，在沉井周围植筋连成一体。为使桥墩力传递到承台桩基，在承台顶以上2m设置加台，加台部分沉井（或墩底）范围植筋，承台、加台及墩身连成一体。</w:t>
            </w:r>
          </w:p>
          <w:p w14:paraId="5F8F4576">
            <w:pPr>
              <w:spacing w:line="360" w:lineRule="auto"/>
              <w:ind w:firstLine="480" w:firstLineChars="200"/>
              <w:rPr>
                <w:rFonts w:hint="default" w:cs="Times New Roman"/>
                <w:color w:val="auto"/>
                <w:sz w:val="24"/>
                <w:szCs w:val="24"/>
                <w:lang w:val="en-US" w:eastAsia="zh-CN"/>
              </w:rPr>
            </w:pPr>
            <w:r>
              <w:rPr>
                <w:rFonts w:hint="default" w:cs="Times New Roman"/>
                <w:color w:val="auto"/>
                <w:sz w:val="24"/>
                <w:szCs w:val="24"/>
                <w:lang w:val="en-US" w:eastAsia="zh-CN"/>
              </w:rPr>
              <w:t>增设承台厚2.0m，承台顶高度：水中墩不高于勘测常水位，河滩范围桥墩不高于河床面。承台圆环型外缘直径10.8~11.0m，采用C35钢筋混凝土。</w:t>
            </w:r>
          </w:p>
          <w:p w14:paraId="30983459">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桩基托换设计图见图2-1和图2-2。</w:t>
            </w:r>
          </w:p>
          <w:p w14:paraId="7B558C12">
            <w:pPr>
              <w:spacing w:line="360" w:lineRule="auto"/>
              <w:jc w:val="center"/>
            </w:pPr>
            <w:r>
              <w:drawing>
                <wp:inline distT="0" distB="0" distL="114300" distR="114300">
                  <wp:extent cx="2872105" cy="4470400"/>
                  <wp:effectExtent l="0" t="0" r="4445" b="6350"/>
                  <wp:docPr id="12" name="Image 36"/>
                  <wp:cNvGraphicFramePr/>
                  <a:graphic xmlns:a="http://schemas.openxmlformats.org/drawingml/2006/main">
                    <a:graphicData uri="http://schemas.openxmlformats.org/drawingml/2006/picture">
                      <pic:pic xmlns:pic="http://schemas.openxmlformats.org/drawingml/2006/picture">
                        <pic:nvPicPr>
                          <pic:cNvPr id="12" name="Image 36"/>
                          <pic:cNvPicPr/>
                        </pic:nvPicPr>
                        <pic:blipFill>
                          <a:blip r:embed="rId9" cstate="print"/>
                          <a:stretch>
                            <a:fillRect/>
                          </a:stretch>
                        </pic:blipFill>
                        <pic:spPr>
                          <a:xfrm>
                            <a:off x="0" y="0"/>
                            <a:ext cx="2872177" cy="4470643"/>
                          </a:xfrm>
                          <a:prstGeom prst="rect">
                            <a:avLst/>
                          </a:prstGeom>
                          <a:noFill/>
                          <a:ln>
                            <a:noFill/>
                          </a:ln>
                          <a:effectLst/>
                        </pic:spPr>
                      </pic:pic>
                    </a:graphicData>
                  </a:graphic>
                </wp:inline>
              </w:drawing>
            </w:r>
          </w:p>
          <w:p w14:paraId="57434491">
            <w:pPr>
              <w:spacing w:line="360" w:lineRule="auto"/>
              <w:jc w:val="center"/>
              <w:rPr>
                <w:rFonts w:hint="default" w:eastAsia="宋体"/>
                <w:lang w:val="en-US" w:eastAsia="zh-CN"/>
              </w:rPr>
            </w:pPr>
            <w:r>
              <w:rPr>
                <w:rFonts w:hint="eastAsia"/>
                <w:b/>
                <w:bCs/>
                <w:lang w:val="en-US" w:eastAsia="zh-CN"/>
              </w:rPr>
              <w:t>图2-1  桩基托换立面布置图（水中墩）</w:t>
            </w:r>
          </w:p>
          <w:p w14:paraId="4E6E0588">
            <w:pPr>
              <w:spacing w:line="360" w:lineRule="auto"/>
              <w:jc w:val="center"/>
              <w:rPr>
                <w:rFonts w:hint="eastAsia"/>
                <w:b/>
                <w:bCs/>
                <w:lang w:val="en-US" w:eastAsia="zh-CN"/>
              </w:rPr>
            </w:pPr>
            <w:r>
              <w:drawing>
                <wp:inline distT="0" distB="0" distL="114300" distR="114300">
                  <wp:extent cx="2412365" cy="2433320"/>
                  <wp:effectExtent l="0" t="0" r="6985" b="5080"/>
                  <wp:docPr id="13" name="Image 39"/>
                  <wp:cNvGraphicFramePr/>
                  <a:graphic xmlns:a="http://schemas.openxmlformats.org/drawingml/2006/main">
                    <a:graphicData uri="http://schemas.openxmlformats.org/drawingml/2006/picture">
                      <pic:pic xmlns:pic="http://schemas.openxmlformats.org/drawingml/2006/picture">
                        <pic:nvPicPr>
                          <pic:cNvPr id="13" name="Image 39"/>
                          <pic:cNvPicPr/>
                        </pic:nvPicPr>
                        <pic:blipFill>
                          <a:blip r:embed="rId10" cstate="print"/>
                          <a:stretch>
                            <a:fillRect/>
                          </a:stretch>
                        </pic:blipFill>
                        <pic:spPr>
                          <a:xfrm>
                            <a:off x="0" y="0"/>
                            <a:ext cx="2412365" cy="2433320"/>
                          </a:xfrm>
                          <a:prstGeom prst="rect">
                            <a:avLst/>
                          </a:prstGeom>
                          <a:noFill/>
                          <a:ln>
                            <a:noFill/>
                          </a:ln>
                          <a:effectLst/>
                        </pic:spPr>
                      </pic:pic>
                    </a:graphicData>
                  </a:graphic>
                </wp:inline>
              </w:drawing>
            </w:r>
          </w:p>
          <w:p w14:paraId="27F973FC">
            <w:pPr>
              <w:spacing w:line="360" w:lineRule="auto"/>
              <w:jc w:val="center"/>
              <w:rPr>
                <w:rFonts w:hint="eastAsia"/>
                <w:b/>
                <w:bCs/>
                <w:lang w:val="en-US" w:eastAsia="zh-CN"/>
              </w:rPr>
            </w:pPr>
            <w:r>
              <w:rPr>
                <w:rFonts w:hint="eastAsia"/>
                <w:b/>
                <w:bCs/>
                <w:lang w:val="en-US" w:eastAsia="zh-CN"/>
              </w:rPr>
              <w:t>图2-2  桩基托换平面布置图</w:t>
            </w:r>
          </w:p>
          <w:p w14:paraId="47A8A24E">
            <w:pPr>
              <w:spacing w:line="360" w:lineRule="auto"/>
              <w:jc w:val="center"/>
              <w:rPr>
                <w:rFonts w:hint="eastAsia"/>
                <w:b/>
                <w:bCs/>
                <w:lang w:val="en-US" w:eastAsia="zh-CN"/>
              </w:rPr>
            </w:pPr>
            <w:r>
              <w:rPr>
                <w:bdr w:val="single" w:color="auto" w:sz="4" w:space="0"/>
              </w:rPr>
              <w:drawing>
                <wp:inline distT="0" distB="0" distL="114300" distR="114300">
                  <wp:extent cx="5120640" cy="3117850"/>
                  <wp:effectExtent l="0" t="0" r="3810" b="635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1"/>
                          <a:stretch>
                            <a:fillRect/>
                          </a:stretch>
                        </pic:blipFill>
                        <pic:spPr>
                          <a:xfrm>
                            <a:off x="0" y="0"/>
                            <a:ext cx="5120640" cy="3117850"/>
                          </a:xfrm>
                          <a:prstGeom prst="rect">
                            <a:avLst/>
                          </a:prstGeom>
                          <a:noFill/>
                          <a:ln>
                            <a:noFill/>
                          </a:ln>
                        </pic:spPr>
                      </pic:pic>
                    </a:graphicData>
                  </a:graphic>
                </wp:inline>
              </w:drawing>
            </w:r>
          </w:p>
          <w:p w14:paraId="1F8DB78C">
            <w:pPr>
              <w:spacing w:line="360" w:lineRule="auto"/>
              <w:jc w:val="center"/>
              <w:rPr>
                <w:rFonts w:hint="eastAsia"/>
                <w:b/>
                <w:bCs/>
                <w:lang w:val="en-US" w:eastAsia="zh-CN"/>
              </w:rPr>
            </w:pPr>
            <w:r>
              <w:rPr>
                <w:rFonts w:hint="eastAsia"/>
                <w:b/>
                <w:bCs/>
                <w:lang w:val="en-US" w:eastAsia="zh-CN"/>
              </w:rPr>
              <w:t>图2-3  桩基托换立面布置图（3~7号墩）</w:t>
            </w:r>
          </w:p>
          <w:p w14:paraId="4D6D8AD8">
            <w:pPr>
              <w:spacing w:line="360" w:lineRule="auto"/>
              <w:jc w:val="center"/>
              <w:rPr>
                <w:rFonts w:hint="eastAsia"/>
                <w:b/>
                <w:bCs/>
                <w:lang w:val="en-US" w:eastAsia="zh-CN"/>
              </w:rPr>
            </w:pPr>
            <w:r>
              <w:rPr>
                <w:bdr w:val="single" w:color="auto" w:sz="4" w:space="0"/>
              </w:rPr>
              <w:drawing>
                <wp:inline distT="0" distB="0" distL="114300" distR="114300">
                  <wp:extent cx="5060950" cy="3286760"/>
                  <wp:effectExtent l="0" t="0" r="635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a:stretch>
                            <a:fillRect/>
                          </a:stretch>
                        </pic:blipFill>
                        <pic:spPr>
                          <a:xfrm>
                            <a:off x="0" y="0"/>
                            <a:ext cx="5060950" cy="3286760"/>
                          </a:xfrm>
                          <a:prstGeom prst="rect">
                            <a:avLst/>
                          </a:prstGeom>
                          <a:noFill/>
                          <a:ln>
                            <a:noFill/>
                          </a:ln>
                        </pic:spPr>
                      </pic:pic>
                    </a:graphicData>
                  </a:graphic>
                </wp:inline>
              </w:drawing>
            </w:r>
          </w:p>
          <w:p w14:paraId="1180C68A">
            <w:pPr>
              <w:spacing w:line="360" w:lineRule="auto"/>
              <w:jc w:val="center"/>
              <w:rPr>
                <w:rFonts w:hint="eastAsia"/>
                <w:b/>
                <w:bCs/>
                <w:lang w:val="en-US" w:eastAsia="zh-CN"/>
              </w:rPr>
            </w:pPr>
            <w:r>
              <w:rPr>
                <w:rFonts w:hint="eastAsia"/>
                <w:b/>
                <w:bCs/>
                <w:lang w:val="en-US" w:eastAsia="zh-CN"/>
              </w:rPr>
              <w:t>图2-4  桩基托换立面布置图（11~15号墩）</w:t>
            </w:r>
          </w:p>
          <w:p w14:paraId="5EE41EA7">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（2）施工主要材料</w:t>
            </w:r>
          </w:p>
          <w:p w14:paraId="7B129C2A">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施工主要建筑材料有钢板、普通钢筋、混凝土，具体型号如下：</w:t>
            </w:r>
          </w:p>
          <w:p w14:paraId="57FAA738">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（1）钢板：采用Q235钢料，其技术条件应符合《碳素结构钢》（GBT700-2006）。</w:t>
            </w:r>
          </w:p>
          <w:p w14:paraId="7FA6E48B">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（2）普通钢筋：采用HPB300、HRB400钢筋，其技术条件应符合《钢筋混凝土用钢第1部分：热轧带肋钢筋》（GB1499.1-2024）和《钢筋混凝土用钢第二部分热轧带肋钢筋》（GB1499.2-2024）的规定。</w:t>
            </w:r>
          </w:p>
          <w:p w14:paraId="50778AD9">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（3）混凝土：桩基按T1环境设计，采用C35钢筋混凝土；承台及加台按T3环境设计，采用C40钢筋混凝土。</w:t>
            </w:r>
          </w:p>
          <w:p w14:paraId="6DDC18E9">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5、主要工程量</w:t>
            </w:r>
          </w:p>
          <w:p w14:paraId="105D7D2D">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本项目主要工程量详见表2-3。</w:t>
            </w:r>
          </w:p>
          <w:p w14:paraId="357B5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z w:val="21"/>
                <w:szCs w:val="21"/>
              </w:rPr>
            </w:pPr>
            <w:r>
              <w:rPr>
                <w:rFonts w:hint="eastAsia" w:ascii="Times New Roman" w:hAnsi="Times New Roman" w:eastAsia="宋体" w:cs="宋体"/>
                <w:b/>
                <w:bCs/>
                <w:spacing w:val="-5"/>
                <w:sz w:val="21"/>
                <w:szCs w:val="21"/>
                <w:lang w:val="en-US" w:eastAsia="zh-CN"/>
              </w:rPr>
              <w:t xml:space="preserve">表2-3  </w:t>
            </w:r>
            <w:r>
              <w:rPr>
                <w:rFonts w:ascii="Times New Roman" w:hAnsi="Times New Roman" w:eastAsia="宋体" w:cs="宋体"/>
                <w:b/>
                <w:bCs/>
                <w:spacing w:val="-5"/>
                <w:sz w:val="21"/>
                <w:szCs w:val="21"/>
              </w:rPr>
              <w:t>1.25m</w:t>
            </w:r>
            <w:r>
              <w:rPr>
                <w:rFonts w:ascii="Times New Roman" w:hAnsi="Times New Roman" w:eastAsia="宋体" w:cs="宋体"/>
                <w:spacing w:val="-46"/>
                <w:sz w:val="21"/>
                <w:szCs w:val="21"/>
              </w:rPr>
              <w:t xml:space="preserve"> </w:t>
            </w:r>
            <w:r>
              <w:rPr>
                <w:rFonts w:ascii="Times New Roman" w:hAnsi="Times New Roman" w:eastAsia="宋体" w:cs="宋体"/>
                <w:b/>
                <w:bCs/>
                <w:spacing w:val="-5"/>
                <w:sz w:val="21"/>
                <w:szCs w:val="21"/>
              </w:rPr>
              <w:t>桩径桩基托换方案工程数量表</w:t>
            </w:r>
          </w:p>
          <w:tbl>
            <w:tblPr>
              <w:tblStyle w:val="39"/>
              <w:tblW w:w="795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125"/>
              <w:gridCol w:w="1402"/>
              <w:gridCol w:w="2610"/>
              <w:gridCol w:w="990"/>
              <w:gridCol w:w="1125"/>
            </w:tblGrid>
            <w:tr w14:paraId="1A513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05" w:type="dxa"/>
                  <w:noWrap w:val="0"/>
                  <w:vAlign w:val="top"/>
                </w:tcPr>
                <w:p w14:paraId="558A9E59">
                  <w:pPr>
                    <w:pStyle w:val="38"/>
                    <w:spacing w:before="102" w:line="215" w:lineRule="auto"/>
                    <w:ind w:left="164"/>
                    <w:rPr>
                      <w:rFonts w:ascii="Times New Roman" w:hAnsi="Times New Roman" w:eastAsia="宋体"/>
                      <w:sz w:val="22"/>
                      <w:szCs w:val="22"/>
                    </w:rPr>
                  </w:pPr>
                  <w:r>
                    <w:rPr>
                      <w:rFonts w:ascii="Times New Roman" w:hAnsi="Times New Roman" w:eastAsia="宋体"/>
                      <w:spacing w:val="-9"/>
                      <w:sz w:val="22"/>
                      <w:szCs w:val="22"/>
                    </w:rPr>
                    <w:t>内容</w:t>
                  </w:r>
                </w:p>
              </w:tc>
              <w:tc>
                <w:tcPr>
                  <w:tcW w:w="5137" w:type="dxa"/>
                  <w:gridSpan w:val="3"/>
                  <w:noWrap w:val="0"/>
                  <w:vAlign w:val="top"/>
                </w:tcPr>
                <w:p w14:paraId="3B0E69E3">
                  <w:pPr>
                    <w:pStyle w:val="38"/>
                    <w:spacing w:before="102" w:line="215" w:lineRule="auto"/>
                    <w:ind w:left="1706"/>
                    <w:rPr>
                      <w:rFonts w:ascii="Times New Roman" w:hAnsi="Times New Roman" w:eastAsia="宋体"/>
                      <w:sz w:val="22"/>
                      <w:szCs w:val="22"/>
                    </w:rPr>
                  </w:pPr>
                  <w:r>
                    <w:rPr>
                      <w:rFonts w:ascii="Times New Roman" w:hAnsi="Times New Roman" w:eastAsia="宋体"/>
                      <w:spacing w:val="-2"/>
                      <w:sz w:val="22"/>
                      <w:szCs w:val="22"/>
                    </w:rPr>
                    <w:t>工程项目</w:t>
                  </w:r>
                </w:p>
              </w:tc>
              <w:tc>
                <w:tcPr>
                  <w:tcW w:w="990" w:type="dxa"/>
                  <w:noWrap w:val="0"/>
                  <w:vAlign w:val="top"/>
                </w:tcPr>
                <w:p w14:paraId="73660CE8">
                  <w:pPr>
                    <w:pStyle w:val="38"/>
                    <w:spacing w:before="102" w:line="215" w:lineRule="auto"/>
                    <w:ind w:left="119"/>
                    <w:rPr>
                      <w:rFonts w:ascii="Times New Roman" w:hAnsi="Times New Roman" w:eastAsia="宋体"/>
                      <w:sz w:val="22"/>
                      <w:szCs w:val="22"/>
                    </w:rPr>
                  </w:pPr>
                  <w:r>
                    <w:rPr>
                      <w:rFonts w:ascii="Times New Roman" w:hAnsi="Times New Roman" w:eastAsia="宋体"/>
                      <w:spacing w:val="-3"/>
                      <w:sz w:val="22"/>
                      <w:szCs w:val="22"/>
                    </w:rPr>
                    <w:t>单位</w:t>
                  </w:r>
                </w:p>
              </w:tc>
              <w:tc>
                <w:tcPr>
                  <w:tcW w:w="1125" w:type="dxa"/>
                  <w:noWrap w:val="0"/>
                  <w:vAlign w:val="top"/>
                </w:tcPr>
                <w:p w14:paraId="5571005A">
                  <w:pPr>
                    <w:pStyle w:val="38"/>
                    <w:spacing w:before="102" w:line="215" w:lineRule="auto"/>
                    <w:ind w:left="429"/>
                    <w:rPr>
                      <w:rFonts w:ascii="Times New Roman" w:hAnsi="Times New Roman" w:eastAsia="宋体"/>
                      <w:sz w:val="22"/>
                      <w:szCs w:val="22"/>
                    </w:rPr>
                  </w:pPr>
                  <w:r>
                    <w:rPr>
                      <w:rFonts w:ascii="Times New Roman" w:hAnsi="Times New Roman" w:eastAsia="宋体"/>
                      <w:spacing w:val="-2"/>
                      <w:sz w:val="22"/>
                      <w:szCs w:val="22"/>
                    </w:rPr>
                    <w:t>合计</w:t>
                  </w:r>
                </w:p>
              </w:tc>
            </w:tr>
            <w:tr w14:paraId="1EE5D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5" w:type="dxa"/>
                  <w:vMerge w:val="restart"/>
                  <w:tcBorders>
                    <w:bottom w:val="nil"/>
                  </w:tcBorders>
                  <w:noWrap w:val="0"/>
                  <w:vAlign w:val="center"/>
                </w:tcPr>
                <w:p w14:paraId="112C10FC">
                  <w:pPr>
                    <w:pStyle w:val="38"/>
                    <w:spacing w:before="72" w:line="304" w:lineRule="auto"/>
                    <w:ind w:left="138" w:right="129"/>
                    <w:jc w:val="center"/>
                    <w:rPr>
                      <w:rFonts w:ascii="Times New Roman" w:hAnsi="Times New Roman" w:eastAsia="宋体"/>
                      <w:sz w:val="22"/>
                      <w:szCs w:val="22"/>
                    </w:rPr>
                  </w:pPr>
                  <w:r>
                    <w:rPr>
                      <w:rFonts w:ascii="Times New Roman" w:hAnsi="Times New Roman" w:eastAsia="宋体"/>
                      <w:spacing w:val="-4"/>
                      <w:sz w:val="22"/>
                      <w:szCs w:val="22"/>
                    </w:rPr>
                    <w:t>基础桩基托换</w:t>
                  </w:r>
                </w:p>
              </w:tc>
              <w:tc>
                <w:tcPr>
                  <w:tcW w:w="1125" w:type="dxa"/>
                  <w:vMerge w:val="restart"/>
                  <w:tcBorders>
                    <w:bottom w:val="nil"/>
                  </w:tcBorders>
                  <w:noWrap w:val="0"/>
                  <w:vAlign w:val="center"/>
                </w:tcPr>
                <w:p w14:paraId="08896AE1">
                  <w:pPr>
                    <w:pStyle w:val="38"/>
                    <w:spacing w:before="72" w:line="306" w:lineRule="auto"/>
                    <w:ind w:left="351" w:right="118" w:hanging="225"/>
                    <w:jc w:val="both"/>
                    <w:rPr>
                      <w:rFonts w:ascii="Times New Roman" w:hAnsi="Times New Roman" w:eastAsia="宋体"/>
                      <w:sz w:val="22"/>
                      <w:szCs w:val="22"/>
                    </w:rPr>
                  </w:pPr>
                  <w:r>
                    <w:rPr>
                      <w:rFonts w:ascii="Times New Roman" w:hAnsi="Times New Roman" w:eastAsia="宋体"/>
                      <w:spacing w:val="-2"/>
                      <w:sz w:val="22"/>
                      <w:szCs w:val="22"/>
                    </w:rPr>
                    <w:t>沉井墩身</w:t>
                  </w:r>
                  <w:r>
                    <w:rPr>
                      <w:rFonts w:ascii="Times New Roman" w:hAnsi="Times New Roman" w:eastAsia="宋体"/>
                      <w:spacing w:val="-3"/>
                      <w:sz w:val="22"/>
                      <w:szCs w:val="22"/>
                    </w:rPr>
                    <w:t>处理</w:t>
                  </w:r>
                </w:p>
              </w:tc>
              <w:tc>
                <w:tcPr>
                  <w:tcW w:w="1402" w:type="dxa"/>
                  <w:vMerge w:val="restart"/>
                  <w:tcBorders>
                    <w:bottom w:val="nil"/>
                  </w:tcBorders>
                  <w:noWrap w:val="0"/>
                  <w:vAlign w:val="center"/>
                </w:tcPr>
                <w:p w14:paraId="0262CAE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植筋（直</w:t>
                  </w:r>
                </w:p>
                <w:p w14:paraId="32FAF02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径16mm，深度</w:t>
                  </w:r>
                </w:p>
                <w:p w14:paraId="4587644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pacing w:val="-7"/>
                      <w:sz w:val="22"/>
                      <w:szCs w:val="22"/>
                      <w:lang w:eastAsia="zh-CN"/>
                    </w:rPr>
                  </w:pPr>
                  <w:r>
                    <w:rPr>
                      <w:rFonts w:ascii="Times New Roman" w:hAnsi="Times New Roman" w:eastAsia="宋体"/>
                      <w:spacing w:val="-7"/>
                      <w:sz w:val="22"/>
                      <w:szCs w:val="22"/>
                    </w:rPr>
                    <w:t>35cm</w:t>
                  </w:r>
                  <w:r>
                    <w:rPr>
                      <w:rFonts w:hint="eastAsia" w:ascii="Times New Roman" w:hAnsi="Times New Roman"/>
                      <w:spacing w:val="-7"/>
                      <w:sz w:val="22"/>
                      <w:szCs w:val="22"/>
                      <w:lang w:eastAsia="zh-CN"/>
                    </w:rPr>
                    <w:t>）</w:t>
                  </w:r>
                </w:p>
              </w:tc>
              <w:tc>
                <w:tcPr>
                  <w:tcW w:w="2610" w:type="dxa"/>
                  <w:noWrap w:val="0"/>
                  <w:vAlign w:val="center"/>
                </w:tcPr>
                <w:p w14:paraId="05AA9E4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植筋孔个数</w:t>
                  </w:r>
                </w:p>
              </w:tc>
              <w:tc>
                <w:tcPr>
                  <w:tcW w:w="990" w:type="dxa"/>
                  <w:noWrap w:val="0"/>
                  <w:vAlign w:val="center"/>
                </w:tcPr>
                <w:p w14:paraId="7D0FB4F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个</w:t>
                  </w:r>
                </w:p>
              </w:tc>
              <w:tc>
                <w:tcPr>
                  <w:tcW w:w="1125" w:type="dxa"/>
                  <w:noWrap w:val="0"/>
                  <w:vAlign w:val="center"/>
                </w:tcPr>
                <w:p w14:paraId="5C3EEB9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3580</w:t>
                  </w:r>
                </w:p>
              </w:tc>
            </w:tr>
            <w:tr w14:paraId="6AC9C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705" w:type="dxa"/>
                  <w:vMerge w:val="continue"/>
                  <w:tcBorders>
                    <w:top w:val="nil"/>
                    <w:bottom w:val="nil"/>
                  </w:tcBorders>
                  <w:noWrap w:val="0"/>
                  <w:vAlign w:val="center"/>
                </w:tcPr>
                <w:p w14:paraId="3FC3D8F5">
                  <w:pPr>
                    <w:jc w:val="center"/>
                    <w:rPr>
                      <w:rFonts w:ascii="Times New Roman" w:hAnsi="Times New Roman" w:eastAsia="宋体"/>
                      <w:sz w:val="21"/>
                    </w:rPr>
                  </w:pPr>
                </w:p>
              </w:tc>
              <w:tc>
                <w:tcPr>
                  <w:tcW w:w="1125" w:type="dxa"/>
                  <w:vMerge w:val="continue"/>
                  <w:tcBorders>
                    <w:top w:val="nil"/>
                    <w:bottom w:val="nil"/>
                  </w:tcBorders>
                  <w:noWrap w:val="0"/>
                  <w:vAlign w:val="center"/>
                </w:tcPr>
                <w:p w14:paraId="5E620A8B">
                  <w:pPr>
                    <w:jc w:val="center"/>
                    <w:rPr>
                      <w:rFonts w:ascii="Times New Roman" w:hAnsi="Times New Roman" w:eastAsia="宋体"/>
                      <w:sz w:val="21"/>
                    </w:rPr>
                  </w:pPr>
                </w:p>
              </w:tc>
              <w:tc>
                <w:tcPr>
                  <w:tcW w:w="1402" w:type="dxa"/>
                  <w:vMerge w:val="continue"/>
                  <w:tcBorders>
                    <w:top w:val="nil"/>
                    <w:bottom w:val="nil"/>
                  </w:tcBorders>
                  <w:noWrap w:val="0"/>
                  <w:vAlign w:val="center"/>
                </w:tcPr>
                <w:p w14:paraId="5BF0DAF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p>
              </w:tc>
              <w:tc>
                <w:tcPr>
                  <w:tcW w:w="2610" w:type="dxa"/>
                  <w:noWrap w:val="0"/>
                  <w:vAlign w:val="center"/>
                </w:tcPr>
                <w:p w14:paraId="0739182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HRB400</w:t>
                  </w:r>
                </w:p>
              </w:tc>
              <w:tc>
                <w:tcPr>
                  <w:tcW w:w="990" w:type="dxa"/>
                  <w:noWrap w:val="0"/>
                  <w:vAlign w:val="center"/>
                </w:tcPr>
                <w:p w14:paraId="01107D2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kg</w:t>
                  </w:r>
                </w:p>
              </w:tc>
              <w:tc>
                <w:tcPr>
                  <w:tcW w:w="1125" w:type="dxa"/>
                  <w:noWrap w:val="0"/>
                  <w:vAlign w:val="center"/>
                </w:tcPr>
                <w:p w14:paraId="69D8A08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6788</w:t>
                  </w:r>
                </w:p>
              </w:tc>
            </w:tr>
            <w:tr w14:paraId="1AE13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05" w:type="dxa"/>
                  <w:vMerge w:val="continue"/>
                  <w:tcBorders>
                    <w:top w:val="nil"/>
                    <w:bottom w:val="nil"/>
                  </w:tcBorders>
                  <w:noWrap w:val="0"/>
                  <w:vAlign w:val="center"/>
                </w:tcPr>
                <w:p w14:paraId="54C9EA77">
                  <w:pPr>
                    <w:jc w:val="center"/>
                    <w:rPr>
                      <w:rFonts w:ascii="Times New Roman" w:hAnsi="Times New Roman" w:eastAsia="宋体"/>
                      <w:sz w:val="21"/>
                    </w:rPr>
                  </w:pPr>
                </w:p>
              </w:tc>
              <w:tc>
                <w:tcPr>
                  <w:tcW w:w="1125" w:type="dxa"/>
                  <w:vMerge w:val="continue"/>
                  <w:tcBorders>
                    <w:top w:val="nil"/>
                    <w:bottom w:val="nil"/>
                  </w:tcBorders>
                  <w:noWrap w:val="0"/>
                  <w:vAlign w:val="center"/>
                </w:tcPr>
                <w:p w14:paraId="064F3E2A">
                  <w:pPr>
                    <w:jc w:val="center"/>
                    <w:rPr>
                      <w:rFonts w:ascii="Times New Roman" w:hAnsi="Times New Roman" w:eastAsia="宋体"/>
                      <w:sz w:val="21"/>
                    </w:rPr>
                  </w:pPr>
                </w:p>
              </w:tc>
              <w:tc>
                <w:tcPr>
                  <w:tcW w:w="1402" w:type="dxa"/>
                  <w:vMerge w:val="continue"/>
                  <w:tcBorders>
                    <w:top w:val="nil"/>
                    <w:bottom w:val="nil"/>
                  </w:tcBorders>
                  <w:noWrap w:val="0"/>
                  <w:vAlign w:val="center"/>
                </w:tcPr>
                <w:p w14:paraId="047FB15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p>
              </w:tc>
              <w:tc>
                <w:tcPr>
                  <w:tcW w:w="2610" w:type="dxa"/>
                  <w:noWrap w:val="0"/>
                  <w:vAlign w:val="center"/>
                </w:tcPr>
                <w:p w14:paraId="47ABF74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A 级植筋胶</w:t>
                  </w:r>
                </w:p>
              </w:tc>
              <w:tc>
                <w:tcPr>
                  <w:tcW w:w="990" w:type="dxa"/>
                  <w:noWrap w:val="0"/>
                  <w:vAlign w:val="center"/>
                </w:tcPr>
                <w:p w14:paraId="37BFACD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1DBA2F3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0.30</w:t>
                  </w:r>
                </w:p>
              </w:tc>
            </w:tr>
            <w:tr w14:paraId="4F6F3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center"/>
                </w:tcPr>
                <w:p w14:paraId="347B5B18">
                  <w:pPr>
                    <w:jc w:val="center"/>
                    <w:rPr>
                      <w:rFonts w:ascii="Times New Roman" w:hAnsi="Times New Roman" w:eastAsia="宋体"/>
                      <w:sz w:val="21"/>
                    </w:rPr>
                  </w:pPr>
                </w:p>
              </w:tc>
              <w:tc>
                <w:tcPr>
                  <w:tcW w:w="1125" w:type="dxa"/>
                  <w:vMerge w:val="continue"/>
                  <w:tcBorders>
                    <w:top w:val="nil"/>
                    <w:bottom w:val="nil"/>
                  </w:tcBorders>
                  <w:noWrap w:val="0"/>
                  <w:vAlign w:val="center"/>
                </w:tcPr>
                <w:p w14:paraId="7A2718FA">
                  <w:pPr>
                    <w:jc w:val="center"/>
                    <w:rPr>
                      <w:rFonts w:ascii="Times New Roman" w:hAnsi="Times New Roman" w:eastAsia="宋体"/>
                      <w:sz w:val="21"/>
                    </w:rPr>
                  </w:pPr>
                </w:p>
              </w:tc>
              <w:tc>
                <w:tcPr>
                  <w:tcW w:w="1402" w:type="dxa"/>
                  <w:vMerge w:val="continue"/>
                  <w:tcBorders>
                    <w:top w:val="nil"/>
                  </w:tcBorders>
                  <w:noWrap w:val="0"/>
                  <w:vAlign w:val="center"/>
                </w:tcPr>
                <w:p w14:paraId="1429968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p>
              </w:tc>
              <w:tc>
                <w:tcPr>
                  <w:tcW w:w="2610" w:type="dxa"/>
                  <w:noWrap w:val="0"/>
                  <w:vAlign w:val="center"/>
                </w:tcPr>
                <w:p w14:paraId="7240C2B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 xml:space="preserve">植筋钻孔 </w:t>
                  </w:r>
                  <w:r>
                    <w:rPr>
                      <w:rFonts w:hint="eastAsia" w:ascii="Times New Roman" w:hAnsi="Times New Roman"/>
                      <w:spacing w:val="-7"/>
                      <w:sz w:val="22"/>
                      <w:szCs w:val="22"/>
                      <w:lang w:eastAsia="zh-CN"/>
                    </w:rPr>
                    <w:t>（</w:t>
                  </w:r>
                  <w:r>
                    <w:rPr>
                      <w:rFonts w:ascii="Times New Roman" w:hAnsi="Times New Roman" w:eastAsia="宋体"/>
                      <w:spacing w:val="-7"/>
                      <w:sz w:val="22"/>
                      <w:szCs w:val="22"/>
                    </w:rPr>
                    <w:t>直径 2cm</w:t>
                  </w:r>
                  <w:r>
                    <w:rPr>
                      <w:rFonts w:hint="eastAsia" w:ascii="Times New Roman" w:hAnsi="Times New Roman"/>
                      <w:spacing w:val="-7"/>
                      <w:sz w:val="22"/>
                      <w:szCs w:val="22"/>
                      <w:lang w:eastAsia="zh-CN"/>
                    </w:rPr>
                    <w:t>）</w:t>
                  </w:r>
                </w:p>
              </w:tc>
              <w:tc>
                <w:tcPr>
                  <w:tcW w:w="990" w:type="dxa"/>
                  <w:noWrap w:val="0"/>
                  <w:vAlign w:val="center"/>
                </w:tcPr>
                <w:p w14:paraId="72B2841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04472C9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1432</w:t>
                  </w:r>
                </w:p>
              </w:tc>
            </w:tr>
            <w:tr w14:paraId="546C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center"/>
                </w:tcPr>
                <w:p w14:paraId="2337E75F">
                  <w:pPr>
                    <w:jc w:val="center"/>
                    <w:rPr>
                      <w:rFonts w:ascii="Times New Roman" w:hAnsi="Times New Roman" w:eastAsia="宋体"/>
                      <w:sz w:val="21"/>
                    </w:rPr>
                  </w:pPr>
                </w:p>
              </w:tc>
              <w:tc>
                <w:tcPr>
                  <w:tcW w:w="1125" w:type="dxa"/>
                  <w:vMerge w:val="continue"/>
                  <w:tcBorders>
                    <w:top w:val="nil"/>
                    <w:bottom w:val="nil"/>
                  </w:tcBorders>
                  <w:noWrap w:val="0"/>
                  <w:vAlign w:val="center"/>
                </w:tcPr>
                <w:p w14:paraId="2ED979B2">
                  <w:pPr>
                    <w:jc w:val="center"/>
                    <w:rPr>
                      <w:rFonts w:ascii="Times New Roman" w:hAnsi="Times New Roman" w:eastAsia="宋体"/>
                      <w:sz w:val="21"/>
                    </w:rPr>
                  </w:pPr>
                </w:p>
              </w:tc>
              <w:tc>
                <w:tcPr>
                  <w:tcW w:w="4012" w:type="dxa"/>
                  <w:gridSpan w:val="2"/>
                  <w:noWrap w:val="0"/>
                  <w:vAlign w:val="center"/>
                </w:tcPr>
                <w:p w14:paraId="13942A8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沉井刻槽（高 50X 深 5cm）2 道</w:t>
                  </w:r>
                </w:p>
              </w:tc>
              <w:tc>
                <w:tcPr>
                  <w:tcW w:w="990" w:type="dxa"/>
                  <w:noWrap w:val="0"/>
                  <w:vAlign w:val="center"/>
                </w:tcPr>
                <w:p w14:paraId="02CD7B5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7D5DD61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14.4</w:t>
                  </w:r>
                </w:p>
              </w:tc>
            </w:tr>
            <w:tr w14:paraId="510AA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center"/>
                </w:tcPr>
                <w:p w14:paraId="38D0B85D">
                  <w:pPr>
                    <w:jc w:val="center"/>
                    <w:rPr>
                      <w:rFonts w:ascii="Times New Roman" w:hAnsi="Times New Roman" w:eastAsia="宋体"/>
                      <w:sz w:val="21"/>
                    </w:rPr>
                  </w:pPr>
                </w:p>
              </w:tc>
              <w:tc>
                <w:tcPr>
                  <w:tcW w:w="1125" w:type="dxa"/>
                  <w:vMerge w:val="continue"/>
                  <w:tcBorders>
                    <w:top w:val="nil"/>
                    <w:bottom w:val="nil"/>
                  </w:tcBorders>
                  <w:noWrap w:val="0"/>
                  <w:vAlign w:val="center"/>
                </w:tcPr>
                <w:p w14:paraId="3D913403">
                  <w:pPr>
                    <w:jc w:val="center"/>
                    <w:rPr>
                      <w:rFonts w:ascii="Times New Roman" w:hAnsi="Times New Roman" w:eastAsia="宋体"/>
                      <w:sz w:val="21"/>
                    </w:rPr>
                  </w:pPr>
                </w:p>
              </w:tc>
              <w:tc>
                <w:tcPr>
                  <w:tcW w:w="4012" w:type="dxa"/>
                  <w:gridSpan w:val="2"/>
                  <w:noWrap w:val="0"/>
                  <w:vAlign w:val="center"/>
                </w:tcPr>
                <w:p w14:paraId="23931C9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沉井（墩身）混凝土表面凿毛</w:t>
                  </w:r>
                </w:p>
              </w:tc>
              <w:tc>
                <w:tcPr>
                  <w:tcW w:w="990" w:type="dxa"/>
                  <w:noWrap w:val="0"/>
                  <w:vAlign w:val="center"/>
                </w:tcPr>
                <w:p w14:paraId="776464D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m²</w:t>
                  </w:r>
                </w:p>
              </w:tc>
              <w:tc>
                <w:tcPr>
                  <w:tcW w:w="1125" w:type="dxa"/>
                  <w:noWrap w:val="0"/>
                  <w:vAlign w:val="center"/>
                </w:tcPr>
                <w:p w14:paraId="7534450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572.4</w:t>
                  </w:r>
                </w:p>
              </w:tc>
            </w:tr>
            <w:tr w14:paraId="40F86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center"/>
                </w:tcPr>
                <w:p w14:paraId="25499E39">
                  <w:pPr>
                    <w:jc w:val="center"/>
                    <w:rPr>
                      <w:rFonts w:ascii="Times New Roman" w:hAnsi="Times New Roman" w:eastAsia="宋体"/>
                      <w:sz w:val="21"/>
                    </w:rPr>
                  </w:pPr>
                </w:p>
              </w:tc>
              <w:tc>
                <w:tcPr>
                  <w:tcW w:w="1125" w:type="dxa"/>
                  <w:vMerge w:val="continue"/>
                  <w:tcBorders>
                    <w:top w:val="nil"/>
                  </w:tcBorders>
                  <w:noWrap w:val="0"/>
                  <w:vAlign w:val="center"/>
                </w:tcPr>
                <w:p w14:paraId="224490BA">
                  <w:pPr>
                    <w:jc w:val="center"/>
                    <w:rPr>
                      <w:rFonts w:ascii="Times New Roman" w:hAnsi="Times New Roman" w:eastAsia="宋体"/>
                      <w:sz w:val="21"/>
                    </w:rPr>
                  </w:pPr>
                </w:p>
              </w:tc>
              <w:tc>
                <w:tcPr>
                  <w:tcW w:w="4012" w:type="dxa"/>
                  <w:gridSpan w:val="2"/>
                  <w:noWrap w:val="0"/>
                  <w:vAlign w:val="center"/>
                </w:tcPr>
                <w:p w14:paraId="3E82979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界面粘合剂</w:t>
                  </w:r>
                </w:p>
              </w:tc>
              <w:tc>
                <w:tcPr>
                  <w:tcW w:w="990" w:type="dxa"/>
                  <w:noWrap w:val="0"/>
                  <w:vAlign w:val="center"/>
                </w:tcPr>
                <w:p w14:paraId="53654F4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m²</w:t>
                  </w:r>
                </w:p>
              </w:tc>
              <w:tc>
                <w:tcPr>
                  <w:tcW w:w="1125" w:type="dxa"/>
                  <w:noWrap w:val="0"/>
                  <w:vAlign w:val="center"/>
                </w:tcPr>
                <w:p w14:paraId="6FBAD8E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572.4</w:t>
                  </w:r>
                </w:p>
              </w:tc>
            </w:tr>
            <w:tr w14:paraId="6F862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center"/>
                </w:tcPr>
                <w:p w14:paraId="44A61139">
                  <w:pPr>
                    <w:jc w:val="center"/>
                    <w:rPr>
                      <w:rFonts w:ascii="Times New Roman" w:hAnsi="Times New Roman" w:eastAsia="宋体"/>
                      <w:sz w:val="21"/>
                    </w:rPr>
                  </w:pPr>
                </w:p>
              </w:tc>
              <w:tc>
                <w:tcPr>
                  <w:tcW w:w="1125" w:type="dxa"/>
                  <w:vMerge w:val="restart"/>
                  <w:tcBorders>
                    <w:bottom w:val="nil"/>
                  </w:tcBorders>
                  <w:noWrap w:val="0"/>
                  <w:vAlign w:val="center"/>
                </w:tcPr>
                <w:p w14:paraId="4996CF0D">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承台及</w:t>
                  </w:r>
                </w:p>
                <w:p w14:paraId="286414F3">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z w:val="22"/>
                      <w:szCs w:val="22"/>
                    </w:rPr>
                  </w:pPr>
                  <w:r>
                    <w:rPr>
                      <w:rFonts w:ascii="Times New Roman" w:hAnsi="Times New Roman" w:eastAsia="宋体"/>
                      <w:spacing w:val="-2"/>
                      <w:sz w:val="22"/>
                      <w:szCs w:val="22"/>
                    </w:rPr>
                    <w:t>加</w:t>
                  </w:r>
                  <w:r>
                    <w:rPr>
                      <w:rFonts w:ascii="Times New Roman" w:hAnsi="Times New Roman" w:eastAsia="宋体"/>
                      <w:sz w:val="22"/>
                      <w:szCs w:val="22"/>
                    </w:rPr>
                    <w:t>台</w:t>
                  </w:r>
                </w:p>
              </w:tc>
              <w:tc>
                <w:tcPr>
                  <w:tcW w:w="1402" w:type="dxa"/>
                  <w:noWrap w:val="0"/>
                  <w:vAlign w:val="center"/>
                </w:tcPr>
                <w:p w14:paraId="4040B77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承台</w:t>
                  </w:r>
                </w:p>
              </w:tc>
              <w:tc>
                <w:tcPr>
                  <w:tcW w:w="2610" w:type="dxa"/>
                  <w:noWrap w:val="0"/>
                  <w:vAlign w:val="center"/>
                </w:tcPr>
                <w:p w14:paraId="07834B2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C35钢筋混凝土</w:t>
                  </w:r>
                  <w:r>
                    <w:rPr>
                      <w:rFonts w:hint="eastAsia" w:ascii="Times New Roman" w:hAnsi="Times New Roman"/>
                      <w:spacing w:val="-7"/>
                      <w:sz w:val="22"/>
                      <w:szCs w:val="22"/>
                      <w:lang w:eastAsia="zh-CN"/>
                    </w:rPr>
                    <w:t>（</w:t>
                  </w:r>
                  <w:r>
                    <w:rPr>
                      <w:rFonts w:ascii="Times New Roman" w:hAnsi="Times New Roman" w:eastAsia="宋体"/>
                      <w:spacing w:val="-7"/>
                      <w:sz w:val="22"/>
                      <w:szCs w:val="22"/>
                    </w:rPr>
                    <w:t>T2</w:t>
                  </w:r>
                  <w:r>
                    <w:rPr>
                      <w:rFonts w:hint="eastAsia" w:ascii="Times New Roman" w:hAnsi="Times New Roman"/>
                      <w:spacing w:val="-7"/>
                      <w:sz w:val="22"/>
                      <w:szCs w:val="22"/>
                      <w:lang w:eastAsia="zh-CN"/>
                    </w:rPr>
                    <w:t>）</w:t>
                  </w:r>
                </w:p>
              </w:tc>
              <w:tc>
                <w:tcPr>
                  <w:tcW w:w="990" w:type="dxa"/>
                  <w:noWrap w:val="0"/>
                  <w:vAlign w:val="center"/>
                </w:tcPr>
                <w:p w14:paraId="5813ECD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05B9840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1965.0</w:t>
                  </w:r>
                </w:p>
              </w:tc>
            </w:tr>
            <w:tr w14:paraId="0E800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05" w:type="dxa"/>
                  <w:vMerge w:val="continue"/>
                  <w:tcBorders>
                    <w:top w:val="nil"/>
                    <w:bottom w:val="nil"/>
                  </w:tcBorders>
                  <w:noWrap w:val="0"/>
                  <w:vAlign w:val="center"/>
                </w:tcPr>
                <w:p w14:paraId="14A617DD">
                  <w:pPr>
                    <w:jc w:val="center"/>
                    <w:rPr>
                      <w:rFonts w:ascii="Times New Roman" w:hAnsi="Times New Roman" w:eastAsia="宋体"/>
                      <w:sz w:val="21"/>
                    </w:rPr>
                  </w:pPr>
                </w:p>
              </w:tc>
              <w:tc>
                <w:tcPr>
                  <w:tcW w:w="1125" w:type="dxa"/>
                  <w:vMerge w:val="continue"/>
                  <w:tcBorders>
                    <w:top w:val="nil"/>
                    <w:bottom w:val="nil"/>
                  </w:tcBorders>
                  <w:noWrap w:val="0"/>
                  <w:vAlign w:val="center"/>
                </w:tcPr>
                <w:p w14:paraId="799534D3">
                  <w:pPr>
                    <w:jc w:val="center"/>
                    <w:rPr>
                      <w:rFonts w:ascii="Times New Roman" w:hAnsi="Times New Roman" w:eastAsia="宋体"/>
                      <w:sz w:val="21"/>
                    </w:rPr>
                  </w:pPr>
                </w:p>
              </w:tc>
              <w:tc>
                <w:tcPr>
                  <w:tcW w:w="1402" w:type="dxa"/>
                  <w:noWrap w:val="0"/>
                  <w:vAlign w:val="center"/>
                </w:tcPr>
                <w:p w14:paraId="5A1C622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加台</w:t>
                  </w:r>
                </w:p>
              </w:tc>
              <w:tc>
                <w:tcPr>
                  <w:tcW w:w="2610" w:type="dxa"/>
                  <w:noWrap w:val="0"/>
                  <w:vAlign w:val="center"/>
                </w:tcPr>
                <w:p w14:paraId="22753B5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C35钢筋混凝土</w:t>
                  </w:r>
                  <w:r>
                    <w:rPr>
                      <w:rFonts w:hint="eastAsia" w:ascii="Times New Roman" w:hAnsi="Times New Roman"/>
                      <w:spacing w:val="-7"/>
                      <w:sz w:val="22"/>
                      <w:szCs w:val="22"/>
                      <w:lang w:eastAsia="zh-CN"/>
                    </w:rPr>
                    <w:t>（</w:t>
                  </w:r>
                  <w:r>
                    <w:rPr>
                      <w:rFonts w:ascii="Times New Roman" w:hAnsi="Times New Roman" w:eastAsia="宋体"/>
                      <w:spacing w:val="-7"/>
                      <w:sz w:val="22"/>
                      <w:szCs w:val="22"/>
                    </w:rPr>
                    <w:t>T2</w:t>
                  </w:r>
                  <w:r>
                    <w:rPr>
                      <w:rFonts w:hint="eastAsia" w:ascii="Times New Roman" w:hAnsi="Times New Roman"/>
                      <w:spacing w:val="-7"/>
                      <w:sz w:val="22"/>
                      <w:szCs w:val="22"/>
                      <w:lang w:eastAsia="zh-CN"/>
                    </w:rPr>
                    <w:t>）</w:t>
                  </w:r>
                </w:p>
              </w:tc>
              <w:tc>
                <w:tcPr>
                  <w:tcW w:w="990" w:type="dxa"/>
                  <w:noWrap w:val="0"/>
                  <w:vAlign w:val="center"/>
                </w:tcPr>
                <w:p w14:paraId="4F49A77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7A4E27F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792.1</w:t>
                  </w:r>
                </w:p>
              </w:tc>
            </w:tr>
            <w:tr w14:paraId="136AF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center"/>
                </w:tcPr>
                <w:p w14:paraId="6386A835">
                  <w:pPr>
                    <w:jc w:val="center"/>
                    <w:rPr>
                      <w:rFonts w:ascii="Times New Roman" w:hAnsi="Times New Roman" w:eastAsia="宋体"/>
                      <w:sz w:val="21"/>
                    </w:rPr>
                  </w:pPr>
                </w:p>
              </w:tc>
              <w:tc>
                <w:tcPr>
                  <w:tcW w:w="1125" w:type="dxa"/>
                  <w:vMerge w:val="continue"/>
                  <w:tcBorders>
                    <w:top w:val="nil"/>
                  </w:tcBorders>
                  <w:noWrap w:val="0"/>
                  <w:vAlign w:val="center"/>
                </w:tcPr>
                <w:p w14:paraId="59A487C1">
                  <w:pPr>
                    <w:jc w:val="center"/>
                    <w:rPr>
                      <w:rFonts w:ascii="Times New Roman" w:hAnsi="Times New Roman" w:eastAsia="宋体"/>
                      <w:sz w:val="21"/>
                    </w:rPr>
                  </w:pPr>
                </w:p>
              </w:tc>
              <w:tc>
                <w:tcPr>
                  <w:tcW w:w="4012" w:type="dxa"/>
                  <w:gridSpan w:val="2"/>
                  <w:noWrap w:val="0"/>
                  <w:vAlign w:val="center"/>
                </w:tcPr>
                <w:p w14:paraId="76F388A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HRB400 钢筋</w:t>
                  </w:r>
                </w:p>
              </w:tc>
              <w:tc>
                <w:tcPr>
                  <w:tcW w:w="990" w:type="dxa"/>
                  <w:noWrap w:val="0"/>
                  <w:vAlign w:val="center"/>
                </w:tcPr>
                <w:p w14:paraId="2A5B46B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2"/>
                      <w:szCs w:val="22"/>
                      <w:lang w:val="en-US" w:eastAsia="zh-CN"/>
                    </w:rPr>
                  </w:pPr>
                  <w:r>
                    <w:rPr>
                      <w:rFonts w:hint="eastAsia" w:ascii="Times New Roman" w:hAnsi="Times New Roman"/>
                      <w:spacing w:val="-7"/>
                      <w:sz w:val="22"/>
                      <w:szCs w:val="22"/>
                      <w:lang w:val="en-US" w:eastAsia="zh-CN"/>
                    </w:rPr>
                    <w:t>kg</w:t>
                  </w:r>
                </w:p>
              </w:tc>
              <w:tc>
                <w:tcPr>
                  <w:tcW w:w="1125" w:type="dxa"/>
                  <w:noWrap w:val="0"/>
                  <w:vAlign w:val="center"/>
                </w:tcPr>
                <w:p w14:paraId="71EDFFE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275712</w:t>
                  </w:r>
                </w:p>
              </w:tc>
            </w:tr>
            <w:tr w14:paraId="576EF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center"/>
                </w:tcPr>
                <w:p w14:paraId="46CD4184">
                  <w:pPr>
                    <w:jc w:val="center"/>
                    <w:rPr>
                      <w:rFonts w:ascii="Times New Roman" w:hAnsi="Times New Roman" w:eastAsia="宋体"/>
                      <w:sz w:val="21"/>
                    </w:rPr>
                  </w:pPr>
                </w:p>
              </w:tc>
              <w:tc>
                <w:tcPr>
                  <w:tcW w:w="1125" w:type="dxa"/>
                  <w:vMerge w:val="restart"/>
                  <w:tcBorders>
                    <w:bottom w:val="nil"/>
                  </w:tcBorders>
                  <w:noWrap w:val="0"/>
                  <w:vAlign w:val="center"/>
                </w:tcPr>
                <w:p w14:paraId="4AB1F518">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直径</w:t>
                  </w:r>
                </w:p>
                <w:p w14:paraId="58C03B7E">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1.25m钻</w:t>
                  </w:r>
                </w:p>
                <w:p w14:paraId="3290C0D6">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孔桩</w:t>
                  </w:r>
                </w:p>
              </w:tc>
              <w:tc>
                <w:tcPr>
                  <w:tcW w:w="4012" w:type="dxa"/>
                  <w:gridSpan w:val="2"/>
                  <w:noWrap w:val="0"/>
                  <w:vAlign w:val="center"/>
                </w:tcPr>
                <w:p w14:paraId="5DA4018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总桩长</w:t>
                  </w:r>
                </w:p>
              </w:tc>
              <w:tc>
                <w:tcPr>
                  <w:tcW w:w="990" w:type="dxa"/>
                  <w:noWrap w:val="0"/>
                  <w:vAlign w:val="center"/>
                </w:tcPr>
                <w:p w14:paraId="4BD1EF5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65DCFEE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3000</w:t>
                  </w:r>
                </w:p>
              </w:tc>
            </w:tr>
            <w:tr w14:paraId="0A3CC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top"/>
                </w:tcPr>
                <w:p w14:paraId="1901F175">
                  <w:pPr>
                    <w:rPr>
                      <w:rFonts w:ascii="Times New Roman" w:hAnsi="Times New Roman" w:eastAsia="宋体"/>
                      <w:sz w:val="21"/>
                    </w:rPr>
                  </w:pPr>
                </w:p>
              </w:tc>
              <w:tc>
                <w:tcPr>
                  <w:tcW w:w="1125" w:type="dxa"/>
                  <w:vMerge w:val="continue"/>
                  <w:tcBorders>
                    <w:top w:val="nil"/>
                    <w:bottom w:val="nil"/>
                  </w:tcBorders>
                  <w:noWrap w:val="0"/>
                  <w:vAlign w:val="top"/>
                </w:tcPr>
                <w:p w14:paraId="7723A89D">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567263F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桩根数</w:t>
                  </w:r>
                </w:p>
              </w:tc>
              <w:tc>
                <w:tcPr>
                  <w:tcW w:w="990" w:type="dxa"/>
                  <w:noWrap w:val="0"/>
                  <w:vAlign w:val="center"/>
                </w:tcPr>
                <w:p w14:paraId="47A3B6D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根</w:t>
                  </w:r>
                </w:p>
              </w:tc>
              <w:tc>
                <w:tcPr>
                  <w:tcW w:w="1125" w:type="dxa"/>
                  <w:noWrap w:val="0"/>
                  <w:vAlign w:val="center"/>
                </w:tcPr>
                <w:p w14:paraId="7F064FE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90</w:t>
                  </w:r>
                </w:p>
              </w:tc>
            </w:tr>
            <w:tr w14:paraId="44BC3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top"/>
                </w:tcPr>
                <w:p w14:paraId="720B6B5D">
                  <w:pPr>
                    <w:rPr>
                      <w:rFonts w:ascii="Times New Roman" w:hAnsi="Times New Roman" w:eastAsia="宋体"/>
                      <w:sz w:val="21"/>
                    </w:rPr>
                  </w:pPr>
                </w:p>
              </w:tc>
              <w:tc>
                <w:tcPr>
                  <w:tcW w:w="1125" w:type="dxa"/>
                  <w:vMerge w:val="continue"/>
                  <w:tcBorders>
                    <w:top w:val="nil"/>
                    <w:bottom w:val="nil"/>
                  </w:tcBorders>
                  <w:noWrap w:val="0"/>
                  <w:vAlign w:val="top"/>
                </w:tcPr>
                <w:p w14:paraId="3825A064">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76C2799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桩基 C35 钢筋混凝土</w:t>
                  </w:r>
                  <w:r>
                    <w:rPr>
                      <w:rFonts w:hint="eastAsia" w:ascii="Times New Roman" w:hAnsi="Times New Roman"/>
                      <w:spacing w:val="-7"/>
                      <w:sz w:val="22"/>
                      <w:szCs w:val="22"/>
                      <w:lang w:eastAsia="zh-CN"/>
                    </w:rPr>
                    <w:t>（</w:t>
                  </w:r>
                  <w:r>
                    <w:rPr>
                      <w:rFonts w:ascii="Times New Roman" w:hAnsi="Times New Roman" w:eastAsia="宋体"/>
                      <w:spacing w:val="-7"/>
                      <w:sz w:val="22"/>
                      <w:szCs w:val="22"/>
                    </w:rPr>
                    <w:t>T1</w:t>
                  </w:r>
                  <w:r>
                    <w:rPr>
                      <w:rFonts w:hint="eastAsia" w:ascii="Times New Roman" w:hAnsi="Times New Roman"/>
                      <w:spacing w:val="-7"/>
                      <w:sz w:val="22"/>
                      <w:szCs w:val="22"/>
                      <w:lang w:eastAsia="zh-CN"/>
                    </w:rPr>
                    <w:t>）</w:t>
                  </w:r>
                </w:p>
              </w:tc>
              <w:tc>
                <w:tcPr>
                  <w:tcW w:w="990" w:type="dxa"/>
                  <w:noWrap w:val="0"/>
                  <w:vAlign w:val="center"/>
                </w:tcPr>
                <w:p w14:paraId="2B0D44C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5ED5CD0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3681.5</w:t>
                  </w:r>
                </w:p>
              </w:tc>
            </w:tr>
            <w:tr w14:paraId="35E87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top"/>
                </w:tcPr>
                <w:p w14:paraId="681B45FC">
                  <w:pPr>
                    <w:rPr>
                      <w:rFonts w:ascii="Times New Roman" w:hAnsi="Times New Roman" w:eastAsia="宋体"/>
                      <w:sz w:val="21"/>
                    </w:rPr>
                  </w:pPr>
                </w:p>
              </w:tc>
              <w:tc>
                <w:tcPr>
                  <w:tcW w:w="1125" w:type="dxa"/>
                  <w:vMerge w:val="continue"/>
                  <w:tcBorders>
                    <w:top w:val="nil"/>
                    <w:bottom w:val="nil"/>
                  </w:tcBorders>
                  <w:noWrap w:val="0"/>
                  <w:vAlign w:val="top"/>
                </w:tcPr>
                <w:p w14:paraId="347C7DFD">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7B20BA7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HPB300 钢筋 Φ≤10/</w:t>
                  </w:r>
                </w:p>
              </w:tc>
              <w:tc>
                <w:tcPr>
                  <w:tcW w:w="990" w:type="dxa"/>
                  <w:noWrap w:val="0"/>
                  <w:vAlign w:val="center"/>
                </w:tcPr>
                <w:p w14:paraId="153B87D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2"/>
                      <w:szCs w:val="22"/>
                      <w:lang w:val="en-US" w:eastAsia="zh-CN"/>
                    </w:rPr>
                  </w:pPr>
                  <w:r>
                    <w:rPr>
                      <w:rFonts w:hint="eastAsia" w:ascii="Times New Roman" w:hAnsi="Times New Roman"/>
                      <w:spacing w:val="-7"/>
                      <w:sz w:val="22"/>
                      <w:szCs w:val="22"/>
                      <w:lang w:val="en-US" w:eastAsia="zh-CN"/>
                    </w:rPr>
                    <w:t>kg</w:t>
                  </w:r>
                </w:p>
              </w:tc>
              <w:tc>
                <w:tcPr>
                  <w:tcW w:w="1125" w:type="dxa"/>
                  <w:noWrap w:val="0"/>
                  <w:vAlign w:val="center"/>
                </w:tcPr>
                <w:p w14:paraId="74489A5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1800</w:t>
                  </w:r>
                </w:p>
              </w:tc>
            </w:tr>
            <w:tr w14:paraId="5260E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05" w:type="dxa"/>
                  <w:vMerge w:val="continue"/>
                  <w:tcBorders>
                    <w:top w:val="nil"/>
                    <w:bottom w:val="nil"/>
                  </w:tcBorders>
                  <w:noWrap w:val="0"/>
                  <w:vAlign w:val="top"/>
                </w:tcPr>
                <w:p w14:paraId="1D5C05C7">
                  <w:pPr>
                    <w:rPr>
                      <w:rFonts w:ascii="Times New Roman" w:hAnsi="Times New Roman" w:eastAsia="宋体"/>
                      <w:sz w:val="21"/>
                    </w:rPr>
                  </w:pPr>
                </w:p>
              </w:tc>
              <w:tc>
                <w:tcPr>
                  <w:tcW w:w="1125" w:type="dxa"/>
                  <w:vMerge w:val="continue"/>
                  <w:tcBorders>
                    <w:top w:val="nil"/>
                    <w:bottom w:val="nil"/>
                  </w:tcBorders>
                  <w:noWrap w:val="0"/>
                  <w:vAlign w:val="top"/>
                </w:tcPr>
                <w:p w14:paraId="536AC67F">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6026CA1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HPB300 钢筋 Φ&gt;10</w:t>
                  </w:r>
                </w:p>
              </w:tc>
              <w:tc>
                <w:tcPr>
                  <w:tcW w:w="990" w:type="dxa"/>
                  <w:noWrap w:val="0"/>
                  <w:vAlign w:val="center"/>
                </w:tcPr>
                <w:p w14:paraId="7F42489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pacing w:val="-7"/>
                      <w:sz w:val="22"/>
                      <w:szCs w:val="22"/>
                      <w:lang w:eastAsia="zh-CN"/>
                    </w:rPr>
                  </w:pPr>
                  <w:r>
                    <w:rPr>
                      <w:rFonts w:hint="eastAsia" w:ascii="Times New Roman" w:hAnsi="Times New Roman"/>
                      <w:spacing w:val="-7"/>
                      <w:sz w:val="22"/>
                      <w:szCs w:val="22"/>
                      <w:lang w:val="en-US" w:eastAsia="zh-CN"/>
                    </w:rPr>
                    <w:t>kg</w:t>
                  </w:r>
                </w:p>
              </w:tc>
              <w:tc>
                <w:tcPr>
                  <w:tcW w:w="1125" w:type="dxa"/>
                  <w:noWrap w:val="0"/>
                  <w:vAlign w:val="center"/>
                </w:tcPr>
                <w:p w14:paraId="125E232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222504</w:t>
                  </w:r>
                </w:p>
              </w:tc>
            </w:tr>
            <w:tr w14:paraId="59E56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top"/>
                </w:tcPr>
                <w:p w14:paraId="3874F1CA">
                  <w:pPr>
                    <w:rPr>
                      <w:rFonts w:ascii="Times New Roman" w:hAnsi="Times New Roman" w:eastAsia="宋体"/>
                      <w:sz w:val="21"/>
                    </w:rPr>
                  </w:pPr>
                </w:p>
              </w:tc>
              <w:tc>
                <w:tcPr>
                  <w:tcW w:w="1125" w:type="dxa"/>
                  <w:vMerge w:val="continue"/>
                  <w:tcBorders>
                    <w:top w:val="nil"/>
                    <w:bottom w:val="nil"/>
                  </w:tcBorders>
                  <w:noWrap w:val="0"/>
                  <w:vAlign w:val="top"/>
                </w:tcPr>
                <w:p w14:paraId="74258E2A">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451F4CC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桩穿普通土</w:t>
                  </w:r>
                </w:p>
              </w:tc>
              <w:tc>
                <w:tcPr>
                  <w:tcW w:w="990" w:type="dxa"/>
                  <w:noWrap w:val="0"/>
                  <w:vAlign w:val="center"/>
                </w:tcPr>
                <w:p w14:paraId="550F14F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30F82DA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2910</w:t>
                  </w:r>
                </w:p>
              </w:tc>
            </w:tr>
            <w:tr w14:paraId="5C5E1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top"/>
                </w:tcPr>
                <w:p w14:paraId="72693251">
                  <w:pPr>
                    <w:rPr>
                      <w:rFonts w:ascii="Times New Roman" w:hAnsi="Times New Roman" w:eastAsia="宋体"/>
                      <w:sz w:val="21"/>
                    </w:rPr>
                  </w:pPr>
                </w:p>
              </w:tc>
              <w:tc>
                <w:tcPr>
                  <w:tcW w:w="1125" w:type="dxa"/>
                  <w:vMerge w:val="continue"/>
                  <w:tcBorders>
                    <w:top w:val="nil"/>
                    <w:bottom w:val="nil"/>
                  </w:tcBorders>
                  <w:noWrap w:val="0"/>
                  <w:vAlign w:val="top"/>
                </w:tcPr>
                <w:p w14:paraId="78DAAE02">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48246AD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桩穿卵石土</w:t>
                  </w:r>
                </w:p>
              </w:tc>
              <w:tc>
                <w:tcPr>
                  <w:tcW w:w="990" w:type="dxa"/>
                  <w:noWrap w:val="0"/>
                  <w:vAlign w:val="center"/>
                </w:tcPr>
                <w:p w14:paraId="5DCFA5F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3C63CBE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270</w:t>
                  </w:r>
                </w:p>
              </w:tc>
            </w:tr>
            <w:tr w14:paraId="3631E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05" w:type="dxa"/>
                  <w:vMerge w:val="continue"/>
                  <w:tcBorders>
                    <w:top w:val="nil"/>
                    <w:bottom w:val="nil"/>
                  </w:tcBorders>
                  <w:noWrap w:val="0"/>
                  <w:vAlign w:val="top"/>
                </w:tcPr>
                <w:p w14:paraId="6C27088C">
                  <w:pPr>
                    <w:rPr>
                      <w:rFonts w:ascii="Times New Roman" w:hAnsi="Times New Roman" w:eastAsia="宋体"/>
                      <w:sz w:val="21"/>
                    </w:rPr>
                  </w:pPr>
                </w:p>
              </w:tc>
              <w:tc>
                <w:tcPr>
                  <w:tcW w:w="1125" w:type="dxa"/>
                  <w:vMerge w:val="continue"/>
                  <w:tcBorders>
                    <w:top w:val="nil"/>
                    <w:bottom w:val="nil"/>
                  </w:tcBorders>
                  <w:noWrap w:val="0"/>
                  <w:vAlign w:val="top"/>
                </w:tcPr>
                <w:p w14:paraId="2BB293DC">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2442112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钢护筒（215kg/m）按永久计列</w:t>
                  </w:r>
                </w:p>
              </w:tc>
              <w:tc>
                <w:tcPr>
                  <w:tcW w:w="990" w:type="dxa"/>
                  <w:noWrap w:val="0"/>
                  <w:vAlign w:val="center"/>
                </w:tcPr>
                <w:p w14:paraId="0ADBC3E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6533895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360</w:t>
                  </w:r>
                </w:p>
              </w:tc>
            </w:tr>
            <w:tr w14:paraId="58AA6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05" w:type="dxa"/>
                  <w:vMerge w:val="continue"/>
                  <w:tcBorders>
                    <w:top w:val="nil"/>
                    <w:bottom w:val="nil"/>
                  </w:tcBorders>
                  <w:noWrap w:val="0"/>
                  <w:vAlign w:val="top"/>
                </w:tcPr>
                <w:p w14:paraId="779C78CA">
                  <w:pPr>
                    <w:rPr>
                      <w:rFonts w:ascii="Times New Roman" w:hAnsi="Times New Roman" w:eastAsia="宋体"/>
                      <w:sz w:val="21"/>
                    </w:rPr>
                  </w:pPr>
                </w:p>
              </w:tc>
              <w:tc>
                <w:tcPr>
                  <w:tcW w:w="1125" w:type="dxa"/>
                  <w:vMerge w:val="continue"/>
                  <w:tcBorders>
                    <w:top w:val="nil"/>
                    <w:bottom w:val="nil"/>
                  </w:tcBorders>
                  <w:noWrap w:val="0"/>
                  <w:vAlign w:val="top"/>
                </w:tcPr>
                <w:p w14:paraId="578C6C41">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1402" w:type="dxa"/>
                  <w:noWrap w:val="0"/>
                  <w:vAlign w:val="center"/>
                </w:tcPr>
                <w:p w14:paraId="78B53E3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桩基检测</w:t>
                  </w:r>
                </w:p>
              </w:tc>
              <w:tc>
                <w:tcPr>
                  <w:tcW w:w="2610" w:type="dxa"/>
                  <w:noWrap w:val="0"/>
                  <w:vAlign w:val="center"/>
                </w:tcPr>
                <w:p w14:paraId="4F31383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检测根数</w:t>
                  </w:r>
                </w:p>
              </w:tc>
              <w:tc>
                <w:tcPr>
                  <w:tcW w:w="990" w:type="dxa"/>
                  <w:noWrap w:val="0"/>
                  <w:vAlign w:val="center"/>
                </w:tcPr>
                <w:p w14:paraId="2816A11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根</w:t>
                  </w:r>
                </w:p>
              </w:tc>
              <w:tc>
                <w:tcPr>
                  <w:tcW w:w="1125" w:type="dxa"/>
                  <w:noWrap w:val="0"/>
                  <w:vAlign w:val="center"/>
                </w:tcPr>
                <w:p w14:paraId="01490C3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90</w:t>
                  </w:r>
                </w:p>
              </w:tc>
            </w:tr>
            <w:tr w14:paraId="74AED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tcBorders>
                    <w:top w:val="nil"/>
                    <w:bottom w:val="nil"/>
                  </w:tcBorders>
                  <w:noWrap w:val="0"/>
                  <w:vAlign w:val="top"/>
                </w:tcPr>
                <w:p w14:paraId="6512BF5E">
                  <w:pPr>
                    <w:rPr>
                      <w:rFonts w:ascii="Times New Roman" w:hAnsi="Times New Roman" w:eastAsia="宋体"/>
                      <w:sz w:val="21"/>
                    </w:rPr>
                  </w:pPr>
                </w:p>
              </w:tc>
              <w:tc>
                <w:tcPr>
                  <w:tcW w:w="1125" w:type="dxa"/>
                  <w:vMerge w:val="continue"/>
                  <w:tcBorders>
                    <w:top w:val="nil"/>
                    <w:bottom w:val="nil"/>
                  </w:tcBorders>
                  <w:noWrap w:val="0"/>
                  <w:vAlign w:val="top"/>
                </w:tcPr>
                <w:p w14:paraId="1DF05413">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36FADCF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挖基土</w:t>
                  </w:r>
                </w:p>
              </w:tc>
              <w:tc>
                <w:tcPr>
                  <w:tcW w:w="990" w:type="dxa"/>
                  <w:noWrap w:val="0"/>
                  <w:vAlign w:val="center"/>
                </w:tcPr>
                <w:p w14:paraId="317FCF2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5680EAA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2948</w:t>
                  </w:r>
                </w:p>
              </w:tc>
            </w:tr>
            <w:tr w14:paraId="43D9C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05" w:type="dxa"/>
                  <w:vMerge w:val="continue"/>
                  <w:tcBorders>
                    <w:top w:val="nil"/>
                    <w:bottom w:val="nil"/>
                  </w:tcBorders>
                  <w:noWrap w:val="0"/>
                  <w:vAlign w:val="top"/>
                </w:tcPr>
                <w:p w14:paraId="64DCBC75">
                  <w:pPr>
                    <w:rPr>
                      <w:rFonts w:ascii="Times New Roman" w:hAnsi="Times New Roman" w:eastAsia="宋体"/>
                      <w:sz w:val="21"/>
                    </w:rPr>
                  </w:pPr>
                </w:p>
              </w:tc>
              <w:tc>
                <w:tcPr>
                  <w:tcW w:w="1125" w:type="dxa"/>
                  <w:vMerge w:val="continue"/>
                  <w:tcBorders>
                    <w:top w:val="nil"/>
                    <w:bottom w:val="nil"/>
                  </w:tcBorders>
                  <w:noWrap w:val="0"/>
                  <w:vAlign w:val="top"/>
                </w:tcPr>
                <w:p w14:paraId="5F6B4541">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3D83225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回填土</w:t>
                  </w:r>
                </w:p>
              </w:tc>
              <w:tc>
                <w:tcPr>
                  <w:tcW w:w="990" w:type="dxa"/>
                  <w:noWrap w:val="0"/>
                  <w:vAlign w:val="center"/>
                </w:tcPr>
                <w:p w14:paraId="55B9BDE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2097626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2948</w:t>
                  </w:r>
                </w:p>
              </w:tc>
            </w:tr>
            <w:tr w14:paraId="20C1D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05" w:type="dxa"/>
                  <w:vMerge w:val="restart"/>
                  <w:noWrap w:val="0"/>
                  <w:vAlign w:val="center"/>
                </w:tcPr>
                <w:p w14:paraId="33C1182D">
                  <w:pPr>
                    <w:pStyle w:val="38"/>
                    <w:spacing w:before="72" w:line="304" w:lineRule="auto"/>
                    <w:ind w:left="140" w:right="129"/>
                    <w:jc w:val="center"/>
                    <w:rPr>
                      <w:rFonts w:ascii="Times New Roman" w:hAnsi="Times New Roman" w:eastAsia="宋体"/>
                      <w:sz w:val="22"/>
                      <w:szCs w:val="22"/>
                    </w:rPr>
                  </w:pPr>
                  <w:r>
                    <w:rPr>
                      <w:rFonts w:ascii="Times New Roman" w:hAnsi="Times New Roman" w:eastAsia="宋体"/>
                      <w:spacing w:val="-5"/>
                      <w:sz w:val="22"/>
                      <w:szCs w:val="22"/>
                    </w:rPr>
                    <w:t>大临工程</w:t>
                  </w:r>
                </w:p>
              </w:tc>
              <w:tc>
                <w:tcPr>
                  <w:tcW w:w="1125" w:type="dxa"/>
                  <w:vMerge w:val="restart"/>
                  <w:tcBorders>
                    <w:bottom w:val="nil"/>
                  </w:tcBorders>
                  <w:noWrap w:val="0"/>
                  <w:vAlign w:val="center"/>
                </w:tcPr>
                <w:p w14:paraId="47BC4F48">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便道</w:t>
                  </w:r>
                </w:p>
              </w:tc>
              <w:tc>
                <w:tcPr>
                  <w:tcW w:w="1402" w:type="dxa"/>
                  <w:noWrap w:val="0"/>
                  <w:vAlign w:val="center"/>
                </w:tcPr>
                <w:p w14:paraId="47FB358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便道长度</w:t>
                  </w:r>
                </w:p>
              </w:tc>
              <w:tc>
                <w:tcPr>
                  <w:tcW w:w="2610" w:type="dxa"/>
                  <w:noWrap w:val="0"/>
                  <w:vAlign w:val="center"/>
                </w:tcPr>
                <w:p w14:paraId="114D51F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宽度 5m</w:t>
                  </w:r>
                </w:p>
              </w:tc>
              <w:tc>
                <w:tcPr>
                  <w:tcW w:w="990" w:type="dxa"/>
                  <w:noWrap w:val="0"/>
                  <w:vAlign w:val="center"/>
                </w:tcPr>
                <w:p w14:paraId="5C4906E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46D5F94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800</w:t>
                  </w:r>
                </w:p>
              </w:tc>
            </w:tr>
            <w:tr w14:paraId="46BE1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05" w:type="dxa"/>
                  <w:vMerge w:val="continue"/>
                  <w:noWrap w:val="0"/>
                  <w:vAlign w:val="top"/>
                </w:tcPr>
                <w:p w14:paraId="4CAC34A8">
                  <w:pPr>
                    <w:rPr>
                      <w:rFonts w:ascii="Times New Roman" w:hAnsi="Times New Roman" w:eastAsia="宋体"/>
                      <w:sz w:val="21"/>
                    </w:rPr>
                  </w:pPr>
                </w:p>
              </w:tc>
              <w:tc>
                <w:tcPr>
                  <w:tcW w:w="1125" w:type="dxa"/>
                  <w:vMerge w:val="continue"/>
                  <w:tcBorders>
                    <w:top w:val="nil"/>
                    <w:bottom w:val="nil"/>
                  </w:tcBorders>
                  <w:noWrap w:val="0"/>
                  <w:vAlign w:val="top"/>
                </w:tcPr>
                <w:p w14:paraId="072947EB">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1402" w:type="dxa"/>
                  <w:noWrap w:val="0"/>
                  <w:vAlign w:val="center"/>
                </w:tcPr>
                <w:p w14:paraId="00ADE51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泥结碎石</w:t>
                  </w:r>
                </w:p>
              </w:tc>
              <w:tc>
                <w:tcPr>
                  <w:tcW w:w="2610" w:type="dxa"/>
                  <w:noWrap w:val="0"/>
                  <w:vAlign w:val="center"/>
                </w:tcPr>
                <w:p w14:paraId="43B5EDF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厚度 20cm</w:t>
                  </w:r>
                </w:p>
              </w:tc>
              <w:tc>
                <w:tcPr>
                  <w:tcW w:w="990" w:type="dxa"/>
                  <w:noWrap w:val="0"/>
                  <w:vAlign w:val="center"/>
                </w:tcPr>
                <w:p w14:paraId="5E585F5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m²</w:t>
                  </w:r>
                </w:p>
              </w:tc>
              <w:tc>
                <w:tcPr>
                  <w:tcW w:w="1125" w:type="dxa"/>
                  <w:noWrap w:val="0"/>
                  <w:vAlign w:val="center"/>
                </w:tcPr>
                <w:p w14:paraId="178C720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4000</w:t>
                  </w:r>
                </w:p>
              </w:tc>
            </w:tr>
            <w:tr w14:paraId="6BC5B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noWrap w:val="0"/>
                  <w:vAlign w:val="top"/>
                </w:tcPr>
                <w:p w14:paraId="6B4350A2">
                  <w:pPr>
                    <w:rPr>
                      <w:rFonts w:ascii="Times New Roman" w:hAnsi="Times New Roman" w:eastAsia="宋体"/>
                      <w:sz w:val="21"/>
                    </w:rPr>
                  </w:pPr>
                </w:p>
              </w:tc>
              <w:tc>
                <w:tcPr>
                  <w:tcW w:w="1125" w:type="dxa"/>
                  <w:vMerge w:val="continue"/>
                  <w:tcBorders>
                    <w:top w:val="nil"/>
                  </w:tcBorders>
                  <w:noWrap w:val="0"/>
                  <w:vAlign w:val="top"/>
                </w:tcPr>
                <w:p w14:paraId="66D946BF">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4012" w:type="dxa"/>
                  <w:gridSpan w:val="2"/>
                  <w:noWrap w:val="0"/>
                  <w:vAlign w:val="center"/>
                </w:tcPr>
                <w:p w14:paraId="6C622F8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夯填土</w:t>
                  </w:r>
                </w:p>
              </w:tc>
              <w:tc>
                <w:tcPr>
                  <w:tcW w:w="990" w:type="dxa"/>
                  <w:noWrap w:val="0"/>
                  <w:vAlign w:val="center"/>
                </w:tcPr>
                <w:p w14:paraId="2D464D6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6FC7D3D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4800</w:t>
                  </w:r>
                </w:p>
              </w:tc>
            </w:tr>
            <w:tr w14:paraId="4C8AD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05" w:type="dxa"/>
                  <w:vMerge w:val="continue"/>
                  <w:noWrap w:val="0"/>
                  <w:vAlign w:val="top"/>
                </w:tcPr>
                <w:p w14:paraId="68417149">
                  <w:pPr>
                    <w:rPr>
                      <w:rFonts w:ascii="Times New Roman" w:hAnsi="Times New Roman" w:eastAsia="宋体"/>
                      <w:sz w:val="21"/>
                    </w:rPr>
                  </w:pPr>
                </w:p>
              </w:tc>
              <w:tc>
                <w:tcPr>
                  <w:tcW w:w="1125" w:type="dxa"/>
                  <w:vMerge w:val="restart"/>
                  <w:tcBorders>
                    <w:bottom w:val="nil"/>
                  </w:tcBorders>
                  <w:noWrap w:val="0"/>
                  <w:vAlign w:val="center"/>
                </w:tcPr>
                <w:p w14:paraId="39B08B0A">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临时栈桥</w:t>
                  </w:r>
                </w:p>
              </w:tc>
              <w:tc>
                <w:tcPr>
                  <w:tcW w:w="1402" w:type="dxa"/>
                  <w:noWrap w:val="0"/>
                  <w:vAlign w:val="center"/>
                </w:tcPr>
                <w:p w14:paraId="7FC7E71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长度</w:t>
                  </w:r>
                </w:p>
              </w:tc>
              <w:tc>
                <w:tcPr>
                  <w:tcW w:w="2610" w:type="dxa"/>
                  <w:noWrap w:val="0"/>
                  <w:vAlign w:val="center"/>
                </w:tcPr>
                <w:p w14:paraId="6C97D96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水深 6m</w:t>
                  </w:r>
                </w:p>
              </w:tc>
              <w:tc>
                <w:tcPr>
                  <w:tcW w:w="990" w:type="dxa"/>
                  <w:noWrap w:val="0"/>
                  <w:vAlign w:val="center"/>
                </w:tcPr>
                <w:p w14:paraId="39A6205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w:t>
                  </w:r>
                </w:p>
              </w:tc>
              <w:tc>
                <w:tcPr>
                  <w:tcW w:w="1125" w:type="dxa"/>
                  <w:noWrap w:val="0"/>
                  <w:vAlign w:val="center"/>
                </w:tcPr>
                <w:p w14:paraId="0D28EF1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140.0</w:t>
                  </w:r>
                </w:p>
              </w:tc>
            </w:tr>
            <w:tr w14:paraId="6A0D7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noWrap w:val="0"/>
                  <w:vAlign w:val="top"/>
                </w:tcPr>
                <w:p w14:paraId="35B9D181">
                  <w:pPr>
                    <w:rPr>
                      <w:rFonts w:ascii="Times New Roman" w:hAnsi="Times New Roman" w:eastAsia="宋体"/>
                      <w:sz w:val="21"/>
                    </w:rPr>
                  </w:pPr>
                </w:p>
              </w:tc>
              <w:tc>
                <w:tcPr>
                  <w:tcW w:w="1125" w:type="dxa"/>
                  <w:vMerge w:val="continue"/>
                  <w:tcBorders>
                    <w:top w:val="nil"/>
                  </w:tcBorders>
                  <w:noWrap w:val="0"/>
                  <w:vAlign w:val="top"/>
                </w:tcPr>
                <w:p w14:paraId="6BA406C6">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p>
              </w:tc>
              <w:tc>
                <w:tcPr>
                  <w:tcW w:w="1402" w:type="dxa"/>
                  <w:noWrap w:val="0"/>
                  <w:vAlign w:val="center"/>
                </w:tcPr>
                <w:p w14:paraId="6C3B02C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面积</w:t>
                  </w:r>
                </w:p>
              </w:tc>
              <w:tc>
                <w:tcPr>
                  <w:tcW w:w="2610" w:type="dxa"/>
                  <w:noWrap w:val="0"/>
                  <w:vAlign w:val="center"/>
                </w:tcPr>
                <w:p w14:paraId="497B708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宽度 5m</w:t>
                  </w:r>
                </w:p>
              </w:tc>
              <w:tc>
                <w:tcPr>
                  <w:tcW w:w="990" w:type="dxa"/>
                  <w:noWrap w:val="0"/>
                  <w:vAlign w:val="center"/>
                </w:tcPr>
                <w:p w14:paraId="3EB6505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m²</w:t>
                  </w:r>
                </w:p>
              </w:tc>
              <w:tc>
                <w:tcPr>
                  <w:tcW w:w="1125" w:type="dxa"/>
                  <w:noWrap w:val="0"/>
                  <w:vAlign w:val="center"/>
                </w:tcPr>
                <w:p w14:paraId="67751EA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700</w:t>
                  </w:r>
                </w:p>
              </w:tc>
            </w:tr>
            <w:tr w14:paraId="6E27C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05" w:type="dxa"/>
                  <w:vMerge w:val="continue"/>
                  <w:noWrap w:val="0"/>
                  <w:vAlign w:val="top"/>
                </w:tcPr>
                <w:p w14:paraId="77785B53">
                  <w:pPr>
                    <w:rPr>
                      <w:rFonts w:ascii="Times New Roman" w:hAnsi="Times New Roman" w:eastAsia="宋体"/>
                      <w:sz w:val="21"/>
                    </w:rPr>
                  </w:pPr>
                </w:p>
              </w:tc>
              <w:tc>
                <w:tcPr>
                  <w:tcW w:w="1125" w:type="dxa"/>
                  <w:vMerge w:val="restart"/>
                  <w:noWrap w:val="0"/>
                  <w:vAlign w:val="center"/>
                </w:tcPr>
                <w:p w14:paraId="70BA7BF3">
                  <w:pPr>
                    <w:pStyle w:val="38"/>
                    <w:keepNext w:val="0"/>
                    <w:keepLines w:val="0"/>
                    <w:pageBreakBefore w:val="0"/>
                    <w:widowControl w:val="0"/>
                    <w:kinsoku/>
                    <w:wordWrap/>
                    <w:overflowPunct/>
                    <w:topLinePunct w:val="0"/>
                    <w:autoSpaceDE/>
                    <w:autoSpaceDN/>
                    <w:bidi w:val="0"/>
                    <w:adjustRightInd/>
                    <w:snapToGrid/>
                    <w:spacing w:line="240" w:lineRule="auto"/>
                    <w:ind w:left="476" w:right="119" w:hanging="351"/>
                    <w:jc w:val="center"/>
                    <w:textAlignment w:val="auto"/>
                    <w:rPr>
                      <w:rFonts w:ascii="Times New Roman" w:hAnsi="Times New Roman" w:eastAsia="宋体"/>
                      <w:spacing w:val="-2"/>
                      <w:sz w:val="22"/>
                      <w:szCs w:val="22"/>
                    </w:rPr>
                  </w:pPr>
                  <w:r>
                    <w:rPr>
                      <w:rFonts w:ascii="Times New Roman" w:hAnsi="Times New Roman" w:eastAsia="宋体"/>
                      <w:spacing w:val="-2"/>
                      <w:sz w:val="22"/>
                      <w:szCs w:val="22"/>
                    </w:rPr>
                    <w:t>围堰</w:t>
                  </w:r>
                </w:p>
              </w:tc>
              <w:tc>
                <w:tcPr>
                  <w:tcW w:w="1402" w:type="dxa"/>
                  <w:vMerge w:val="restart"/>
                  <w:tcBorders>
                    <w:bottom w:val="single" w:color="000000" w:sz="2" w:space="0"/>
                  </w:tcBorders>
                  <w:noWrap w:val="0"/>
                  <w:vAlign w:val="center"/>
                </w:tcPr>
                <w:p w14:paraId="3C1B57C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草袋围堰</w:t>
                  </w:r>
                </w:p>
              </w:tc>
              <w:tc>
                <w:tcPr>
                  <w:tcW w:w="2610" w:type="dxa"/>
                  <w:noWrap w:val="0"/>
                  <w:vAlign w:val="center"/>
                </w:tcPr>
                <w:p w14:paraId="5E43D06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草袋围堰</w:t>
                  </w:r>
                </w:p>
              </w:tc>
              <w:tc>
                <w:tcPr>
                  <w:tcW w:w="990" w:type="dxa"/>
                  <w:noWrap w:val="0"/>
                  <w:vAlign w:val="center"/>
                </w:tcPr>
                <w:p w14:paraId="1D8D591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63C120B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900</w:t>
                  </w:r>
                </w:p>
              </w:tc>
            </w:tr>
            <w:tr w14:paraId="7B08D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05" w:type="dxa"/>
                  <w:vMerge w:val="continue"/>
                  <w:noWrap w:val="0"/>
                  <w:vAlign w:val="top"/>
                </w:tcPr>
                <w:p w14:paraId="1B6C72FC">
                  <w:pPr>
                    <w:rPr>
                      <w:rFonts w:ascii="Times New Roman" w:hAnsi="Times New Roman" w:eastAsia="宋体"/>
                      <w:sz w:val="21"/>
                    </w:rPr>
                  </w:pPr>
                </w:p>
              </w:tc>
              <w:tc>
                <w:tcPr>
                  <w:tcW w:w="1125" w:type="dxa"/>
                  <w:vMerge w:val="continue"/>
                  <w:noWrap w:val="0"/>
                  <w:vAlign w:val="center"/>
                </w:tcPr>
                <w:p w14:paraId="3E6DAE1C">
                  <w:pPr>
                    <w:pStyle w:val="38"/>
                    <w:spacing w:before="288" w:line="221" w:lineRule="auto"/>
                    <w:ind w:left="367"/>
                    <w:jc w:val="center"/>
                    <w:rPr>
                      <w:rFonts w:ascii="Times New Roman" w:hAnsi="Times New Roman" w:eastAsia="宋体"/>
                      <w:spacing w:val="-7"/>
                      <w:sz w:val="22"/>
                      <w:szCs w:val="22"/>
                    </w:rPr>
                  </w:pPr>
                </w:p>
              </w:tc>
              <w:tc>
                <w:tcPr>
                  <w:tcW w:w="1402" w:type="dxa"/>
                  <w:vMerge w:val="continue"/>
                  <w:tcBorders>
                    <w:top w:val="single" w:color="000000" w:sz="2" w:space="0"/>
                    <w:bottom w:val="single" w:color="000000" w:sz="2" w:space="0"/>
                  </w:tcBorders>
                  <w:noWrap w:val="0"/>
                  <w:vAlign w:val="center"/>
                </w:tcPr>
                <w:p w14:paraId="2EDD798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p>
              </w:tc>
              <w:tc>
                <w:tcPr>
                  <w:tcW w:w="2610" w:type="dxa"/>
                  <w:noWrap w:val="0"/>
                  <w:vAlign w:val="center"/>
                </w:tcPr>
                <w:p w14:paraId="40DC598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夯填土</w:t>
                  </w:r>
                </w:p>
              </w:tc>
              <w:tc>
                <w:tcPr>
                  <w:tcW w:w="990" w:type="dxa"/>
                  <w:noWrap w:val="0"/>
                  <w:vAlign w:val="center"/>
                </w:tcPr>
                <w:p w14:paraId="39B128F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m³</w:t>
                  </w:r>
                </w:p>
              </w:tc>
              <w:tc>
                <w:tcPr>
                  <w:tcW w:w="1125" w:type="dxa"/>
                  <w:noWrap w:val="0"/>
                  <w:vAlign w:val="center"/>
                </w:tcPr>
                <w:p w14:paraId="09D6960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2100</w:t>
                  </w:r>
                </w:p>
              </w:tc>
            </w:tr>
            <w:tr w14:paraId="7D53F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05" w:type="dxa"/>
                  <w:vMerge w:val="continue"/>
                  <w:noWrap w:val="0"/>
                  <w:vAlign w:val="top"/>
                </w:tcPr>
                <w:p w14:paraId="0C1FBA54">
                  <w:pPr>
                    <w:rPr>
                      <w:rFonts w:ascii="Times New Roman" w:hAnsi="Times New Roman" w:eastAsia="宋体"/>
                      <w:sz w:val="21"/>
                    </w:rPr>
                  </w:pPr>
                </w:p>
              </w:tc>
              <w:tc>
                <w:tcPr>
                  <w:tcW w:w="1125" w:type="dxa"/>
                  <w:vMerge w:val="continue"/>
                  <w:tcBorders>
                    <w:bottom w:val="single" w:color="000000" w:sz="2" w:space="0"/>
                  </w:tcBorders>
                  <w:noWrap w:val="0"/>
                  <w:vAlign w:val="center"/>
                </w:tcPr>
                <w:p w14:paraId="7F5A1586">
                  <w:pPr>
                    <w:pStyle w:val="38"/>
                    <w:spacing w:before="288" w:line="221" w:lineRule="auto"/>
                    <w:ind w:left="367"/>
                    <w:jc w:val="center"/>
                    <w:rPr>
                      <w:rFonts w:ascii="Times New Roman" w:hAnsi="Times New Roman" w:eastAsia="宋体"/>
                      <w:spacing w:val="-7"/>
                      <w:sz w:val="22"/>
                      <w:szCs w:val="22"/>
                    </w:rPr>
                  </w:pPr>
                </w:p>
              </w:tc>
              <w:tc>
                <w:tcPr>
                  <w:tcW w:w="1402" w:type="dxa"/>
                  <w:tcBorders>
                    <w:top w:val="single" w:color="000000" w:sz="2" w:space="0"/>
                    <w:bottom w:val="single" w:color="000000" w:sz="2" w:space="0"/>
                  </w:tcBorders>
                  <w:noWrap w:val="0"/>
                  <w:vAlign w:val="center"/>
                </w:tcPr>
                <w:p w14:paraId="67B95EE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钢板桩围堰</w:t>
                  </w:r>
                </w:p>
              </w:tc>
              <w:tc>
                <w:tcPr>
                  <w:tcW w:w="2610" w:type="dxa"/>
                  <w:noWrap w:val="0"/>
                  <w:vAlign w:val="center"/>
                </w:tcPr>
                <w:p w14:paraId="3686DE0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钢板桩</w:t>
                  </w:r>
                </w:p>
              </w:tc>
              <w:tc>
                <w:tcPr>
                  <w:tcW w:w="990" w:type="dxa"/>
                  <w:noWrap w:val="0"/>
                  <w:vAlign w:val="center"/>
                </w:tcPr>
                <w:p w14:paraId="21E44F2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t</w:t>
                  </w:r>
                </w:p>
              </w:tc>
              <w:tc>
                <w:tcPr>
                  <w:tcW w:w="1125" w:type="dxa"/>
                  <w:noWrap w:val="0"/>
                  <w:vAlign w:val="center"/>
                </w:tcPr>
                <w:p w14:paraId="627253E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150</w:t>
                  </w:r>
                </w:p>
              </w:tc>
            </w:tr>
            <w:tr w14:paraId="1E27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05" w:type="dxa"/>
                  <w:vMerge w:val="continue"/>
                  <w:noWrap w:val="0"/>
                  <w:vAlign w:val="top"/>
                </w:tcPr>
                <w:p w14:paraId="1193796E">
                  <w:pPr>
                    <w:rPr>
                      <w:rFonts w:ascii="Times New Roman" w:hAnsi="Times New Roman" w:eastAsia="宋体"/>
                      <w:sz w:val="21"/>
                    </w:rPr>
                  </w:pPr>
                </w:p>
              </w:tc>
              <w:tc>
                <w:tcPr>
                  <w:tcW w:w="1125" w:type="dxa"/>
                  <w:tcBorders>
                    <w:top w:val="single" w:color="000000" w:sz="2" w:space="0"/>
                    <w:bottom w:val="single" w:color="000000" w:sz="2" w:space="0"/>
                  </w:tcBorders>
                  <w:noWrap w:val="0"/>
                  <w:vAlign w:val="center"/>
                </w:tcPr>
                <w:p w14:paraId="2B7C76A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施工平台</w:t>
                  </w:r>
                </w:p>
              </w:tc>
              <w:tc>
                <w:tcPr>
                  <w:tcW w:w="1402" w:type="dxa"/>
                  <w:tcBorders>
                    <w:top w:val="single" w:color="000000" w:sz="2" w:space="0"/>
                    <w:bottom w:val="single" w:color="000000" w:sz="2" w:space="0"/>
                  </w:tcBorders>
                  <w:noWrap w:val="0"/>
                  <w:vAlign w:val="center"/>
                </w:tcPr>
                <w:p w14:paraId="22A1D3E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钻孔桩平台</w:t>
                  </w:r>
                </w:p>
              </w:tc>
              <w:tc>
                <w:tcPr>
                  <w:tcW w:w="2610" w:type="dxa"/>
                  <w:noWrap w:val="0"/>
                  <w:vAlign w:val="center"/>
                </w:tcPr>
                <w:p w14:paraId="4B1C170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桥面面积</w:t>
                  </w:r>
                </w:p>
              </w:tc>
              <w:tc>
                <w:tcPr>
                  <w:tcW w:w="990" w:type="dxa"/>
                  <w:noWrap w:val="0"/>
                  <w:vAlign w:val="center"/>
                </w:tcPr>
                <w:p w14:paraId="7E12192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m²</w:t>
                  </w:r>
                </w:p>
              </w:tc>
              <w:tc>
                <w:tcPr>
                  <w:tcW w:w="1125" w:type="dxa"/>
                  <w:noWrap w:val="0"/>
                  <w:vAlign w:val="center"/>
                </w:tcPr>
                <w:p w14:paraId="508809D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1400</w:t>
                  </w:r>
                </w:p>
              </w:tc>
            </w:tr>
            <w:tr w14:paraId="48251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05" w:type="dxa"/>
                  <w:vMerge w:val="continue"/>
                  <w:noWrap w:val="0"/>
                  <w:vAlign w:val="top"/>
                </w:tcPr>
                <w:p w14:paraId="048FBC28">
                  <w:pPr>
                    <w:rPr>
                      <w:rFonts w:ascii="Times New Roman" w:hAnsi="Times New Roman" w:eastAsia="宋体"/>
                      <w:sz w:val="21"/>
                    </w:rPr>
                  </w:pPr>
                </w:p>
              </w:tc>
              <w:tc>
                <w:tcPr>
                  <w:tcW w:w="1125" w:type="dxa"/>
                  <w:tcBorders>
                    <w:top w:val="single" w:color="000000" w:sz="2" w:space="0"/>
                  </w:tcBorders>
                  <w:noWrap w:val="0"/>
                  <w:vAlign w:val="center"/>
                </w:tcPr>
                <w:p w14:paraId="0DC8B1F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河道清理</w:t>
                  </w:r>
                </w:p>
              </w:tc>
              <w:tc>
                <w:tcPr>
                  <w:tcW w:w="1402" w:type="dxa"/>
                  <w:tcBorders>
                    <w:top w:val="single" w:color="000000" w:sz="2" w:space="0"/>
                  </w:tcBorders>
                  <w:noWrap w:val="0"/>
                  <w:vAlign w:val="center"/>
                </w:tcPr>
                <w:p w14:paraId="7FE7306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p>
              </w:tc>
              <w:tc>
                <w:tcPr>
                  <w:tcW w:w="2610" w:type="dxa"/>
                  <w:noWrap w:val="0"/>
                  <w:vAlign w:val="center"/>
                </w:tcPr>
                <w:p w14:paraId="6EBA5F7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p>
              </w:tc>
              <w:tc>
                <w:tcPr>
                  <w:tcW w:w="990" w:type="dxa"/>
                  <w:noWrap w:val="0"/>
                  <w:vAlign w:val="center"/>
                </w:tcPr>
                <w:p w14:paraId="2B65786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m²</w:t>
                  </w:r>
                </w:p>
              </w:tc>
              <w:tc>
                <w:tcPr>
                  <w:tcW w:w="1125" w:type="dxa"/>
                  <w:noWrap w:val="0"/>
                  <w:vAlign w:val="center"/>
                </w:tcPr>
                <w:p w14:paraId="67D4929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pacing w:val="-7"/>
                      <w:sz w:val="22"/>
                      <w:szCs w:val="22"/>
                    </w:rPr>
                  </w:pPr>
                  <w:r>
                    <w:rPr>
                      <w:rFonts w:ascii="Times New Roman" w:hAnsi="Times New Roman" w:eastAsia="宋体"/>
                      <w:spacing w:val="-7"/>
                      <w:sz w:val="22"/>
                      <w:szCs w:val="22"/>
                    </w:rPr>
                    <w:t>7800</w:t>
                  </w:r>
                </w:p>
              </w:tc>
            </w:tr>
          </w:tbl>
          <w:p w14:paraId="7EE0BCCA">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6、土石方平衡</w:t>
            </w:r>
          </w:p>
          <w:p w14:paraId="300B5613">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根据本工程可行性研究设计说明，本项目</w:t>
            </w:r>
            <w:r>
              <w:rPr>
                <w:rFonts w:hint="default" w:cs="Times New Roman"/>
                <w:color w:val="auto"/>
                <w:sz w:val="24"/>
                <w:szCs w:val="24"/>
                <w:lang w:val="en-US" w:eastAsia="zh-CN"/>
              </w:rPr>
              <w:t>土方开挖量为</w:t>
            </w:r>
            <w:r>
              <w:rPr>
                <w:rFonts w:hint="eastAsia" w:cs="Times New Roman"/>
                <w:color w:val="auto"/>
                <w:sz w:val="24"/>
                <w:szCs w:val="24"/>
                <w:lang w:val="en-US" w:eastAsia="zh-CN"/>
              </w:rPr>
              <w:t>2948m</w:t>
            </w:r>
            <w:r>
              <w:rPr>
                <w:rFonts w:hint="eastAsia" w:cs="Times New Roman"/>
                <w:color w:val="auto"/>
                <w:sz w:val="24"/>
                <w:szCs w:val="24"/>
                <w:vertAlign w:val="superscript"/>
                <w:lang w:val="en-US" w:eastAsia="zh-CN"/>
              </w:rPr>
              <w:t>3</w:t>
            </w:r>
            <w:r>
              <w:rPr>
                <w:rFonts w:hint="default" w:cs="Times New Roman"/>
                <w:color w:val="auto"/>
                <w:sz w:val="24"/>
                <w:szCs w:val="24"/>
                <w:lang w:val="en-US" w:eastAsia="zh-CN"/>
              </w:rPr>
              <w:t>，</w:t>
            </w:r>
            <w:r>
              <w:rPr>
                <w:rFonts w:hint="eastAsia" w:cs="Times New Roman"/>
                <w:color w:val="auto"/>
                <w:sz w:val="24"/>
                <w:szCs w:val="24"/>
                <w:lang w:val="en-US" w:eastAsia="zh-CN"/>
              </w:rPr>
              <w:t>回填</w:t>
            </w:r>
            <w:r>
              <w:rPr>
                <w:rFonts w:hint="default" w:cs="Times New Roman"/>
                <w:color w:val="auto"/>
                <w:sz w:val="24"/>
                <w:szCs w:val="24"/>
                <w:lang w:val="en-US" w:eastAsia="zh-CN"/>
              </w:rPr>
              <w:t>土方量</w:t>
            </w:r>
            <w:r>
              <w:rPr>
                <w:rFonts w:hint="eastAsia" w:cs="Times New Roman"/>
                <w:color w:val="auto"/>
                <w:sz w:val="24"/>
                <w:szCs w:val="24"/>
                <w:lang w:val="en-US" w:eastAsia="zh-CN"/>
              </w:rPr>
              <w:t>2948m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，钻孔泥渣4000m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，回填泥渣4000m</w:t>
            </w:r>
            <w:r>
              <w:rPr>
                <w:rFonts w:hint="eastAsia" w:cs="Times New Roman"/>
                <w:color w:val="auto"/>
                <w:sz w:val="24"/>
                <w:szCs w:val="24"/>
                <w:vertAlign w:val="superscript"/>
                <w:lang w:val="en-US" w:eastAsia="zh-CN"/>
              </w:rPr>
              <w:t>3</w:t>
            </w:r>
            <w:r>
              <w:rPr>
                <w:rFonts w:hint="eastAsia" w:cs="Times New Roman"/>
                <w:color w:val="auto"/>
                <w:sz w:val="24"/>
                <w:szCs w:val="24"/>
                <w:lang w:val="en-US" w:eastAsia="zh-CN"/>
              </w:rPr>
              <w:t>。</w:t>
            </w:r>
          </w:p>
          <w:p w14:paraId="2BF081C3">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土石方平衡</w:t>
            </w:r>
            <w:r>
              <w:rPr>
                <w:rFonts w:hint="default" w:cs="Times New Roman"/>
                <w:color w:val="auto"/>
                <w:sz w:val="24"/>
                <w:szCs w:val="24"/>
                <w:lang w:val="en-US" w:eastAsia="zh-CN"/>
              </w:rPr>
              <w:t>详见表</w:t>
            </w:r>
            <w:r>
              <w:rPr>
                <w:rFonts w:hint="eastAsia" w:cs="Times New Roman"/>
                <w:color w:val="auto"/>
                <w:sz w:val="24"/>
                <w:szCs w:val="24"/>
                <w:lang w:val="en-US" w:eastAsia="zh-CN"/>
              </w:rPr>
              <w:t>2-4</w:t>
            </w:r>
            <w:r>
              <w:rPr>
                <w:rFonts w:hint="default" w:cs="Times New Roman"/>
                <w:color w:val="auto"/>
                <w:sz w:val="24"/>
                <w:szCs w:val="24"/>
                <w:lang w:val="en-US" w:eastAsia="zh-CN"/>
              </w:rPr>
              <w:t>。</w:t>
            </w:r>
          </w:p>
          <w:p w14:paraId="0FB1AC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宋体"/>
                <w:b/>
                <w:bCs/>
                <w:spacing w:val="-5"/>
                <w:sz w:val="21"/>
                <w:szCs w:val="21"/>
                <w:lang w:val="en-US" w:eastAsia="zh-CN"/>
              </w:rPr>
            </w:pPr>
          </w:p>
          <w:p w14:paraId="06B55B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宋体"/>
                <w:b/>
                <w:bCs/>
                <w:spacing w:val="-5"/>
                <w:sz w:val="21"/>
                <w:szCs w:val="21"/>
                <w:lang w:val="en-US" w:eastAsia="zh-CN"/>
              </w:rPr>
            </w:pPr>
            <w:r>
              <w:rPr>
                <w:rFonts w:hint="default" w:ascii="Times New Roman" w:hAnsi="Times New Roman" w:eastAsia="宋体" w:cs="宋体"/>
                <w:b/>
                <w:bCs/>
                <w:spacing w:val="-5"/>
                <w:sz w:val="21"/>
                <w:szCs w:val="21"/>
                <w:lang w:val="en-US" w:eastAsia="zh-CN"/>
              </w:rPr>
              <w:t>表2-</w:t>
            </w:r>
            <w:r>
              <w:rPr>
                <w:rFonts w:hint="eastAsia" w:cs="宋体"/>
                <w:b/>
                <w:bCs/>
                <w:spacing w:val="-5"/>
                <w:sz w:val="21"/>
                <w:szCs w:val="21"/>
                <w:lang w:val="en-US" w:eastAsia="zh-CN"/>
              </w:rPr>
              <w:t>4</w:t>
            </w:r>
            <w:r>
              <w:rPr>
                <w:rFonts w:hint="default" w:ascii="Times New Roman" w:hAnsi="Times New Roman" w:eastAsia="宋体" w:cs="宋体"/>
                <w:b/>
                <w:bCs/>
                <w:spacing w:val="-5"/>
                <w:sz w:val="21"/>
                <w:szCs w:val="21"/>
                <w:lang w:val="en-US" w:eastAsia="zh-CN"/>
              </w:rPr>
              <w:t xml:space="preserve">  土石方平衡一览表</w:t>
            </w:r>
            <w:r>
              <w:rPr>
                <w:rFonts w:hint="eastAsia" w:ascii="Times New Roman" w:hAnsi="Times New Roman" w:eastAsia="宋体" w:cs="宋体"/>
                <w:b/>
                <w:bCs/>
                <w:spacing w:val="-5"/>
                <w:sz w:val="21"/>
                <w:szCs w:val="21"/>
                <w:lang w:val="en-US" w:eastAsia="zh-CN"/>
              </w:rPr>
              <w:t>（单位：m</w:t>
            </w:r>
            <w:r>
              <w:rPr>
                <w:rFonts w:hint="eastAsia" w:ascii="Times New Roman" w:hAnsi="Times New Roman" w:eastAsia="宋体" w:cs="宋体"/>
                <w:b/>
                <w:bCs/>
                <w:spacing w:val="-5"/>
                <w:sz w:val="21"/>
                <w:szCs w:val="21"/>
                <w:vertAlign w:val="superscript"/>
                <w:lang w:val="en-US" w:eastAsia="zh-CN"/>
              </w:rPr>
              <w:t>3</w:t>
            </w:r>
            <w:r>
              <w:rPr>
                <w:rFonts w:hint="eastAsia" w:ascii="Times New Roman" w:hAnsi="Times New Roman" w:eastAsia="宋体" w:cs="宋体"/>
                <w:b/>
                <w:bCs/>
                <w:spacing w:val="-5"/>
                <w:sz w:val="21"/>
                <w:szCs w:val="21"/>
                <w:lang w:val="en-US" w:eastAsia="zh-CN"/>
              </w:rPr>
              <w:t>）</w:t>
            </w:r>
          </w:p>
          <w:tbl>
            <w:tblPr>
              <w:tblStyle w:val="19"/>
              <w:tblW w:w="4932" w:type="pct"/>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304"/>
              <w:gridCol w:w="1217"/>
              <w:gridCol w:w="1250"/>
              <w:gridCol w:w="1100"/>
              <w:gridCol w:w="1022"/>
              <w:gridCol w:w="1022"/>
              <w:gridCol w:w="1023"/>
            </w:tblGrid>
            <w:tr w14:paraId="45EBE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exact"/>
              </w:trPr>
              <w:tc>
                <w:tcPr>
                  <w:tcW w:w="821" w:type="pct"/>
                  <w:tcBorders>
                    <w:tl2br w:val="nil"/>
                    <w:tr2bl w:val="nil"/>
                  </w:tcBorders>
                  <w:shd w:val="clear" w:color="auto" w:fill="auto"/>
                  <w:vAlign w:val="center"/>
                </w:tcPr>
                <w:p w14:paraId="4AF6C07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val="0"/>
                      <w:bCs w:val="0"/>
                      <w:spacing w:val="-7"/>
                      <w:sz w:val="21"/>
                      <w:szCs w:val="21"/>
                      <w:lang w:val="en-US" w:eastAsia="zh-CN"/>
                    </w:rPr>
                  </w:pPr>
                  <w:r>
                    <w:rPr>
                      <w:rFonts w:hint="eastAsia" w:ascii="Times New Roman" w:hAnsi="Times New Roman" w:eastAsia="宋体"/>
                      <w:b w:val="0"/>
                      <w:bCs w:val="0"/>
                      <w:spacing w:val="-7"/>
                      <w:sz w:val="21"/>
                      <w:szCs w:val="21"/>
                      <w:lang w:val="en-US" w:eastAsia="zh-CN"/>
                    </w:rPr>
                    <w:t>项</w:t>
                  </w:r>
                  <w:r>
                    <w:rPr>
                      <w:rFonts w:hint="default" w:ascii="Times New Roman" w:hAnsi="Times New Roman" w:eastAsia="宋体"/>
                      <w:b w:val="0"/>
                      <w:bCs w:val="0"/>
                      <w:spacing w:val="-7"/>
                      <w:sz w:val="21"/>
                      <w:szCs w:val="21"/>
                      <w:lang w:val="en-US" w:eastAsia="zh-CN"/>
                    </w:rPr>
                    <w:t xml:space="preserve"> </w:t>
                  </w:r>
                  <w:r>
                    <w:rPr>
                      <w:rFonts w:hint="eastAsia" w:ascii="Times New Roman" w:hAnsi="Times New Roman" w:eastAsia="宋体"/>
                      <w:b w:val="0"/>
                      <w:bCs w:val="0"/>
                      <w:spacing w:val="-7"/>
                      <w:sz w:val="21"/>
                      <w:szCs w:val="21"/>
                      <w:lang w:val="en-US" w:eastAsia="zh-CN"/>
                    </w:rPr>
                    <w:t>目</w:t>
                  </w:r>
                </w:p>
              </w:tc>
              <w:tc>
                <w:tcPr>
                  <w:tcW w:w="766" w:type="pct"/>
                  <w:tcBorders>
                    <w:tl2br w:val="nil"/>
                    <w:tr2bl w:val="nil"/>
                  </w:tcBorders>
                  <w:shd w:val="clear" w:color="auto" w:fill="auto"/>
                  <w:vAlign w:val="center"/>
                </w:tcPr>
                <w:p w14:paraId="2F7266C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val="0"/>
                      <w:bCs w:val="0"/>
                      <w:spacing w:val="-7"/>
                      <w:sz w:val="21"/>
                      <w:szCs w:val="21"/>
                      <w:lang w:val="en-US" w:eastAsia="zh-CN"/>
                    </w:rPr>
                  </w:pPr>
                  <w:r>
                    <w:rPr>
                      <w:rFonts w:hint="eastAsia" w:ascii="Times New Roman" w:hAnsi="Times New Roman" w:eastAsia="宋体"/>
                      <w:b w:val="0"/>
                      <w:bCs w:val="0"/>
                      <w:spacing w:val="-7"/>
                      <w:sz w:val="21"/>
                      <w:szCs w:val="21"/>
                      <w:lang w:val="en-US" w:eastAsia="zh-CN"/>
                    </w:rPr>
                    <w:t>土方开挖量</w:t>
                  </w:r>
                </w:p>
              </w:tc>
              <w:tc>
                <w:tcPr>
                  <w:tcW w:w="787" w:type="pct"/>
                  <w:tcBorders>
                    <w:tl2br w:val="nil"/>
                    <w:tr2bl w:val="nil"/>
                  </w:tcBorders>
                  <w:shd w:val="clear" w:color="auto" w:fill="auto"/>
                  <w:vAlign w:val="center"/>
                </w:tcPr>
                <w:p w14:paraId="7B65FB9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val="0"/>
                      <w:bCs w:val="0"/>
                      <w:spacing w:val="-7"/>
                      <w:sz w:val="21"/>
                      <w:szCs w:val="21"/>
                      <w:lang w:val="en-US" w:eastAsia="zh-CN"/>
                    </w:rPr>
                  </w:pPr>
                  <w:r>
                    <w:rPr>
                      <w:rFonts w:hint="eastAsia" w:ascii="Times New Roman" w:hAnsi="Times New Roman" w:eastAsia="宋体"/>
                      <w:b w:val="0"/>
                      <w:bCs w:val="0"/>
                      <w:spacing w:val="-7"/>
                      <w:sz w:val="21"/>
                      <w:szCs w:val="21"/>
                      <w:lang w:val="en-US" w:eastAsia="zh-CN"/>
                    </w:rPr>
                    <w:t>土方</w:t>
                  </w:r>
                  <w:r>
                    <w:rPr>
                      <w:rFonts w:hint="eastAsia" w:ascii="Times New Roman" w:hAnsi="Times New Roman"/>
                      <w:b w:val="0"/>
                      <w:bCs w:val="0"/>
                      <w:spacing w:val="-7"/>
                      <w:sz w:val="21"/>
                      <w:szCs w:val="21"/>
                      <w:lang w:val="en-US" w:eastAsia="zh-CN"/>
                    </w:rPr>
                    <w:t>回填</w:t>
                  </w:r>
                  <w:r>
                    <w:rPr>
                      <w:rFonts w:hint="eastAsia" w:ascii="Times New Roman" w:hAnsi="Times New Roman" w:eastAsia="宋体"/>
                      <w:b w:val="0"/>
                      <w:bCs w:val="0"/>
                      <w:spacing w:val="-7"/>
                      <w:sz w:val="21"/>
                      <w:szCs w:val="21"/>
                      <w:lang w:val="en-US" w:eastAsia="zh-CN"/>
                    </w:rPr>
                    <w:t>量</w:t>
                  </w:r>
                </w:p>
              </w:tc>
              <w:tc>
                <w:tcPr>
                  <w:tcW w:w="692" w:type="pct"/>
                  <w:tcBorders>
                    <w:tl2br w:val="nil"/>
                    <w:tr2bl w:val="nil"/>
                  </w:tcBorders>
                  <w:shd w:val="clear" w:color="auto" w:fill="auto"/>
                  <w:vAlign w:val="center"/>
                </w:tcPr>
                <w:p w14:paraId="5B42AB0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val="0"/>
                      <w:bCs w:val="0"/>
                      <w:spacing w:val="-7"/>
                      <w:sz w:val="21"/>
                      <w:szCs w:val="21"/>
                      <w:lang w:val="en-US" w:eastAsia="zh-CN"/>
                    </w:rPr>
                  </w:pPr>
                  <w:r>
                    <w:rPr>
                      <w:rFonts w:hint="eastAsia" w:ascii="Times New Roman" w:hAnsi="Times New Roman" w:eastAsia="宋体"/>
                      <w:b w:val="0"/>
                      <w:bCs w:val="0"/>
                      <w:spacing w:val="-7"/>
                      <w:sz w:val="21"/>
                      <w:szCs w:val="21"/>
                      <w:lang w:val="en-US" w:eastAsia="zh-CN"/>
                    </w:rPr>
                    <w:t>土方弃运</w:t>
                  </w:r>
                </w:p>
              </w:tc>
              <w:tc>
                <w:tcPr>
                  <w:tcW w:w="643" w:type="pct"/>
                  <w:tcBorders>
                    <w:tl2br w:val="nil"/>
                    <w:tr2bl w:val="nil"/>
                  </w:tcBorders>
                  <w:shd w:val="clear" w:color="auto" w:fill="auto"/>
                  <w:vAlign w:val="center"/>
                </w:tcPr>
                <w:p w14:paraId="052440D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b w:val="0"/>
                      <w:bCs w:val="0"/>
                      <w:spacing w:val="-7"/>
                      <w:sz w:val="21"/>
                      <w:szCs w:val="21"/>
                      <w:lang w:val="en-US" w:eastAsia="zh-CN"/>
                    </w:rPr>
                  </w:pPr>
                  <w:r>
                    <w:rPr>
                      <w:rFonts w:hint="eastAsia" w:ascii="Times New Roman" w:hAnsi="Times New Roman"/>
                      <w:b w:val="0"/>
                      <w:bCs w:val="0"/>
                      <w:spacing w:val="-7"/>
                      <w:sz w:val="21"/>
                      <w:szCs w:val="21"/>
                      <w:lang w:val="en-US" w:eastAsia="zh-CN"/>
                    </w:rPr>
                    <w:t>钻孔泥渣</w:t>
                  </w:r>
                </w:p>
              </w:tc>
              <w:tc>
                <w:tcPr>
                  <w:tcW w:w="643" w:type="pct"/>
                  <w:tcBorders>
                    <w:tl2br w:val="nil"/>
                    <w:tr2bl w:val="nil"/>
                  </w:tcBorders>
                  <w:shd w:val="clear" w:color="auto" w:fill="auto"/>
                  <w:vAlign w:val="center"/>
                </w:tcPr>
                <w:p w14:paraId="4D2F587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b w:val="0"/>
                      <w:bCs w:val="0"/>
                      <w:spacing w:val="-7"/>
                      <w:sz w:val="21"/>
                      <w:szCs w:val="21"/>
                      <w:lang w:val="en-US" w:eastAsia="zh-CN"/>
                    </w:rPr>
                  </w:pPr>
                  <w:r>
                    <w:rPr>
                      <w:rFonts w:hint="eastAsia" w:ascii="Times New Roman" w:hAnsi="Times New Roman"/>
                      <w:b w:val="0"/>
                      <w:bCs w:val="0"/>
                      <w:spacing w:val="-7"/>
                      <w:sz w:val="21"/>
                      <w:szCs w:val="21"/>
                      <w:lang w:val="en-US" w:eastAsia="zh-CN"/>
                    </w:rPr>
                    <w:t>回填泥渣</w:t>
                  </w:r>
                </w:p>
              </w:tc>
              <w:tc>
                <w:tcPr>
                  <w:tcW w:w="644" w:type="pct"/>
                  <w:tcBorders>
                    <w:tl2br w:val="nil"/>
                    <w:tr2bl w:val="nil"/>
                  </w:tcBorders>
                  <w:shd w:val="clear" w:color="auto" w:fill="auto"/>
                  <w:vAlign w:val="center"/>
                </w:tcPr>
                <w:p w14:paraId="5F61B85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val="0"/>
                      <w:bCs w:val="0"/>
                      <w:spacing w:val="-7"/>
                      <w:sz w:val="21"/>
                      <w:szCs w:val="21"/>
                      <w:lang w:val="en-US" w:eastAsia="zh-CN"/>
                    </w:rPr>
                  </w:pPr>
                  <w:r>
                    <w:rPr>
                      <w:rFonts w:hint="eastAsia" w:ascii="Times New Roman" w:hAnsi="Times New Roman"/>
                      <w:b w:val="0"/>
                      <w:bCs w:val="0"/>
                      <w:spacing w:val="-7"/>
                      <w:sz w:val="21"/>
                      <w:szCs w:val="21"/>
                      <w:lang w:val="en-US" w:eastAsia="zh-CN"/>
                    </w:rPr>
                    <w:t>泥浆</w:t>
                  </w:r>
                  <w:r>
                    <w:rPr>
                      <w:rFonts w:hint="eastAsia" w:ascii="Times New Roman" w:hAnsi="Times New Roman" w:eastAsia="宋体"/>
                      <w:b w:val="0"/>
                      <w:bCs w:val="0"/>
                      <w:spacing w:val="-7"/>
                      <w:sz w:val="21"/>
                      <w:szCs w:val="21"/>
                      <w:lang w:val="en-US" w:eastAsia="zh-CN"/>
                    </w:rPr>
                    <w:t>弃运</w:t>
                  </w:r>
                </w:p>
              </w:tc>
            </w:tr>
            <w:tr w14:paraId="12C30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exact"/>
              </w:trPr>
              <w:tc>
                <w:tcPr>
                  <w:tcW w:w="821" w:type="pct"/>
                  <w:tcBorders>
                    <w:tl2br w:val="nil"/>
                    <w:tr2bl w:val="nil"/>
                  </w:tcBorders>
                  <w:shd w:val="clear" w:color="auto" w:fill="auto"/>
                  <w:vAlign w:val="center"/>
                </w:tcPr>
                <w:p w14:paraId="037B5A7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主体工程区</w:t>
                  </w:r>
                </w:p>
              </w:tc>
              <w:tc>
                <w:tcPr>
                  <w:tcW w:w="766" w:type="pct"/>
                  <w:tcBorders>
                    <w:tl2br w:val="nil"/>
                    <w:tr2bl w:val="nil"/>
                  </w:tcBorders>
                  <w:shd w:val="clear" w:color="auto" w:fill="auto"/>
                  <w:vAlign w:val="center"/>
                </w:tcPr>
                <w:p w14:paraId="082BA7A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0</w:t>
                  </w:r>
                </w:p>
              </w:tc>
              <w:tc>
                <w:tcPr>
                  <w:tcW w:w="787" w:type="pct"/>
                  <w:tcBorders>
                    <w:tl2br w:val="nil"/>
                    <w:tr2bl w:val="nil"/>
                  </w:tcBorders>
                  <w:shd w:val="clear" w:color="auto" w:fill="auto"/>
                  <w:vAlign w:val="center"/>
                </w:tcPr>
                <w:p w14:paraId="5432417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pacing w:val="-7"/>
                      <w:sz w:val="21"/>
                      <w:szCs w:val="21"/>
                      <w:lang w:val="en-US" w:eastAsia="zh-CN"/>
                    </w:rPr>
                  </w:pPr>
                  <w:r>
                    <w:rPr>
                      <w:rFonts w:hint="eastAsia" w:ascii="Times New Roman" w:hAnsi="Times New Roman" w:eastAsia="宋体"/>
                      <w:spacing w:val="-7"/>
                      <w:sz w:val="21"/>
                      <w:szCs w:val="21"/>
                      <w:lang w:val="en-US" w:eastAsia="zh-CN"/>
                    </w:rPr>
                    <w:t>0</w:t>
                  </w:r>
                </w:p>
              </w:tc>
              <w:tc>
                <w:tcPr>
                  <w:tcW w:w="692" w:type="pct"/>
                  <w:tcBorders>
                    <w:tl2br w:val="nil"/>
                    <w:tr2bl w:val="nil"/>
                  </w:tcBorders>
                  <w:shd w:val="clear" w:color="auto" w:fill="auto"/>
                  <w:vAlign w:val="center"/>
                </w:tcPr>
                <w:p w14:paraId="288F751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0</w:t>
                  </w:r>
                </w:p>
              </w:tc>
              <w:tc>
                <w:tcPr>
                  <w:tcW w:w="643" w:type="pct"/>
                  <w:tcBorders>
                    <w:tl2br w:val="nil"/>
                    <w:tr2bl w:val="nil"/>
                  </w:tcBorders>
                  <w:shd w:val="clear" w:color="auto" w:fill="auto"/>
                  <w:vAlign w:val="center"/>
                </w:tcPr>
                <w:p w14:paraId="02BA7D2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4000</w:t>
                  </w:r>
                </w:p>
              </w:tc>
              <w:tc>
                <w:tcPr>
                  <w:tcW w:w="643" w:type="pct"/>
                  <w:tcBorders>
                    <w:tl2br w:val="nil"/>
                    <w:tr2bl w:val="nil"/>
                  </w:tcBorders>
                  <w:shd w:val="clear" w:color="auto" w:fill="auto"/>
                  <w:vAlign w:val="center"/>
                </w:tcPr>
                <w:p w14:paraId="28AD988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spacing w:val="-7"/>
                      <w:sz w:val="21"/>
                      <w:szCs w:val="21"/>
                      <w:lang w:val="en-US" w:eastAsia="zh-CN"/>
                    </w:rPr>
                  </w:pPr>
                  <w:r>
                    <w:rPr>
                      <w:rFonts w:hint="eastAsia" w:ascii="Times New Roman" w:hAnsi="Times New Roman"/>
                      <w:spacing w:val="-7"/>
                      <w:sz w:val="21"/>
                      <w:szCs w:val="21"/>
                      <w:lang w:val="en-US" w:eastAsia="zh-CN"/>
                    </w:rPr>
                    <w:t>4000</w:t>
                  </w:r>
                </w:p>
              </w:tc>
              <w:tc>
                <w:tcPr>
                  <w:tcW w:w="644" w:type="pct"/>
                  <w:tcBorders>
                    <w:tl2br w:val="nil"/>
                    <w:tr2bl w:val="nil"/>
                  </w:tcBorders>
                  <w:shd w:val="clear" w:color="auto" w:fill="auto"/>
                  <w:vAlign w:val="center"/>
                </w:tcPr>
                <w:p w14:paraId="3C52797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spacing w:val="-7"/>
                      <w:sz w:val="21"/>
                      <w:szCs w:val="21"/>
                      <w:lang w:val="en-US" w:eastAsia="zh-CN"/>
                    </w:rPr>
                  </w:pPr>
                  <w:r>
                    <w:rPr>
                      <w:rFonts w:hint="eastAsia" w:ascii="Times New Roman" w:hAnsi="Times New Roman"/>
                      <w:spacing w:val="-7"/>
                      <w:sz w:val="21"/>
                      <w:szCs w:val="21"/>
                      <w:lang w:val="en-US" w:eastAsia="zh-CN"/>
                    </w:rPr>
                    <w:t>0</w:t>
                  </w:r>
                </w:p>
              </w:tc>
            </w:tr>
            <w:tr w14:paraId="7B96A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exact"/>
              </w:trPr>
              <w:tc>
                <w:tcPr>
                  <w:tcW w:w="821" w:type="pct"/>
                  <w:tcBorders>
                    <w:tl2br w:val="nil"/>
                    <w:tr2bl w:val="nil"/>
                  </w:tcBorders>
                  <w:shd w:val="clear" w:color="auto" w:fill="auto"/>
                  <w:vAlign w:val="center"/>
                </w:tcPr>
                <w:p w14:paraId="2C38BA6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施工便道区</w:t>
                  </w:r>
                </w:p>
              </w:tc>
              <w:tc>
                <w:tcPr>
                  <w:tcW w:w="766" w:type="pct"/>
                  <w:tcBorders>
                    <w:tl2br w:val="nil"/>
                    <w:tr2bl w:val="nil"/>
                  </w:tcBorders>
                  <w:shd w:val="clear" w:color="auto" w:fill="auto"/>
                  <w:vAlign w:val="center"/>
                </w:tcPr>
                <w:p w14:paraId="3D373E6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2948</w:t>
                  </w:r>
                </w:p>
              </w:tc>
              <w:tc>
                <w:tcPr>
                  <w:tcW w:w="787" w:type="pct"/>
                  <w:tcBorders>
                    <w:tl2br w:val="nil"/>
                    <w:tr2bl w:val="nil"/>
                  </w:tcBorders>
                  <w:shd w:val="clear" w:color="auto" w:fill="auto"/>
                  <w:vAlign w:val="center"/>
                </w:tcPr>
                <w:p w14:paraId="58F6C26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2948</w:t>
                  </w:r>
                </w:p>
              </w:tc>
              <w:tc>
                <w:tcPr>
                  <w:tcW w:w="692" w:type="pct"/>
                  <w:tcBorders>
                    <w:tl2br w:val="nil"/>
                    <w:tr2bl w:val="nil"/>
                  </w:tcBorders>
                  <w:shd w:val="clear" w:color="auto" w:fill="auto"/>
                  <w:vAlign w:val="center"/>
                </w:tcPr>
                <w:p w14:paraId="3C0C765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0</w:t>
                  </w:r>
                </w:p>
              </w:tc>
              <w:tc>
                <w:tcPr>
                  <w:tcW w:w="643" w:type="pct"/>
                  <w:tcBorders>
                    <w:tl2br w:val="nil"/>
                    <w:tr2bl w:val="nil"/>
                  </w:tcBorders>
                  <w:shd w:val="clear" w:color="auto" w:fill="auto"/>
                  <w:vAlign w:val="center"/>
                </w:tcPr>
                <w:p w14:paraId="1B4804E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0</w:t>
                  </w:r>
                </w:p>
              </w:tc>
              <w:tc>
                <w:tcPr>
                  <w:tcW w:w="643" w:type="pct"/>
                  <w:tcBorders>
                    <w:tl2br w:val="nil"/>
                    <w:tr2bl w:val="nil"/>
                  </w:tcBorders>
                  <w:shd w:val="clear" w:color="auto" w:fill="auto"/>
                  <w:vAlign w:val="center"/>
                </w:tcPr>
                <w:p w14:paraId="05CF50F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spacing w:val="-7"/>
                      <w:sz w:val="21"/>
                      <w:szCs w:val="21"/>
                      <w:lang w:val="en-US" w:eastAsia="zh-CN"/>
                    </w:rPr>
                  </w:pPr>
                  <w:r>
                    <w:rPr>
                      <w:rFonts w:hint="eastAsia" w:ascii="Times New Roman" w:hAnsi="Times New Roman"/>
                      <w:spacing w:val="-7"/>
                      <w:sz w:val="21"/>
                      <w:szCs w:val="21"/>
                      <w:lang w:val="en-US" w:eastAsia="zh-CN"/>
                    </w:rPr>
                    <w:t>0</w:t>
                  </w:r>
                </w:p>
              </w:tc>
              <w:tc>
                <w:tcPr>
                  <w:tcW w:w="644" w:type="pct"/>
                  <w:tcBorders>
                    <w:tl2br w:val="nil"/>
                    <w:tr2bl w:val="nil"/>
                  </w:tcBorders>
                  <w:shd w:val="clear" w:color="auto" w:fill="auto"/>
                  <w:vAlign w:val="center"/>
                </w:tcPr>
                <w:p w14:paraId="5E821FA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spacing w:val="-7"/>
                      <w:sz w:val="21"/>
                      <w:szCs w:val="21"/>
                      <w:lang w:val="en-US" w:eastAsia="zh-CN"/>
                    </w:rPr>
                  </w:pPr>
                  <w:r>
                    <w:rPr>
                      <w:rFonts w:hint="eastAsia" w:ascii="Times New Roman" w:hAnsi="Times New Roman"/>
                      <w:spacing w:val="-7"/>
                      <w:sz w:val="21"/>
                      <w:szCs w:val="21"/>
                      <w:lang w:val="en-US" w:eastAsia="zh-CN"/>
                    </w:rPr>
                    <w:t>0</w:t>
                  </w:r>
                </w:p>
              </w:tc>
            </w:tr>
            <w:tr w14:paraId="5B4F7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3" w:hRule="exact"/>
              </w:trPr>
              <w:tc>
                <w:tcPr>
                  <w:tcW w:w="821" w:type="pct"/>
                  <w:tcBorders>
                    <w:tl2br w:val="nil"/>
                    <w:tr2bl w:val="nil"/>
                  </w:tcBorders>
                  <w:shd w:val="clear" w:color="auto" w:fill="auto"/>
                  <w:noWrap/>
                  <w:vAlign w:val="center"/>
                </w:tcPr>
                <w:p w14:paraId="0974747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pacing w:val="-7"/>
                      <w:sz w:val="21"/>
                      <w:szCs w:val="21"/>
                      <w:lang w:val="en-US" w:eastAsia="zh-CN"/>
                    </w:rPr>
                  </w:pPr>
                  <w:r>
                    <w:rPr>
                      <w:rFonts w:hint="eastAsia" w:ascii="Times New Roman" w:hAnsi="Times New Roman" w:eastAsia="宋体"/>
                      <w:spacing w:val="-7"/>
                      <w:sz w:val="21"/>
                      <w:szCs w:val="21"/>
                      <w:lang w:val="en-US" w:eastAsia="zh-CN"/>
                    </w:rPr>
                    <w:t>合计</w:t>
                  </w:r>
                </w:p>
              </w:tc>
              <w:tc>
                <w:tcPr>
                  <w:tcW w:w="766" w:type="pct"/>
                  <w:tcBorders>
                    <w:tl2br w:val="nil"/>
                    <w:tr2bl w:val="nil"/>
                  </w:tcBorders>
                  <w:shd w:val="clear" w:color="auto" w:fill="auto"/>
                  <w:vAlign w:val="center"/>
                </w:tcPr>
                <w:p w14:paraId="5886E1A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2948</w:t>
                  </w:r>
                </w:p>
              </w:tc>
              <w:tc>
                <w:tcPr>
                  <w:tcW w:w="787" w:type="pct"/>
                  <w:tcBorders>
                    <w:tl2br w:val="nil"/>
                    <w:tr2bl w:val="nil"/>
                  </w:tcBorders>
                  <w:shd w:val="clear" w:color="auto" w:fill="auto"/>
                  <w:vAlign w:val="center"/>
                </w:tcPr>
                <w:p w14:paraId="120A292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default" w:ascii="Times New Roman" w:hAnsi="Times New Roman" w:eastAsia="宋体"/>
                      <w:spacing w:val="-7"/>
                      <w:sz w:val="21"/>
                      <w:szCs w:val="21"/>
                      <w:lang w:val="en-US" w:eastAsia="zh-CN"/>
                    </w:rPr>
                    <w:t>2</w:t>
                  </w:r>
                  <w:r>
                    <w:rPr>
                      <w:rFonts w:hint="eastAsia" w:ascii="Times New Roman" w:hAnsi="Times New Roman"/>
                      <w:spacing w:val="-7"/>
                      <w:sz w:val="21"/>
                      <w:szCs w:val="21"/>
                      <w:lang w:val="en-US" w:eastAsia="zh-CN"/>
                    </w:rPr>
                    <w:t>948</w:t>
                  </w:r>
                </w:p>
              </w:tc>
              <w:tc>
                <w:tcPr>
                  <w:tcW w:w="692" w:type="pct"/>
                  <w:tcBorders>
                    <w:tl2br w:val="nil"/>
                    <w:tr2bl w:val="nil"/>
                  </w:tcBorders>
                  <w:shd w:val="clear" w:color="auto" w:fill="auto"/>
                  <w:vAlign w:val="center"/>
                </w:tcPr>
                <w:p w14:paraId="5161E77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0</w:t>
                  </w:r>
                </w:p>
              </w:tc>
              <w:tc>
                <w:tcPr>
                  <w:tcW w:w="643" w:type="pct"/>
                  <w:tcBorders>
                    <w:tl2br w:val="nil"/>
                    <w:tr2bl w:val="nil"/>
                  </w:tcBorders>
                  <w:shd w:val="clear" w:color="auto" w:fill="auto"/>
                  <w:vAlign w:val="center"/>
                </w:tcPr>
                <w:p w14:paraId="022FCEB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pacing w:val="-7"/>
                      <w:sz w:val="21"/>
                      <w:szCs w:val="21"/>
                      <w:lang w:val="en-US" w:eastAsia="zh-CN"/>
                    </w:rPr>
                  </w:pPr>
                  <w:r>
                    <w:rPr>
                      <w:rFonts w:hint="eastAsia" w:ascii="Times New Roman" w:hAnsi="Times New Roman"/>
                      <w:spacing w:val="-7"/>
                      <w:sz w:val="21"/>
                      <w:szCs w:val="21"/>
                      <w:lang w:val="en-US" w:eastAsia="zh-CN"/>
                    </w:rPr>
                    <w:t>4000</w:t>
                  </w:r>
                </w:p>
              </w:tc>
              <w:tc>
                <w:tcPr>
                  <w:tcW w:w="643" w:type="pct"/>
                  <w:tcBorders>
                    <w:tl2br w:val="nil"/>
                    <w:tr2bl w:val="nil"/>
                  </w:tcBorders>
                  <w:shd w:val="clear" w:color="auto" w:fill="auto"/>
                  <w:vAlign w:val="center"/>
                </w:tcPr>
                <w:p w14:paraId="09063D2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spacing w:val="-7"/>
                      <w:sz w:val="21"/>
                      <w:szCs w:val="21"/>
                      <w:lang w:val="en-US" w:eastAsia="zh-CN"/>
                    </w:rPr>
                  </w:pPr>
                  <w:r>
                    <w:rPr>
                      <w:rFonts w:hint="eastAsia" w:ascii="Times New Roman" w:hAnsi="Times New Roman"/>
                      <w:spacing w:val="-7"/>
                      <w:sz w:val="21"/>
                      <w:szCs w:val="21"/>
                      <w:lang w:val="en-US" w:eastAsia="zh-CN"/>
                    </w:rPr>
                    <w:t>4000</w:t>
                  </w:r>
                </w:p>
              </w:tc>
              <w:tc>
                <w:tcPr>
                  <w:tcW w:w="644" w:type="pct"/>
                  <w:tcBorders>
                    <w:tl2br w:val="nil"/>
                    <w:tr2bl w:val="nil"/>
                  </w:tcBorders>
                  <w:shd w:val="clear" w:color="auto" w:fill="auto"/>
                  <w:vAlign w:val="center"/>
                </w:tcPr>
                <w:p w14:paraId="212A84B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spacing w:val="-7"/>
                      <w:sz w:val="21"/>
                      <w:szCs w:val="21"/>
                      <w:lang w:val="en-US" w:eastAsia="zh-CN"/>
                    </w:rPr>
                  </w:pPr>
                  <w:r>
                    <w:rPr>
                      <w:rFonts w:hint="eastAsia" w:ascii="Times New Roman" w:hAnsi="Times New Roman"/>
                      <w:spacing w:val="-7"/>
                      <w:sz w:val="21"/>
                      <w:szCs w:val="21"/>
                      <w:lang w:val="en-US" w:eastAsia="zh-CN"/>
                    </w:rPr>
                    <w:t>0</w:t>
                  </w:r>
                </w:p>
              </w:tc>
            </w:tr>
          </w:tbl>
          <w:p w14:paraId="7B0C7D3B">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7、工程占地</w:t>
            </w:r>
          </w:p>
          <w:p w14:paraId="67BE2855">
            <w:pPr>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本项目路线全长737m，占地分为永久占地和临时占地，永久占地为桩基和承台占地，永久占地972.144m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，桥墩均位于水中，因此占地类型为河流水面；临时占地主要为施工便道和施工营地，临时占地5700m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，占地类型为未利用地和河流水面，河流水面占地700m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，未利用地5000m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w:t>
            </w:r>
          </w:p>
        </w:tc>
      </w:tr>
      <w:tr w14:paraId="30102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400" w:type="pct"/>
            <w:noWrap w:val="0"/>
            <w:vAlign w:val="center"/>
          </w:tcPr>
          <w:p w14:paraId="57A9A1B5">
            <w:pPr>
              <w:pStyle w:val="18"/>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rPr>
                <w:rFonts w:hint="default" w:cs="宋体"/>
                <w:color w:val="auto"/>
                <w:szCs w:val="24"/>
                <w:lang w:val="en-US" w:eastAsia="zh-CN"/>
              </w:rPr>
            </w:pPr>
            <w:r>
              <w:rPr>
                <w:rFonts w:hint="eastAsia" w:cs="宋体"/>
                <w:color w:val="auto"/>
                <w:szCs w:val="24"/>
                <w:lang w:val="en-US" w:eastAsia="zh-CN"/>
              </w:rPr>
              <w:t>总平面及现场布置</w:t>
            </w:r>
          </w:p>
        </w:tc>
        <w:tc>
          <w:tcPr>
            <w:tcW w:w="4599" w:type="pct"/>
            <w:noWrap w:val="0"/>
            <w:vAlign w:val="top"/>
          </w:tcPr>
          <w:p w14:paraId="48EAB226">
            <w:pPr>
              <w:pStyle w:val="30"/>
              <w:keepNext w:val="0"/>
              <w:keepLines w:val="0"/>
              <w:pageBreakBefore w:val="0"/>
              <w:widowControl w:val="0"/>
              <w:numPr>
                <w:ilvl w:val="0"/>
                <w:numId w:val="3"/>
              </w:numPr>
              <w:kinsoku/>
              <w:wordWrap/>
              <w:overflowPunct/>
              <w:topLinePunct w:val="0"/>
              <w:autoSpaceDE/>
              <w:autoSpaceDN/>
              <w:bidi w:val="0"/>
              <w:adjustRightInd/>
              <w:snapToGrid/>
              <w:spacing w:line="360" w:lineRule="auto"/>
              <w:ind w:left="148" w:leftChars="0" w:firstLine="482" w:firstLineChars="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工程布局情况</w:t>
            </w:r>
          </w:p>
          <w:p w14:paraId="11882CEB">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sz w:val="24"/>
                <w:szCs w:val="24"/>
                <w:lang w:val="en-US" w:eastAsia="zh-CN"/>
              </w:rPr>
              <w:t>阳安线上行K155+746汉江3号桥跨越汉江，河道左岸为京昆高速公路，右岸为G108，水流与桥墩呈5</w:t>
            </w:r>
            <w:r>
              <w:rPr>
                <w:rFonts w:hint="default" w:cs="宋体"/>
                <w:i w:val="0"/>
                <w:iCs w:val="0"/>
                <w:caps w:val="0"/>
                <w:color w:val="auto"/>
                <w:spacing w:val="0"/>
                <w:sz w:val="24"/>
                <w:szCs w:val="24"/>
                <w:shd w:val="clear" w:fill="FFFFFF"/>
                <w:lang w:val="en-US" w:eastAsia="en-US"/>
              </w:rPr>
              <w:t>°</w:t>
            </w:r>
            <w:r>
              <w:rPr>
                <w:rFonts w:hint="eastAsia" w:cs="宋体"/>
                <w:i w:val="0"/>
                <w:iCs w:val="0"/>
                <w:caps w:val="0"/>
                <w:color w:val="auto"/>
                <w:spacing w:val="0"/>
                <w:sz w:val="24"/>
                <w:szCs w:val="24"/>
                <w:shd w:val="clear" w:fill="FFFFFF"/>
                <w:lang w:val="en-US" w:eastAsia="zh-CN"/>
              </w:rPr>
              <w:t>夹角。本次整治的</w:t>
            </w:r>
            <w:r>
              <w:rPr>
                <w:rFonts w:hint="eastAsia" w:cs="Times New Roman"/>
                <w:color w:val="auto"/>
                <w:sz w:val="24"/>
                <w:szCs w:val="24"/>
                <w:lang w:val="en-US" w:eastAsia="zh-CN"/>
              </w:rPr>
              <w:t>3~7、11~20号桥墩基础自汉江左岸向右岸依次排列。</w:t>
            </w:r>
          </w:p>
          <w:p w14:paraId="0695AD78">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auto"/>
            </w:pPr>
            <w:r>
              <w:drawing>
                <wp:inline distT="0" distB="0" distL="114300" distR="114300">
                  <wp:extent cx="5109210" cy="3676650"/>
                  <wp:effectExtent l="0" t="0" r="1524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3"/>
                          <a:stretch>
                            <a:fillRect/>
                          </a:stretch>
                        </pic:blipFill>
                        <pic:spPr>
                          <a:xfrm>
                            <a:off x="0" y="0"/>
                            <a:ext cx="5109210" cy="3676650"/>
                          </a:xfrm>
                          <a:prstGeom prst="rect">
                            <a:avLst/>
                          </a:prstGeom>
                          <a:noFill/>
                          <a:ln>
                            <a:noFill/>
                          </a:ln>
                        </pic:spPr>
                      </pic:pic>
                    </a:graphicData>
                  </a:graphic>
                </wp:inline>
              </w:drawing>
            </w:r>
          </w:p>
          <w:p w14:paraId="2263717C">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auto"/>
              <w:rPr>
                <w:rFonts w:hint="default"/>
                <w:lang w:val="en-US" w:eastAsia="zh-CN"/>
              </w:rPr>
            </w:pPr>
            <w:r>
              <w:rPr>
                <w:rFonts w:hint="eastAsia"/>
                <w:b/>
                <w:bCs/>
                <w:lang w:val="en-US" w:eastAsia="zh-CN"/>
              </w:rPr>
              <w:t>图2-5  桥墩布局示意图</w:t>
            </w:r>
          </w:p>
          <w:p w14:paraId="4B75BD3B">
            <w:pPr>
              <w:pStyle w:val="30"/>
              <w:keepNext w:val="0"/>
              <w:keepLines w:val="0"/>
              <w:pageBreakBefore w:val="0"/>
              <w:widowControl w:val="0"/>
              <w:numPr>
                <w:ilvl w:val="0"/>
                <w:numId w:val="3"/>
              </w:numPr>
              <w:kinsoku/>
              <w:wordWrap/>
              <w:overflowPunct/>
              <w:topLinePunct w:val="0"/>
              <w:autoSpaceDE/>
              <w:autoSpaceDN/>
              <w:bidi w:val="0"/>
              <w:adjustRightInd/>
              <w:snapToGrid/>
              <w:spacing w:line="360" w:lineRule="auto"/>
              <w:ind w:left="148" w:leftChars="0" w:firstLine="482" w:firstLineChars="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施工布置情况</w:t>
            </w:r>
          </w:p>
          <w:p w14:paraId="780DDF45">
            <w:pPr>
              <w:keepNext w:val="0"/>
              <w:keepLines w:val="0"/>
              <w:pageBreakBefore w:val="0"/>
              <w:widowControl w:val="0"/>
              <w:kinsoku/>
              <w:wordWrap/>
              <w:overflowPunct/>
              <w:topLinePunct w:val="0"/>
              <w:autoSpaceDE/>
              <w:autoSpaceDN/>
              <w:bidi w:val="0"/>
              <w:adjustRightInd/>
              <w:snapToGrid/>
              <w:spacing w:line="360" w:lineRule="auto"/>
              <w:ind w:left="6" w:firstLine="482"/>
              <w:jc w:val="both"/>
              <w:textAlignment w:val="auto"/>
              <w:rPr>
                <w:rFonts w:hint="default" w:ascii="宋体" w:hAnsi="宋体" w:cs="宋体"/>
                <w:sz w:val="24"/>
                <w:szCs w:val="24"/>
                <w:lang w:val="en-US" w:eastAsia="zh-CN"/>
              </w:rPr>
            </w:pPr>
            <w:r>
              <w:rPr>
                <w:rFonts w:hint="eastAsia" w:ascii="宋体" w:hAnsi="宋体" w:cs="宋体"/>
                <w:sz w:val="24"/>
                <w:szCs w:val="24"/>
                <w:lang w:val="en-US" w:eastAsia="zh-CN"/>
              </w:rPr>
              <w:t>（1）施工便道</w:t>
            </w:r>
          </w:p>
          <w:p w14:paraId="0EF6A68B">
            <w:pPr>
              <w:keepNext w:val="0"/>
              <w:keepLines w:val="0"/>
              <w:pageBreakBefore w:val="0"/>
              <w:widowControl w:val="0"/>
              <w:kinsoku/>
              <w:wordWrap/>
              <w:overflowPunct/>
              <w:topLinePunct w:val="0"/>
              <w:autoSpaceDE/>
              <w:autoSpaceDN/>
              <w:bidi w:val="0"/>
              <w:adjustRightInd/>
              <w:snapToGrid/>
              <w:spacing w:line="360" w:lineRule="auto"/>
              <w:ind w:left="6" w:firstLine="482"/>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施工便道从大里程侧便道直接引入，河道中长流水河道搭设栈桥。</w:t>
            </w:r>
          </w:p>
          <w:p w14:paraId="51C63E4F">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auto"/>
            </w:pPr>
            <w:r>
              <w:drawing>
                <wp:inline distT="0" distB="0" distL="114300" distR="114300">
                  <wp:extent cx="5114925" cy="2579370"/>
                  <wp:effectExtent l="0" t="0" r="9525" b="1143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4"/>
                          <a:stretch>
                            <a:fillRect/>
                          </a:stretch>
                        </pic:blipFill>
                        <pic:spPr>
                          <a:xfrm>
                            <a:off x="0" y="0"/>
                            <a:ext cx="5114925" cy="2579370"/>
                          </a:xfrm>
                          <a:prstGeom prst="rect">
                            <a:avLst/>
                          </a:prstGeom>
                          <a:noFill/>
                          <a:ln>
                            <a:noFill/>
                          </a:ln>
                        </pic:spPr>
                      </pic:pic>
                    </a:graphicData>
                  </a:graphic>
                </wp:inline>
              </w:drawing>
            </w:r>
          </w:p>
          <w:p w14:paraId="71BFE787">
            <w:pPr>
              <w:keepNext w:val="0"/>
              <w:keepLines w:val="0"/>
              <w:pageBreakBefore w:val="0"/>
              <w:widowControl w:val="0"/>
              <w:suppressLineNumbers w:val="0"/>
              <w:kinsoku/>
              <w:wordWrap/>
              <w:overflowPunct/>
              <w:topLinePunct w:val="0"/>
              <w:autoSpaceDE/>
              <w:autoSpaceDN/>
              <w:bidi w:val="0"/>
              <w:adjustRightInd/>
              <w:snapToGrid/>
              <w:spacing w:line="360" w:lineRule="auto"/>
              <w:jc w:val="center"/>
              <w:textAlignment w:val="auto"/>
              <w:rPr>
                <w:rFonts w:hint="default"/>
                <w:lang w:val="en-US" w:eastAsia="zh-CN"/>
              </w:rPr>
            </w:pPr>
            <w:r>
              <w:rPr>
                <w:rFonts w:hint="eastAsia"/>
                <w:b/>
                <w:bCs/>
                <w:lang w:val="en-US" w:eastAsia="zh-CN"/>
              </w:rPr>
              <w:t>图2-6  施工便道布局示意图</w:t>
            </w:r>
          </w:p>
          <w:p w14:paraId="07210E5E">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（2）施工营地</w:t>
            </w:r>
          </w:p>
          <w:p w14:paraId="0A9BDF7C">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FF0000"/>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本工程施工工区</w:t>
            </w:r>
            <w:r>
              <w:rPr>
                <w:rFonts w:hint="eastAsia" w:cs="Times New Roman"/>
                <w:color w:val="auto"/>
                <w:kern w:val="0"/>
                <w:sz w:val="24"/>
                <w:szCs w:val="24"/>
                <w:highlight w:val="none"/>
                <w:lang w:val="en-US" w:eastAsia="zh-CN" w:bidi="ar"/>
              </w:rPr>
              <w:t>设置</w:t>
            </w:r>
            <w:r>
              <w:rPr>
                <w:rFonts w:hint="eastAsia" w:cs="Times New Roman"/>
                <w:color w:val="auto"/>
                <w:sz w:val="24"/>
                <w:szCs w:val="24"/>
                <w:lang w:val="en-US" w:eastAsia="zh-CN"/>
              </w:rPr>
              <w:t>施工营地860m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，设置在汉江左岸，本项目汉江3号桥西南约50m处的未利用地，用于施工机械停放、施工材料堆放及钢筋棚等建设。</w:t>
            </w:r>
          </w:p>
          <w:p w14:paraId="634E8132">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施工交通条件</w:t>
            </w:r>
          </w:p>
          <w:p w14:paraId="56738979">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项目区交通便利、电源充足。</w:t>
            </w:r>
            <w:r>
              <w:rPr>
                <w:rFonts w:hint="eastAsia" w:ascii="宋体" w:hAnsi="宋体" w:eastAsia="宋体" w:cs="宋体"/>
                <w:spacing w:val="-1"/>
                <w:sz w:val="24"/>
                <w:szCs w:val="24"/>
                <w:lang w:val="en-US" w:eastAsia="zh-CN"/>
              </w:rPr>
              <w:t>项目选址</w:t>
            </w:r>
            <w:r>
              <w:rPr>
                <w:rFonts w:ascii="宋体" w:hAnsi="宋体" w:eastAsia="宋体" w:cs="宋体"/>
                <w:spacing w:val="-1"/>
                <w:sz w:val="24"/>
                <w:szCs w:val="24"/>
              </w:rPr>
              <w:t>紧邻</w:t>
            </w:r>
            <w:r>
              <w:rPr>
                <w:rFonts w:hint="eastAsia" w:ascii="宋体" w:hAnsi="宋体" w:cs="宋体"/>
                <w:spacing w:val="-1"/>
                <w:sz w:val="24"/>
                <w:szCs w:val="24"/>
                <w:lang w:val="en-US" w:eastAsia="zh-CN"/>
              </w:rPr>
              <w:t>京昆高速和</w:t>
            </w:r>
            <w:r>
              <w:rPr>
                <w:rFonts w:hint="eastAsia" w:eastAsia="宋体" w:cs="Times New Roman"/>
                <w:spacing w:val="-1"/>
                <w:sz w:val="24"/>
                <w:szCs w:val="24"/>
                <w:lang w:val="en-US" w:eastAsia="zh-CN"/>
              </w:rPr>
              <w:t>108</w:t>
            </w:r>
            <w:r>
              <w:rPr>
                <w:rFonts w:ascii="宋体" w:hAnsi="宋体" w:eastAsia="宋体" w:cs="宋体"/>
                <w:spacing w:val="-1"/>
                <w:sz w:val="24"/>
                <w:szCs w:val="24"/>
              </w:rPr>
              <w:t>国道速，对外</w:t>
            </w:r>
            <w:r>
              <w:rPr>
                <w:rFonts w:ascii="宋体" w:hAnsi="宋体" w:eastAsia="宋体" w:cs="宋体"/>
                <w:spacing w:val="-2"/>
                <w:sz w:val="24"/>
                <w:szCs w:val="24"/>
              </w:rPr>
              <w:t>交通便利，建设条件优越</w:t>
            </w:r>
            <w:r>
              <w:rPr>
                <w:rFonts w:hint="default" w:ascii="Times New Roman" w:hAnsi="Times New Roman" w:eastAsia="宋体" w:cs="Times New Roman"/>
                <w:color w:val="auto"/>
                <w:kern w:val="0"/>
                <w:sz w:val="24"/>
                <w:szCs w:val="24"/>
                <w:highlight w:val="none"/>
                <w:lang w:val="en-US" w:eastAsia="zh-CN" w:bidi="ar"/>
              </w:rPr>
              <w:t>。</w:t>
            </w:r>
          </w:p>
          <w:p w14:paraId="09C3B307">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4</w:t>
            </w:r>
            <w:r>
              <w:rPr>
                <w:rFonts w:hint="eastAsia" w:ascii="Times New Roman" w:hAnsi="Times New Roman" w:eastAsia="宋体" w:cs="Times New Roman"/>
                <w:color w:val="auto"/>
                <w:kern w:val="0"/>
                <w:sz w:val="24"/>
                <w:szCs w:val="24"/>
                <w:highlight w:val="none"/>
                <w:lang w:val="en-US" w:eastAsia="zh-CN" w:bidi="ar"/>
              </w:rPr>
              <w:t>）水、电等能源供应</w:t>
            </w:r>
          </w:p>
          <w:p w14:paraId="269C2A46">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本工程施工用水主要为施工设备冲洗用水，可采用小型水泵从河道中直接抽取，生活用水依托周边居民用水；施工用电主要为机械设备用电，利用当地电网供电；施工机械用油依托工程周边现有加油站进行加油，施工现场不设汽、柴油贮存设施。</w:t>
            </w:r>
          </w:p>
          <w:p w14:paraId="4170F4B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5</w:t>
            </w:r>
            <w:r>
              <w:rPr>
                <w:rFonts w:hint="eastAsia" w:ascii="Times New Roman" w:hAnsi="Times New Roman" w:eastAsia="宋体" w:cs="Times New Roman"/>
                <w:color w:val="auto"/>
                <w:kern w:val="0"/>
                <w:sz w:val="24"/>
                <w:szCs w:val="24"/>
                <w:highlight w:val="none"/>
                <w:lang w:val="en-US" w:eastAsia="zh-CN" w:bidi="ar"/>
              </w:rPr>
              <w:t>）工程建材</w:t>
            </w:r>
          </w:p>
          <w:p w14:paraId="6057FFD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color w:val="auto"/>
                <w:lang w:val="en-US" w:eastAsia="zh-CN"/>
              </w:rPr>
            </w:pPr>
            <w:r>
              <w:rPr>
                <w:rFonts w:hint="eastAsia" w:ascii="Times New Roman" w:hAnsi="Times New Roman" w:eastAsia="宋体" w:cs="Times New Roman"/>
                <w:color w:val="auto"/>
                <w:kern w:val="0"/>
                <w:sz w:val="24"/>
                <w:szCs w:val="24"/>
                <w:highlight w:val="none"/>
                <w:lang w:val="en-US" w:eastAsia="zh-CN" w:bidi="ar"/>
              </w:rPr>
              <w:t>本工程施工过程</w:t>
            </w:r>
            <w:r>
              <w:rPr>
                <w:rFonts w:hint="eastAsia" w:cs="Times New Roman"/>
                <w:color w:val="auto"/>
                <w:kern w:val="0"/>
                <w:sz w:val="24"/>
                <w:szCs w:val="24"/>
                <w:highlight w:val="none"/>
                <w:lang w:val="en-US" w:eastAsia="zh-CN" w:bidi="ar"/>
              </w:rPr>
              <w:t>中</w:t>
            </w:r>
            <w:r>
              <w:rPr>
                <w:rFonts w:hint="eastAsia" w:ascii="Times New Roman" w:hAnsi="Times New Roman" w:eastAsia="宋体" w:cs="Times New Roman"/>
                <w:color w:val="auto"/>
                <w:kern w:val="0"/>
                <w:sz w:val="24"/>
                <w:szCs w:val="24"/>
                <w:highlight w:val="none"/>
                <w:lang w:val="en-US" w:eastAsia="zh-CN" w:bidi="ar"/>
              </w:rPr>
              <w:t>使用的混凝土</w:t>
            </w:r>
            <w:r>
              <w:rPr>
                <w:rFonts w:hint="eastAsia" w:cs="Times New Roman"/>
                <w:color w:val="auto"/>
                <w:kern w:val="0"/>
                <w:sz w:val="24"/>
                <w:szCs w:val="24"/>
                <w:highlight w:val="none"/>
                <w:lang w:val="en-US" w:eastAsia="zh-CN" w:bidi="ar"/>
              </w:rPr>
              <w:t>、钢筋等</w:t>
            </w:r>
            <w:r>
              <w:rPr>
                <w:rFonts w:hint="eastAsia" w:ascii="Times New Roman" w:hAnsi="Times New Roman" w:eastAsia="宋体" w:cs="Times New Roman"/>
                <w:color w:val="auto"/>
                <w:kern w:val="0"/>
                <w:sz w:val="24"/>
                <w:szCs w:val="24"/>
                <w:highlight w:val="none"/>
                <w:lang w:val="en-US" w:eastAsia="zh-CN" w:bidi="ar"/>
              </w:rPr>
              <w:t>在</w:t>
            </w:r>
            <w:r>
              <w:rPr>
                <w:rFonts w:hint="eastAsia" w:cs="Times New Roman"/>
                <w:color w:val="auto"/>
                <w:kern w:val="0"/>
                <w:sz w:val="24"/>
                <w:szCs w:val="24"/>
                <w:highlight w:val="none"/>
                <w:lang w:val="en-US" w:eastAsia="zh-CN" w:bidi="ar"/>
              </w:rPr>
              <w:t>洋</w:t>
            </w:r>
            <w:r>
              <w:rPr>
                <w:rFonts w:hint="eastAsia" w:ascii="Times New Roman" w:hAnsi="Times New Roman" w:eastAsia="宋体" w:cs="Times New Roman"/>
                <w:color w:val="auto"/>
                <w:kern w:val="0"/>
                <w:sz w:val="24"/>
                <w:szCs w:val="24"/>
                <w:highlight w:val="none"/>
                <w:lang w:val="en-US" w:eastAsia="zh-CN" w:bidi="ar"/>
              </w:rPr>
              <w:t>县购买</w:t>
            </w:r>
            <w:r>
              <w:rPr>
                <w:rFonts w:hint="eastAsia"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现场不设</w:t>
            </w:r>
            <w:r>
              <w:rPr>
                <w:rFonts w:hint="eastAsia" w:cs="Times New Roman"/>
                <w:color w:val="auto"/>
                <w:kern w:val="0"/>
                <w:sz w:val="24"/>
                <w:szCs w:val="24"/>
                <w:highlight w:val="none"/>
                <w:lang w:val="en-US" w:eastAsia="zh-CN" w:bidi="ar"/>
              </w:rPr>
              <w:t>混凝土</w:t>
            </w:r>
            <w:r>
              <w:rPr>
                <w:rFonts w:hint="eastAsia" w:ascii="Times New Roman" w:hAnsi="Times New Roman" w:eastAsia="宋体" w:cs="Times New Roman"/>
                <w:color w:val="auto"/>
                <w:kern w:val="0"/>
                <w:sz w:val="24"/>
                <w:szCs w:val="24"/>
                <w:highlight w:val="none"/>
                <w:lang w:val="en-US" w:eastAsia="zh-CN" w:bidi="ar"/>
              </w:rPr>
              <w:t>搅拌</w:t>
            </w:r>
            <w:r>
              <w:rPr>
                <w:rFonts w:hint="eastAsia" w:cs="Times New Roman"/>
                <w:color w:val="auto"/>
                <w:kern w:val="0"/>
                <w:sz w:val="24"/>
                <w:szCs w:val="24"/>
                <w:highlight w:val="none"/>
                <w:lang w:val="en-US" w:eastAsia="zh-CN" w:bidi="ar"/>
              </w:rPr>
              <w:t>设施</w:t>
            </w:r>
            <w:r>
              <w:rPr>
                <w:rFonts w:hint="eastAsia" w:ascii="Times New Roman" w:hAnsi="Times New Roman" w:eastAsia="宋体" w:cs="Times New Roman"/>
                <w:color w:val="auto"/>
                <w:kern w:val="0"/>
                <w:sz w:val="24"/>
                <w:szCs w:val="24"/>
                <w:highlight w:val="none"/>
                <w:lang w:val="en-US" w:eastAsia="zh-CN" w:bidi="ar"/>
              </w:rPr>
              <w:t>。</w:t>
            </w:r>
          </w:p>
        </w:tc>
      </w:tr>
      <w:tr w14:paraId="24470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14:paraId="15AD4690">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cs="宋体"/>
                <w:color w:val="auto"/>
                <w:szCs w:val="24"/>
                <w:lang w:val="en-US" w:eastAsia="zh-CN"/>
              </w:rPr>
            </w:pPr>
            <w:r>
              <w:rPr>
                <w:rFonts w:hint="eastAsia" w:cs="宋体"/>
                <w:color w:val="auto"/>
                <w:szCs w:val="24"/>
                <w:lang w:val="en-US" w:eastAsia="zh-CN"/>
              </w:rPr>
              <w:t>施工方案</w:t>
            </w:r>
          </w:p>
        </w:tc>
        <w:tc>
          <w:tcPr>
            <w:tcW w:w="4599" w:type="pct"/>
            <w:noWrap w:val="0"/>
            <w:vAlign w:val="top"/>
          </w:tcPr>
          <w:p w14:paraId="491476D1">
            <w:pPr>
              <w:pStyle w:val="30"/>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1、施工期工艺</w:t>
            </w:r>
          </w:p>
          <w:p w14:paraId="7F54FCE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本项目施工</w:t>
            </w:r>
            <w:r>
              <w:rPr>
                <w:rFonts w:hint="eastAsia" w:cs="Times New Roman"/>
                <w:color w:val="auto"/>
                <w:sz w:val="24"/>
                <w:szCs w:val="24"/>
                <w:lang w:val="en-US" w:eastAsia="zh-CN"/>
              </w:rPr>
              <w:t>流程包括修建施工便道、修筑围堰、沉井墩身处理、承台及加台施工、钻孔桩施工等</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val="en-US" w:eastAsia="zh-CN"/>
              </w:rPr>
              <w:t>施工工艺流程简述如下。</w:t>
            </w:r>
          </w:p>
          <w:p w14:paraId="1A02921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施工准备</w:t>
            </w:r>
          </w:p>
          <w:p w14:paraId="065FF00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根据设计方案落实施工道路、施工</w:t>
            </w:r>
            <w:r>
              <w:rPr>
                <w:rFonts w:hint="eastAsia" w:cs="Times New Roman"/>
                <w:color w:val="auto"/>
                <w:sz w:val="24"/>
                <w:szCs w:val="24"/>
                <w:lang w:val="en-US" w:eastAsia="zh-CN"/>
              </w:rPr>
              <w:t>营地</w:t>
            </w:r>
            <w:r>
              <w:rPr>
                <w:rFonts w:hint="eastAsia" w:ascii="Times New Roman" w:hAnsi="Times New Roman" w:eastAsia="宋体" w:cs="Times New Roman"/>
                <w:color w:val="auto"/>
                <w:sz w:val="24"/>
                <w:szCs w:val="24"/>
                <w:lang w:val="en-US" w:eastAsia="zh-CN"/>
              </w:rPr>
              <w:t>、施工供水电、施工机械等条件。并在施工现场设置醒目禁行标志，严禁非施工人员进入施工现场。</w:t>
            </w:r>
          </w:p>
          <w:p w14:paraId="2E87B47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3</w:t>
            </w:r>
            <w:r>
              <w:rPr>
                <w:rFonts w:hint="eastAsia" w:cs="Times New Roman"/>
                <w:color w:val="auto"/>
                <w:sz w:val="24"/>
                <w:szCs w:val="24"/>
                <w:lang w:eastAsia="zh-CN"/>
              </w:rPr>
              <w:t>）</w:t>
            </w:r>
            <w:r>
              <w:rPr>
                <w:rFonts w:hint="eastAsia" w:cs="Times New Roman"/>
                <w:color w:val="auto"/>
                <w:sz w:val="24"/>
                <w:szCs w:val="24"/>
                <w:lang w:val="en-US" w:eastAsia="zh-CN"/>
              </w:rPr>
              <w:t>施工便道</w:t>
            </w:r>
          </w:p>
          <w:p w14:paraId="44E88DE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桥墩加固施工前首先应疏通填筑施工便道，并对施工场地进行清理、换除软土、平整压实，待施工场地满足要求后进行桥墩桩基础施工，随后搭设模板、绑扎钢筋，进行承台混凝土浇筑施工等。</w:t>
            </w:r>
          </w:p>
          <w:p w14:paraId="4B913B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施工便道从大里程侧便道可直接引入，河道中长流水河道搭设栈桥；施工便道采用泥结碎石路面，宽5m，共修筑施工栈桥140m，水深6m，宽5m。</w:t>
            </w:r>
          </w:p>
          <w:p w14:paraId="571BF67D">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w:t>
            </w:r>
            <w:r>
              <w:rPr>
                <w:rFonts w:hint="eastAsia" w:cs="Times New Roman"/>
                <w:color w:val="auto"/>
                <w:sz w:val="24"/>
                <w:szCs w:val="24"/>
                <w:lang w:val="en-US" w:eastAsia="zh-CN"/>
              </w:rPr>
              <w:t>3</w:t>
            </w:r>
            <w:r>
              <w:rPr>
                <w:rFonts w:hint="eastAsia" w:cs="Times New Roman"/>
                <w:color w:val="auto"/>
                <w:sz w:val="24"/>
                <w:szCs w:val="24"/>
                <w:lang w:eastAsia="zh-CN"/>
              </w:rPr>
              <w:t>）</w:t>
            </w:r>
            <w:r>
              <w:rPr>
                <w:rFonts w:hint="eastAsia" w:cs="Times New Roman"/>
                <w:color w:val="auto"/>
                <w:sz w:val="24"/>
                <w:szCs w:val="24"/>
                <w:lang w:val="en-US" w:eastAsia="zh-CN"/>
              </w:rPr>
              <w:t>围堰修建</w:t>
            </w:r>
          </w:p>
          <w:p w14:paraId="06F13714">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水中墩施工</w:t>
            </w:r>
            <w:r>
              <w:rPr>
                <w:rFonts w:hint="eastAsia" w:cs="Times New Roman"/>
                <w:color w:val="auto"/>
                <w:sz w:val="24"/>
                <w:szCs w:val="24"/>
                <w:lang w:val="en-US" w:eastAsia="zh-CN"/>
              </w:rPr>
              <w:t>采用</w:t>
            </w:r>
            <w:r>
              <w:rPr>
                <w:rFonts w:hint="eastAsia" w:ascii="Times New Roman" w:hAnsi="Times New Roman" w:cs="Times New Roman"/>
                <w:color w:val="auto"/>
                <w:sz w:val="24"/>
                <w:szCs w:val="24"/>
                <w:lang w:val="en-US" w:eastAsia="zh-CN"/>
              </w:rPr>
              <w:t>钢板桩围堰及草袋围堰</w:t>
            </w:r>
            <w:r>
              <w:rPr>
                <w:rFonts w:hint="eastAsia" w:cs="Times New Roman"/>
                <w:color w:val="auto"/>
                <w:sz w:val="24"/>
                <w:szCs w:val="24"/>
                <w:lang w:val="en-US" w:eastAsia="zh-CN"/>
              </w:rPr>
              <w:t>，在基础加固施工前先进行围堰建设，将河水导流至围堰外</w:t>
            </w:r>
            <w:r>
              <w:rPr>
                <w:rFonts w:hint="default" w:ascii="Times New Roman" w:hAnsi="Times New Roman" w:cs="Times New Roman"/>
                <w:color w:val="auto"/>
                <w:sz w:val="24"/>
                <w:szCs w:val="24"/>
                <w:lang w:val="en-US" w:eastAsia="zh-CN"/>
              </w:rPr>
              <w:t>。</w:t>
            </w:r>
          </w:p>
          <w:p w14:paraId="49CE06A2">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eastAsia" w:cs="Times New Roman"/>
                <w:color w:val="auto"/>
                <w:sz w:val="24"/>
                <w:szCs w:val="24"/>
                <w:lang w:val="en-US" w:eastAsia="zh-CN"/>
              </w:rPr>
              <w:t>4</w:t>
            </w:r>
            <w:r>
              <w:rPr>
                <w:rFonts w:hint="eastAsia" w:cs="Times New Roman"/>
                <w:color w:val="auto"/>
                <w:sz w:val="24"/>
                <w:szCs w:val="24"/>
                <w:lang w:eastAsia="zh-CN"/>
              </w:rPr>
              <w:t>）</w:t>
            </w:r>
            <w:r>
              <w:rPr>
                <w:rFonts w:hint="eastAsia" w:cs="Times New Roman"/>
                <w:color w:val="auto"/>
                <w:sz w:val="24"/>
                <w:szCs w:val="24"/>
                <w:lang w:val="en-US" w:eastAsia="zh-CN"/>
              </w:rPr>
              <w:t>桩基施工</w:t>
            </w:r>
          </w:p>
          <w:p w14:paraId="1217EA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桩基施工前应按地质、水文资料和环保要求，结合现场情况，制定施工方案，测量放线确定桩位，钢护筒埋设后再次复核。成孔阶段、清孔与终孔检查、钢筋笼制作与下放、混凝土灌注等按施工相关规范要求操作，在施工过程中应对周围地表及既有桥墩进行观察和监测，当发现异常情况，应妥善处理后方可继续施工。</w:t>
            </w:r>
          </w:p>
          <w:p w14:paraId="241608EE">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（5）承台施工</w:t>
            </w:r>
          </w:p>
          <w:p w14:paraId="1B3F90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桩基混凝土强度达到规定值后即可进行承台施工，承台施工前，应将承台底以上0.5m及新设加台顶以下1.5m对应的既有沉井周围凿刻两道高50×深5cm凹槽，凿毛新设承台及加台范围既有墩身及沉井表面，凿毛部分间隔100cm左右植筋。测定承台位置、高程，标出立模位置，施工过程中应经常检查承台位置、高程，发现偏差应及时调整。浇筑混凝土时，应设专人检查模板、钢筋的位置和保护层的尺寸，确保其位置符合设计要求。同时应检查模板及支架系统稳固状况，发现问题及时采取相应措施进行处理。混凝土浇筑应根据模板设计要求和使用状况，严格控制一次连续浇筑混凝土的高度。混凝土浇筑后，养护及拆模应符合现行《铁路混凝土工程施工技术规程》Q/CR9207的有关规定。</w:t>
            </w:r>
          </w:p>
          <w:p w14:paraId="144427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（6）临时工程拆除及临时用地恢复</w:t>
            </w:r>
          </w:p>
          <w:p w14:paraId="004A350E">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eastAsia="zh-CN"/>
              </w:rPr>
              <w:t>在</w:t>
            </w:r>
            <w:r>
              <w:rPr>
                <w:rFonts w:hint="eastAsia" w:cs="Times New Roman"/>
                <w:color w:val="auto"/>
                <w:sz w:val="24"/>
                <w:szCs w:val="24"/>
                <w:lang w:val="en-US" w:eastAsia="zh-CN"/>
              </w:rPr>
              <w:t>病害整治工程竣工后进行施工便道和施工栈桥的拆除工作，并清理河床、河道，将建筑垃圾及时清运至指定的位置，对临时占地进行植被恢复。</w:t>
            </w:r>
          </w:p>
          <w:p w14:paraId="798D36F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w:t>
            </w:r>
            <w:r>
              <w:rPr>
                <w:rFonts w:hint="eastAsia" w:cs="Times New Roman"/>
                <w:color w:val="auto"/>
                <w:sz w:val="24"/>
                <w:szCs w:val="24"/>
                <w:lang w:eastAsia="zh-CN"/>
              </w:rPr>
              <w:t>工</w:t>
            </w:r>
            <w:r>
              <w:rPr>
                <w:rFonts w:hint="default" w:ascii="Times New Roman" w:hAnsi="Times New Roman" w:cs="Times New Roman"/>
                <w:color w:val="auto"/>
                <w:sz w:val="24"/>
                <w:szCs w:val="24"/>
              </w:rPr>
              <w:t>程施工阶段工艺流程图见图2-</w:t>
            </w:r>
            <w:r>
              <w:rPr>
                <w:rFonts w:hint="eastAsia" w:cs="Times New Roman"/>
                <w:color w:val="auto"/>
                <w:sz w:val="24"/>
                <w:szCs w:val="24"/>
                <w:lang w:val="en-US" w:eastAsia="zh-CN"/>
              </w:rPr>
              <w:t>7</w:t>
            </w:r>
            <w:r>
              <w:rPr>
                <w:rFonts w:hint="default" w:ascii="Times New Roman" w:hAnsi="Times New Roman" w:cs="Times New Roman"/>
                <w:color w:val="auto"/>
                <w:sz w:val="24"/>
                <w:szCs w:val="24"/>
              </w:rPr>
              <w:t>。</w:t>
            </w:r>
          </w:p>
          <w:p w14:paraId="172635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color w:val="auto"/>
                <w:sz w:val="24"/>
                <w:szCs w:val="24"/>
                <w:lang w:eastAsia="zh-CN"/>
              </w:rPr>
            </w:pPr>
            <w:r>
              <w:rPr>
                <w:color w:val="auto"/>
                <w:sz w:val="21"/>
              </w:rPr>
              <mc:AlternateContent>
                <mc:Choice Requires="wps">
                  <w:drawing>
                    <wp:anchor distT="0" distB="0" distL="114300" distR="114300" simplePos="0" relativeHeight="251696128" behindDoc="0" locked="0" layoutInCell="1" allowOverlap="1">
                      <wp:simplePos x="0" y="0"/>
                      <wp:positionH relativeFrom="column">
                        <wp:posOffset>2715260</wp:posOffset>
                      </wp:positionH>
                      <wp:positionV relativeFrom="paragraph">
                        <wp:posOffset>1764030</wp:posOffset>
                      </wp:positionV>
                      <wp:extent cx="964565" cy="2552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964565" cy="255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32A81">
                                  <w:pPr>
                                    <w:jc w:val="center"/>
                                    <w:rPr>
                                      <w:rFonts w:hint="default" w:eastAsia="宋体"/>
                                      <w:sz w:val="15"/>
                                      <w:szCs w:val="15"/>
                                      <w:lang w:val="en-US" w:eastAsia="zh-CN"/>
                                    </w:rPr>
                                  </w:pPr>
                                  <w:r>
                                    <w:rPr>
                                      <w:rFonts w:hint="eastAsia"/>
                                      <w:sz w:val="15"/>
                                      <w:szCs w:val="15"/>
                                      <w:lang w:val="en-US" w:eastAsia="zh-CN"/>
                                    </w:rPr>
                                    <w:t>废气、噪声、固废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8pt;margin-top:138.9pt;height:20.1pt;width:75.95pt;z-index:251696128;mso-width-relative:page;mso-height-relative:page;" filled="f" stroked="f" coordsize="21600,21600" o:gfxdata="UEsDBAoAAAAAAIdO4kAAAAAAAAAAAAAAAAAEAAAAZHJzL1BLAwQUAAAACACHTuJAXztekNwAAAAL&#10;AQAADwAAAGRycy9kb3ducmV2LnhtbE2Py07DMBBF90j8gzVI7KidQJoQ4lQoUoWEYNHSDbtJ7CYR&#10;9jjE7gO+HrOC5WiO7j23Wp2tYUc9+9GRhGQhgGnqnBqpl7B7W98UwHxAUmgcaQlf2sOqvryosFTu&#10;RBt93IaexRDyJUoYQphKzn03aIt+4SZN8bd3s8UQz7nnasZTDLeGp0IsucWRYsOAk24G3X1sD1bC&#10;c7N+xU2b2uLbNE8v+8fpc/eeSXl9lYgHYEGfwx8Mv/pRHero1LoDKc+MhLs0X0ZUQprncUMksvw+&#10;A9ZKuE0KAbyu+P8N9Q9QSwMEFAAAAAgAh07iQHA1Fi0+AgAAZwQAAA4AAABkcnMvZTJvRG9jLnht&#10;bK1UwW4TMRC9I/EPlu90k5CkNOqmCq2KkCpaqSDOjtfbXcn2GNvpbvkA+ANOXLjzXf0Onr1JWhUO&#10;PXDxjmfGM/PezOzxSW80u1U+tGRLPj4YcaaspKq1NyX/9PH81RvOQhS2EpqsKvmdCvxk+fLFcecW&#10;akIN6Up5hiA2LDpX8iZGtyiKIBtlRDggpyyMNXkjIq7+pqi86BDd6GIyGs2LjnzlPEkVArRng5Fv&#10;I/rnBKS6bqU6I7kxysYhqldaREAKTesCX+Zq61rJeFnXQUWmSw6kMZ9IAnmdzmJ5LBY3XrimldsS&#10;xHNKeILJiNYi6T7UmYiCbXz7VyjTSk+B6nggyRQDkMwIUIxHT7i5boRTGQuoDm5Pevh/YeWH2yvP&#10;2qrkkylnVhh0/P7H9/ufv+9/fWPQgaDOhQX8rh08Y/+WeozNTh+gTLj72pv0BSIGO+i929Or+sgk&#10;lEfz6Ww+40zCNJnNJoeZ/uLhsfMhvlNkWBJK7tG9TKq4vQgRhcB155JyWTpvtc4d1JZ1JZ+/no3y&#10;g70FL7TFwwRhKDVJsV/3W1xrqu4Ay9MwGcHJ8xbJL0SIV8JjFIAEyxIvcdSakIS2EmcN+a//0id/&#10;dAhWzjqMVsnDl43wijP93qJ3R+PpNM1ivkxnhxNc/GPL+rHFbswpYXrHWEsns5j8o96JtSfzGTu1&#10;SllhElYid8njTjyNw8BjJ6VarbITps+JeGGvnUyhBzpXm0h1m5lONA3cbNnD/OUGbHclDfjje/Z6&#10;+D8s/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fO16Q3AAAAAsBAAAPAAAAAAAAAAEAIAAAACIA&#10;AABkcnMvZG93bnJldi54bWxQSwECFAAUAAAACACHTuJAcDUWLT4CAABnBAAADgAAAAAAAAABACAA&#10;AAArAQAAZHJzL2Uyb0RvYy54bWxQSwUGAAAAAAYABgBZAQAA2wUAAAAA&#10;">
                      <v:fill on="f" focussize="0,0"/>
                      <v:stroke on="f" weight="0.5pt"/>
                      <v:imagedata o:title=""/>
                      <o:lock v:ext="edit" aspectratio="f"/>
                      <v:textbox>
                        <w:txbxContent>
                          <w:p w14:paraId="26E32A81">
                            <w:pPr>
                              <w:jc w:val="center"/>
                              <w:rPr>
                                <w:rFonts w:hint="default" w:eastAsia="宋体"/>
                                <w:sz w:val="15"/>
                                <w:szCs w:val="15"/>
                                <w:lang w:val="en-US" w:eastAsia="zh-CN"/>
                              </w:rPr>
                            </w:pPr>
                            <w:r>
                              <w:rPr>
                                <w:rFonts w:hint="eastAsia"/>
                                <w:sz w:val="15"/>
                                <w:szCs w:val="15"/>
                                <w:lang w:val="en-US" w:eastAsia="zh-CN"/>
                              </w:rPr>
                              <w:t>废气、噪声、固废</w:t>
                            </w:r>
                          </w:p>
                        </w:txbxContent>
                      </v:textbox>
                    </v:shape>
                  </w:pict>
                </mc:Fallback>
              </mc:AlternateContent>
            </w:r>
            <w:r>
              <w:rPr>
                <w:color w:val="auto"/>
                <w:sz w:val="21"/>
              </w:rPr>
              <mc:AlternateContent>
                <mc:Choice Requires="wps">
                  <w:drawing>
                    <wp:anchor distT="0" distB="0" distL="114300" distR="114300" simplePos="0" relativeHeight="251695104" behindDoc="0" locked="0" layoutInCell="1" allowOverlap="1">
                      <wp:simplePos x="0" y="0"/>
                      <wp:positionH relativeFrom="column">
                        <wp:posOffset>3171190</wp:posOffset>
                      </wp:positionH>
                      <wp:positionV relativeFrom="paragraph">
                        <wp:posOffset>1586865</wp:posOffset>
                      </wp:positionV>
                      <wp:extent cx="5080" cy="210820"/>
                      <wp:effectExtent l="36195" t="0" r="34925" b="17780"/>
                      <wp:wrapNone/>
                      <wp:docPr id="23" name="直接箭头连接符 23"/>
                      <wp:cNvGraphicFramePr/>
                      <a:graphic xmlns:a="http://schemas.openxmlformats.org/drawingml/2006/main">
                        <a:graphicData uri="http://schemas.microsoft.com/office/word/2010/wordprocessingShape">
                          <wps:wsp>
                            <wps:cNvCnPr/>
                            <wps:spPr>
                              <a:xfrm flipH="1">
                                <a:off x="0" y="0"/>
                                <a:ext cx="5080" cy="21082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49.7pt;margin-top:124.95pt;height:16.6pt;width:0.4pt;z-index:251695104;mso-width-relative:page;mso-height-relative:page;" filled="f" stroked="t" coordsize="21600,21600" o:gfxdata="UEsDBAoAAAAAAIdO4kAAAAAAAAAAAAAAAAAEAAAAZHJzL1BLAwQUAAAACACHTuJAMPlNXNsAAAAL&#10;AQAADwAAAGRycy9kb3ducmV2LnhtbE2PTU/DMAyG70j8h8hI3FjSMtBWmk4IhEBcgIEmdssa0xYa&#10;p0vSbfx7zAlu/nj0+nG5OLhe7DDEzpOGbKJAINXedtRoeHu9O5uBiMmQNb0n1PCNERbV8VFpCuv3&#10;9IK7ZWoEh1AsjIY2paGQMtYtOhMnfkDi3YcPziRuQyNtMHsOd73MlbqUznTEF1oz4E2L9ddydBpW&#10;q4f7x+b2c3zKMtyG9/Xzdj1ea316kqkrEAkP6Q+GX31Wh4qdNn4kG0WvYTqfTxnVkHMFgokLpXIQ&#10;G57MzjOQVSn//1D9AFBLAwQUAAAACACHTuJAmdWI3gYCAADbAwAADgAAAGRycy9lMm9Eb2MueG1s&#10;rVPNjtMwEL4j8Q6W7zRpEFBVTffQsnBAUAn2AVzHSSz5TzPepn0JXgCJE3ACTnvnadjlMRg7pcBy&#10;2QM5WDOezDfzfTNenO2tYTsFqL2r+XRScqac9I12Xc0v3pw/mHGGUbhGGO9UzQ8K+dny/r3FEOaq&#10;8r03jQJGIA7nQ6h5H2OYFwXKXlmBEx+Uo2DrwYpILnRFA2IgdGuKqiwfF4OHJoCXCpFu12OQHxHh&#10;LoC+bbVUay8vrXJxRAVlRCRK2OuAfJm7bVsl46u2RRWZqTkxjfmkImRv01ksF2LegQi9lscWxF1a&#10;uMXJCu2o6AlqLaJgl6D/gbJagkffxon0thiJZEWIxbS8pc3rXgSVuZDUGE6i4/+DlS93G2C6qXn1&#10;kDMnLE385t3V9duPN1+/fP9w9ePb+2R//sQoTmINAeeUs3IbOHoYNpCY71uwrDU6PKetyloQO7bP&#10;Uh9OUqt9ZJIuH5UzGoGkQDUtZ1UeRDGCJLAAGJ8pb1kyao4RhO76uPLO0Ug9jAXE7gVGaoMSfyWk&#10;ZOfPtTF5ssaxgdqpnpSpmqB1bWlNyLSBKKPrOBOmo3cgI+Se0RvdpPQEhNBtVwbYTqTtyV/SgMr9&#10;9VuqvRbYj//hAZMzblYU2jx1DYuHQMJG0MJ1Rh1BjCOsJOgoYbK2vjlkZfM9zTxXO+5nWqo//Zz9&#10;+00u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w+U1c2wAAAAsBAAAPAAAAAAAAAAEAIAAAACIA&#10;AABkcnMvZG93bnJldi54bWxQSwECFAAUAAAACACHTuJAmdWI3gYCAADbAwAADgAAAAAAAAABACAA&#10;AAAqAQAAZHJzL2Uyb0RvYy54bWxQSwUGAAAAAAYABgBZAQAAogUAAAAA&#10;">
                      <v:fill on="f" focussize="0,0"/>
                      <v:stroke weight="1pt" color="#000000 [3213]" joinstyle="round" dashstyle="3 1" endarrow="block"/>
                      <v:imagedata o:title=""/>
                      <o:lock v:ext="edit" aspectratio="f"/>
                    </v:shape>
                  </w:pict>
                </mc:Fallback>
              </mc:AlternateContent>
            </w:r>
            <w:r>
              <w:rPr>
                <w:color w:val="auto"/>
                <w:sz w:val="21"/>
              </w:rPr>
              <mc:AlternateContent>
                <mc:Choice Requires="wps">
                  <w:drawing>
                    <wp:anchor distT="0" distB="0" distL="114300" distR="114300" simplePos="0" relativeHeight="251673600" behindDoc="0" locked="0" layoutInCell="1" allowOverlap="1">
                      <wp:simplePos x="0" y="0"/>
                      <wp:positionH relativeFrom="column">
                        <wp:posOffset>349250</wp:posOffset>
                      </wp:positionH>
                      <wp:positionV relativeFrom="paragraph">
                        <wp:posOffset>192405</wp:posOffset>
                      </wp:positionV>
                      <wp:extent cx="861695" cy="37401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861695" cy="3740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4FD40">
                                  <w:pPr>
                                    <w:rPr>
                                      <w:rFonts w:hint="eastAsia"/>
                                      <w:sz w:val="15"/>
                                      <w:szCs w:val="15"/>
                                      <w:lang w:val="en-US" w:eastAsia="zh-CN"/>
                                    </w:rPr>
                                  </w:pPr>
                                  <w:r>
                                    <w:rPr>
                                      <w:rFonts w:hint="eastAsia"/>
                                      <w:sz w:val="15"/>
                                      <w:szCs w:val="15"/>
                                      <w:lang w:val="en-US" w:eastAsia="zh-CN"/>
                                    </w:rPr>
                                    <w:t>废气、噪声、</w:t>
                                  </w:r>
                                </w:p>
                                <w:p w14:paraId="34B84591">
                                  <w:pPr>
                                    <w:rPr>
                                      <w:rFonts w:hint="default" w:eastAsia="宋体"/>
                                      <w:sz w:val="15"/>
                                      <w:szCs w:val="15"/>
                                      <w:lang w:val="en-US" w:eastAsia="zh-CN"/>
                                    </w:rPr>
                                  </w:pPr>
                                  <w:r>
                                    <w:rPr>
                                      <w:rFonts w:hint="eastAsia"/>
                                      <w:sz w:val="15"/>
                                      <w:szCs w:val="15"/>
                                      <w:lang w:val="en-US" w:eastAsia="zh-CN"/>
                                    </w:rPr>
                                    <w:t>固废、生态破坏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pt;margin-top:15.15pt;height:29.45pt;width:67.85pt;z-index:251673600;mso-width-relative:page;mso-height-relative:page;" filled="f" stroked="f" coordsize="21600,21600" o:gfxdata="UEsDBAoAAAAAAIdO4kAAAAAAAAAAAAAAAAAEAAAAZHJzL1BLAwQUAAAACACHTuJApuD6CNkAAAAI&#10;AQAADwAAAGRycy9kb3ducmV2LnhtbE2PzU7DMBCE70i8g7VI3KjdVIE0xKlQpAoJwaGlF26beJtE&#10;xOsQuz/w9LgnOI5mNPNNsTrbQRxp8r1jDfOZAkHcONNzq2H3vr7LQPiAbHBwTBq+ycOqvL4qMDfu&#10;xBs6bkMrYgn7HDV0IYy5lL7pyKKfuZE4ens3WQxRTq00E55iuR1kotS9tNhzXOhwpKqj5nN7sBpe&#10;qvUbburEZj9D9fy6fxq/dh+p1rc3c/UIItA5/IXhgh/RoYxMtTuw8WLQkKbxStCwUAsQF3+pHkDU&#10;GrJlArIs5P8D5S9QSwMEFAAAAAgAh07iQJjXhPU9AgAAZwQAAA4AAABkcnMvZTJvRG9jLnhtbK1U&#10;zY7TMBC+I/EOlu80Tf92t2q6KlsVIa3YlQri7DpOE8n2GNttUh4A3oATF+48V5+DsZN2q4XDHri4&#10;45nJN/6+menstlGS7IV1FeiMpr0+JUJzyCu9zeinj6s315Q4z3TOJGiR0YNw9Hb++tWsNlMxgBJk&#10;LixBEO2mtclo6b2ZJonjpVDM9cAIjcECrGIer3ab5JbViK5kMuj3J0kNNjcWuHAOvcs2SDtE+xJA&#10;KIqKiyXwnRLat6hWSOaRkisr4+g8vrYoBPcPReGEJzKjyNTHE4ugvQlnMp+x6dYyU1a8ewJ7yROe&#10;cVKs0lj0DLVknpGdrf6CUhW34KDwPQ4qaYlERZBF2n+mzbpkRkQuKLUzZ9Hd/4PlH/aPllR5RocT&#10;SjRT2PHjj+/Hn7+Pv74R9KFAtXFTzFsbzPTNW2hwbE5+h87AuymsCr/IiGAc5T2c5RWNJxyd15N0&#10;cjOmhGNoeDXqp+OAkjx9bKzz7wQoEoyMWuxeFJXt751vU08poZaGVSVl7KDUpM7oZDjuxw/OEQSX&#10;GmsECu1Tg+WbTdPx2kB+QFoW2slwhq8qLH7PnH9kFkcBmeCy+Ac8CglYBDqLkhLs13/5Qz52CKOU&#10;1DhaGXVfdswKSuR7jb27SUejMIvxMhpfDfBiLyOby4jeqTvA6U1xLQ2PZsj38mQWFtRn3KlFqIoh&#10;pjnWzqg/mXe+HXjcSS4Wi5iE02eYv9drwwN0K+di56GootJBplabTj2cv9irblfCgF/eY9bT/8P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bg+gjZAAAACAEAAA8AAAAAAAAAAQAgAAAAIgAAAGRy&#10;cy9kb3ducmV2LnhtbFBLAQIUABQAAAAIAIdO4kCY14T1PQIAAGcEAAAOAAAAAAAAAAEAIAAAACgB&#10;AABkcnMvZTJvRG9jLnhtbFBLBQYAAAAABgAGAFkBAADXBQAAAAA=&#10;">
                      <v:fill on="f" focussize="0,0"/>
                      <v:stroke on="f" weight="0.5pt"/>
                      <v:imagedata o:title=""/>
                      <o:lock v:ext="edit" aspectratio="f"/>
                      <v:textbox>
                        <w:txbxContent>
                          <w:p w14:paraId="0CE4FD40">
                            <w:pPr>
                              <w:rPr>
                                <w:rFonts w:hint="eastAsia"/>
                                <w:sz w:val="15"/>
                                <w:szCs w:val="15"/>
                                <w:lang w:val="en-US" w:eastAsia="zh-CN"/>
                              </w:rPr>
                            </w:pPr>
                            <w:r>
                              <w:rPr>
                                <w:rFonts w:hint="eastAsia"/>
                                <w:sz w:val="15"/>
                                <w:szCs w:val="15"/>
                                <w:lang w:val="en-US" w:eastAsia="zh-CN"/>
                              </w:rPr>
                              <w:t>废气、噪声、</w:t>
                            </w:r>
                          </w:p>
                          <w:p w14:paraId="34B84591">
                            <w:pPr>
                              <w:rPr>
                                <w:rFonts w:hint="default" w:eastAsia="宋体"/>
                                <w:sz w:val="15"/>
                                <w:szCs w:val="15"/>
                                <w:lang w:val="en-US" w:eastAsia="zh-CN"/>
                              </w:rPr>
                            </w:pPr>
                            <w:r>
                              <w:rPr>
                                <w:rFonts w:hint="eastAsia"/>
                                <w:sz w:val="15"/>
                                <w:szCs w:val="15"/>
                                <w:lang w:val="en-US" w:eastAsia="zh-CN"/>
                              </w:rPr>
                              <w:t>固废、生态破坏</w:t>
                            </w:r>
                          </w:p>
                        </w:txbxContent>
                      </v:textbox>
                    </v:shape>
                  </w:pict>
                </mc:Fallback>
              </mc:AlternateContent>
            </w:r>
            <w:r>
              <w:rPr>
                <w:color w:val="auto"/>
                <w:sz w:val="21"/>
              </w:rPr>
              <mc:AlternateContent>
                <mc:Choice Requires="wps">
                  <w:drawing>
                    <wp:anchor distT="0" distB="0" distL="114300" distR="114300" simplePos="0" relativeHeight="251682816" behindDoc="0" locked="0" layoutInCell="1" allowOverlap="1">
                      <wp:simplePos x="0" y="0"/>
                      <wp:positionH relativeFrom="column">
                        <wp:posOffset>1459230</wp:posOffset>
                      </wp:positionH>
                      <wp:positionV relativeFrom="paragraph">
                        <wp:posOffset>178435</wp:posOffset>
                      </wp:positionV>
                      <wp:extent cx="861695" cy="374015"/>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861695" cy="3740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9DD88">
                                  <w:pPr>
                                    <w:rPr>
                                      <w:rFonts w:hint="eastAsia"/>
                                      <w:sz w:val="15"/>
                                      <w:szCs w:val="15"/>
                                      <w:lang w:val="en-US" w:eastAsia="zh-CN"/>
                                    </w:rPr>
                                  </w:pPr>
                                  <w:r>
                                    <w:rPr>
                                      <w:rFonts w:hint="eastAsia"/>
                                      <w:sz w:val="15"/>
                                      <w:szCs w:val="15"/>
                                      <w:lang w:val="en-US" w:eastAsia="zh-CN"/>
                                    </w:rPr>
                                    <w:t>废气、噪声、</w:t>
                                  </w:r>
                                </w:p>
                                <w:p w14:paraId="78A5CB2F">
                                  <w:pPr>
                                    <w:rPr>
                                      <w:rFonts w:hint="default" w:eastAsia="宋体"/>
                                      <w:sz w:val="15"/>
                                      <w:szCs w:val="15"/>
                                      <w:lang w:val="en-US" w:eastAsia="zh-CN"/>
                                    </w:rPr>
                                  </w:pPr>
                                  <w:r>
                                    <w:rPr>
                                      <w:rFonts w:hint="eastAsia"/>
                                      <w:sz w:val="15"/>
                                      <w:szCs w:val="15"/>
                                      <w:lang w:val="en-US" w:eastAsia="zh-CN"/>
                                    </w:rPr>
                                    <w:t>固废、生态破坏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9pt;margin-top:14.05pt;height:29.45pt;width:67.85pt;z-index:251682816;mso-width-relative:page;mso-height-relative:page;" filled="f" stroked="f" coordsize="21600,21600" o:gfxdata="UEsDBAoAAAAAAIdO4kAAAAAAAAAAAAAAAAAEAAAAZHJzL1BLAwQUAAAACACHTuJAG3ggcNoAAAAJ&#10;AQAADwAAAGRycy9kb3ducmV2LnhtbE2PzU7DMBCE70i8g7VI3KidoJQQ4lQoUoWE4NDSCzcn3iYR&#10;8TrE7g88PcsJbjva0cw35ersRnHEOQyeNCQLBQKp9XagTsPubX2TgwjRkDWjJ9TwhQFW1eVFaQrr&#10;T7TB4zZ2gkMoFEZDH+NUSBnaHp0JCz8h8W/vZ2ciy7mTdjYnDnejTJVaSmcG4obeTFj32H5sD07D&#10;c71+NZsmdfn3WD+97B+nz917pvX1VaIeQEQ8xz8z/OIzOlTM1PgD2SBGDWl6z+iRjzwBwYbbZZaB&#10;aDTkdwpkVcr/C6ofUEsDBBQAAAAIAIdO4kBvsO80PAIAAGcEAAAOAAAAZHJzL2Uyb0RvYy54bWyt&#10;VMGO2jAQvVfqP1i+lwQW2F1EWNFFVJVQdyVa9Wwch0SyPa5tSOgHtH/QUy+997v4jo6dwKJtD3vo&#10;xYxnJm/83swwvWuUJHthXQU6o/1eSonQHPJKbzP66ePyzQ0lzjOdMwlaZPQgHL2bvX41rc1EDKAE&#10;mQtLEES7SW0yWnpvJknieCkUcz0wQmOwAKuYx6vdJrllNaIrmQzSdJzUYHNjgQvn0Ltog7RDtC8B&#10;hKKouFgA3ymhfYtqhWQeKbmyMo7O4muLQnD/UBROeCIzikx9PLEI2ptwJrMpm2wtM2XFuyewlzzh&#10;GSfFKo1Fz1AL5hnZ2eovKFVxCw4K3+OgkpZIVARZ9NNn2qxLZkTkglI7cxbd/T9Y/mH/aEmVZ3Q8&#10;pEQzhR0//vh+/Pn7+OsbQR8KVBs3wby1wUzfvIUGx+bkd+gMvJvCqvCLjAjGUd7DWV7ReMLReTPu&#10;j29HlHAMXV0P0/4ooCRPHxvr/DsBigQjoxa7F0Vl+5XzbeopJdTSsKykjB2UmtRI4WqUxg/OEQSX&#10;GmsECu1Tg+WbTdPx2kB+QFoW2slwhi8rLL5izj8yi6OATHBZ/AMehQQsAp1FSQn267/8IR87hFFK&#10;ahytjLovO2YFJfK9xt7d9ofDMIvxMhxdD/BiLyOby4jeqXvA6e3jWhoezZDv5cksLKjPuFPzUBVD&#10;THOsnVF/Mu99O/C4k1zM5zEJp88wv9JrwwN0K+d856GootJBplabTj2cv9irblfCgF/eY9bT/8Ps&#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t4IHDaAAAACQEAAA8AAAAAAAAAAQAgAAAAIgAAAGRy&#10;cy9kb3ducmV2LnhtbFBLAQIUABQAAAAIAIdO4kBvsO80PAIAAGcEAAAOAAAAAAAAAAEAIAAAACkB&#10;AABkcnMvZTJvRG9jLnhtbFBLBQYAAAAABgAGAFkBAADXBQAAAAA=&#10;">
                      <v:fill on="f" focussize="0,0"/>
                      <v:stroke on="f" weight="0.5pt"/>
                      <v:imagedata o:title=""/>
                      <o:lock v:ext="edit" aspectratio="f"/>
                      <v:textbox>
                        <w:txbxContent>
                          <w:p w14:paraId="5769DD88">
                            <w:pPr>
                              <w:rPr>
                                <w:rFonts w:hint="eastAsia"/>
                                <w:sz w:val="15"/>
                                <w:szCs w:val="15"/>
                                <w:lang w:val="en-US" w:eastAsia="zh-CN"/>
                              </w:rPr>
                            </w:pPr>
                            <w:r>
                              <w:rPr>
                                <w:rFonts w:hint="eastAsia"/>
                                <w:sz w:val="15"/>
                                <w:szCs w:val="15"/>
                                <w:lang w:val="en-US" w:eastAsia="zh-CN"/>
                              </w:rPr>
                              <w:t>废气、噪声、</w:t>
                            </w:r>
                          </w:p>
                          <w:p w14:paraId="78A5CB2F">
                            <w:pPr>
                              <w:rPr>
                                <w:rFonts w:hint="default" w:eastAsia="宋体"/>
                                <w:sz w:val="15"/>
                                <w:szCs w:val="15"/>
                                <w:lang w:val="en-US" w:eastAsia="zh-CN"/>
                              </w:rPr>
                            </w:pPr>
                            <w:r>
                              <w:rPr>
                                <w:rFonts w:hint="eastAsia"/>
                                <w:sz w:val="15"/>
                                <w:szCs w:val="15"/>
                                <w:lang w:val="en-US" w:eastAsia="zh-CN"/>
                              </w:rPr>
                              <w:t>固废、生态破坏</w:t>
                            </w:r>
                          </w:p>
                        </w:txbxContent>
                      </v:textbox>
                    </v:shape>
                  </w:pict>
                </mc:Fallback>
              </mc:AlternateContent>
            </w:r>
            <w:r>
              <w:rPr>
                <w:color w:val="auto"/>
                <w:sz w:val="21"/>
              </w:rPr>
              <mc:AlternateContent>
                <mc:Choice Requires="wps">
                  <w:drawing>
                    <wp:anchor distT="0" distB="0" distL="114300" distR="114300" simplePos="0" relativeHeight="251679744" behindDoc="0" locked="0" layoutInCell="1" allowOverlap="1">
                      <wp:simplePos x="0" y="0"/>
                      <wp:positionH relativeFrom="column">
                        <wp:posOffset>1939290</wp:posOffset>
                      </wp:positionH>
                      <wp:positionV relativeFrom="paragraph">
                        <wp:posOffset>522605</wp:posOffset>
                      </wp:positionV>
                      <wp:extent cx="635" cy="241935"/>
                      <wp:effectExtent l="37465" t="0" r="38100" b="5715"/>
                      <wp:wrapNone/>
                      <wp:docPr id="60" name="直接箭头连接符 60"/>
                      <wp:cNvGraphicFramePr/>
                      <a:graphic xmlns:a="http://schemas.openxmlformats.org/drawingml/2006/main">
                        <a:graphicData uri="http://schemas.microsoft.com/office/word/2010/wordprocessingShape">
                          <wps:wsp>
                            <wps:cNvCnPr/>
                            <wps:spPr>
                              <a:xfrm flipV="1">
                                <a:off x="0" y="0"/>
                                <a:ext cx="635" cy="24193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52.7pt;margin-top:41.15pt;height:19.05pt;width:0.05pt;z-index:251679744;mso-width-relative:page;mso-height-relative:page;" filled="f" stroked="t" coordsize="21600,21600" o:gfxdata="UEsDBAoAAAAAAIdO4kAAAAAAAAAAAAAAAAAEAAAAZHJzL1BLAwQUAAAACACHTuJAvTlTbNoAAAAK&#10;AQAADwAAAGRycy9kb3ducmV2LnhtbE2PwU7DMAyG70i8Q2Qkbixpt6GpNJ0QCIG4AANN7JY1pi00&#10;Tpek23h7zAmOtj/9/v5yeXS92GOInScN2USBQKq97ajR8PZ6d7EAEZMha3pPqOEbIyyr05PSFNYf&#10;6AX3q9QIDqFYGA1tSkMhZaxbdCZO/IDEtw8fnEk8hkbaYA4c7nqZK3UpnemIP7RmwJsW66/V6DSs&#10;1w/3j83t5/iUZbgL75vn3Wa81vr8LFNXIBIe0x8Mv/qsDhU7bf1INopew1TNZ4xqWORTEAzwYg5i&#10;y2SuZiCrUv6vUP0AUEsDBBQAAAAIAIdO4kA51BHHBAIAANoDAAAOAAAAZHJzL2Uyb0RvYy54bWyt&#10;U82O0zAQviPxDpbvNG2BAlHTPbQsFwSV+LlPHSex5D95vE37ErwAEifgBJz2ztPA8hiMnVBgueyB&#10;HKKZsb/P830eL88ORrO9DKicrfhsMuVMWuFqZduKv3p5fuchZxjB1qCdlRU/SuRnq9u3lr0v5dx1&#10;TtcyMCKxWPa+4l2MviwKFJ00gBPnpaXFxgUDkdLQFnWAntiNLubT6aLoXah9cEIiUnUzLPKRMdyE&#10;0DWNEnLjxIWRNg6sQWqIJAk75ZGvcrdNI0V83jQoI9MVJ6Ux/+kQinfpX6yWULYBfKfE2ALcpIVr&#10;mgwoS4eeqDYQgV0E9Q+VUSI4dE2cCGeKQUh2hFTMpte8edGBl1kLWY3+ZDr+P1rxbL8NTNUVX5Al&#10;Fgzd+NXby+9vPlx9+fzt/eWPr+9S/Okjo3Uyq/dYEmZtt2HM0G9DUn5ogmGNVv41TVX2gtSxQ7b6&#10;eLJaHiITVFzcvc+ZoPr83uwRxURWDByJyweMT6QzLAUVxxhAtV1cO2vpRl0Y+GH/FOMA/AVIYOvO&#10;ldZUh1Jb1lM38wdTEieAprWhKaHQeFKMtuUMdEvPQMSQW0anVZ3gCY2h3a11YHtIw5O/sc+/tqWz&#10;N4DdsA+PmJK0EcoISj+2NYtHT77GoMC2Wo4k2pLm5OfgYIp2rj5mY3Odrjy7Mo5nmqk/84z+/SR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9OVNs2gAAAAoBAAAPAAAAAAAAAAEAIAAAACIAAABk&#10;cnMvZG93bnJldi54bWxQSwECFAAUAAAACACHTuJAOdQRxwQCAADaAwAADgAAAAAAAAABACAAAAAp&#10;AQAAZHJzL2Uyb0RvYy54bWxQSwUGAAAAAAYABgBZAQAAnwUAAAAA&#10;">
                      <v:fill on="f" focussize="0,0"/>
                      <v:stroke weight="1pt" color="#000000 [3213]" joinstyle="round" dashstyle="3 1" endarrow="block"/>
                      <v:imagedata o:title=""/>
                      <o:lock v:ext="edit" aspectratio="f"/>
                    </v:shape>
                  </w:pict>
                </mc:Fallback>
              </mc:AlternateContent>
            </w:r>
            <w:r>
              <w:rPr>
                <w:color w:val="auto"/>
                <w:sz w:val="21"/>
              </w:rPr>
              <mc:AlternateContent>
                <mc:Choice Requires="wps">
                  <w:drawing>
                    <wp:anchor distT="0" distB="0" distL="114300" distR="114300" simplePos="0" relativeHeight="251683840" behindDoc="0" locked="0" layoutInCell="1" allowOverlap="1">
                      <wp:simplePos x="0" y="0"/>
                      <wp:positionH relativeFrom="column">
                        <wp:posOffset>2846705</wp:posOffset>
                      </wp:positionH>
                      <wp:positionV relativeFrom="paragraph">
                        <wp:posOffset>132080</wp:posOffset>
                      </wp:positionV>
                      <wp:extent cx="861695" cy="374015"/>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861695" cy="3740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41072">
                                  <w:pPr>
                                    <w:rPr>
                                      <w:rFonts w:hint="eastAsia"/>
                                      <w:sz w:val="15"/>
                                      <w:szCs w:val="15"/>
                                      <w:lang w:val="en-US" w:eastAsia="zh-CN"/>
                                    </w:rPr>
                                  </w:pPr>
                                  <w:r>
                                    <w:rPr>
                                      <w:rFonts w:hint="eastAsia"/>
                                      <w:sz w:val="15"/>
                                      <w:szCs w:val="15"/>
                                      <w:lang w:val="en-US" w:eastAsia="zh-CN"/>
                                    </w:rPr>
                                    <w:t>废气、噪声、</w:t>
                                  </w:r>
                                </w:p>
                                <w:p w14:paraId="08FA0C1D">
                                  <w:pPr>
                                    <w:rPr>
                                      <w:rFonts w:hint="default" w:eastAsia="宋体"/>
                                      <w:sz w:val="15"/>
                                      <w:szCs w:val="15"/>
                                      <w:lang w:val="en-US" w:eastAsia="zh-CN"/>
                                    </w:rPr>
                                  </w:pPr>
                                  <w:r>
                                    <w:rPr>
                                      <w:rFonts w:hint="eastAsia"/>
                                      <w:sz w:val="15"/>
                                      <w:szCs w:val="15"/>
                                      <w:lang w:val="en-US" w:eastAsia="zh-CN"/>
                                    </w:rPr>
                                    <w:t>固废、水土流失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15pt;margin-top:10.4pt;height:29.45pt;width:67.85pt;z-index:251683840;mso-width-relative:page;mso-height-relative:page;" filled="f" stroked="f" coordsize="21600,21600" o:gfxdata="UEsDBAoAAAAAAIdO4kAAAAAAAAAAAAAAAAAEAAAAZHJzL1BLAwQUAAAACACHTuJAQep/ztoAAAAJ&#10;AQAADwAAAGRycy9kb3ducmV2LnhtbE2Py07DMBBF90j8gzVI7KjdkNIQ4lQoUoWEYNHSDTsnniYR&#10;8TjE7gO+nmEFy9Fc3XtOsTq7QRxxCr0nDfOZAoHUeNtTq2H3tr7JQIRoyJrBE2r4wgCr8vKiMLn1&#10;J9rgcRtbwSUUcqOhi3HMpQxNh86EmR+R+Lf3kzORz6mVdjInLneDTJS6k870xAudGbHqsPnYHpyG&#10;52r9ajZ14rLvoXp62T+On7v3hdbXV3P1ACLiOf6F4Ref0aFkptofyAYxaEjT7JajGhLFChxYZCnL&#10;1RqW90uQZSH/G5Q/UEsDBBQAAAAIAIdO4kA1zyzcPQIAAGcEAAAOAAAAZHJzL2Uyb0RvYy54bWyt&#10;VMFOGzEQvVfqP1i+l00gBIjYoBREVQkVJFr17Hi97Eq2x7UddukHtH/QUy+997vyHX32JgHRHjj0&#10;4h3PjGfmvZnZ07PeaHavfGjJlny8N+JMWUlVa+9K/unj5ZtjzkIUthKarCr5gwr8bP761WnnZmqf&#10;GtKV8gxBbJh1ruRNjG5WFEE2yoiwR05ZGGvyRkRc/V1RedEhutHF/mg0LTrylfMkVQjQXgxGvono&#10;XxKQ6rqV6oLkyigbh6heaREBKTStC3yeq61rJeN1XQcVmS45kMZ8IgnkZTqL+amY3XnhmlZuShAv&#10;KeEZJiNai6S7UBciCrby7V+hTCs9BarjniRTDEAyI0AxHj3j5rYRTmUsoDq4Henh/4WVH+5vPGur&#10;kk8PObPCoOPrH9/XP3+vf31j0IGgzoUZ/G4dPGP/lnqMzVYfoEy4+9qb9AUiBjvofdjRq/rIJJTH&#10;0/H0BFkkTAdHk9E4Ry8eHzsf4jtFhiWh5B7dy6SK+6sQUQhcty4pl6XLVuvcQW1ZBwgHh6P8YGfB&#10;C23xMEEYSk1S7Jf9BteSqgfA8jRMRnDyskXyKxHijfAYBSDBssRrHLUmJKGNxFlD/uu/9MkfHYKV&#10;sw6jVfLwZSW84ky/t+jdyXgySbOYL5PDo31c/FPL8qnFrsw5YXrHWEsns5j8o96KtSfzGTu1SFlh&#10;ElYid8njVjyPw8BjJ6VaLLITps+JeGVvnUyhBzoXq0h1m5lONA3cbNjD/OUGbHYlDfjTe/Z6/D/M&#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B6n/O2gAAAAkBAAAPAAAAAAAAAAEAIAAAACIAAABk&#10;cnMvZG93bnJldi54bWxQSwECFAAUAAAACACHTuJANc8s3D0CAABnBAAADgAAAAAAAAABACAAAAAp&#10;AQAAZHJzL2Uyb0RvYy54bWxQSwUGAAAAAAYABgBZAQAA2AUAAAAA&#10;">
                      <v:fill on="f" focussize="0,0"/>
                      <v:stroke on="f" weight="0.5pt"/>
                      <v:imagedata o:title=""/>
                      <o:lock v:ext="edit" aspectratio="f"/>
                      <v:textbox>
                        <w:txbxContent>
                          <w:p w14:paraId="63241072">
                            <w:pPr>
                              <w:rPr>
                                <w:rFonts w:hint="eastAsia"/>
                                <w:sz w:val="15"/>
                                <w:szCs w:val="15"/>
                                <w:lang w:val="en-US" w:eastAsia="zh-CN"/>
                              </w:rPr>
                            </w:pPr>
                            <w:r>
                              <w:rPr>
                                <w:rFonts w:hint="eastAsia"/>
                                <w:sz w:val="15"/>
                                <w:szCs w:val="15"/>
                                <w:lang w:val="en-US" w:eastAsia="zh-CN"/>
                              </w:rPr>
                              <w:t>废气、噪声、</w:t>
                            </w:r>
                          </w:p>
                          <w:p w14:paraId="08FA0C1D">
                            <w:pPr>
                              <w:rPr>
                                <w:rFonts w:hint="default" w:eastAsia="宋体"/>
                                <w:sz w:val="15"/>
                                <w:szCs w:val="15"/>
                                <w:lang w:val="en-US" w:eastAsia="zh-CN"/>
                              </w:rPr>
                            </w:pPr>
                            <w:r>
                              <w:rPr>
                                <w:rFonts w:hint="eastAsia"/>
                                <w:sz w:val="15"/>
                                <w:szCs w:val="15"/>
                                <w:lang w:val="en-US" w:eastAsia="zh-CN"/>
                              </w:rPr>
                              <w:t>固废、水土流失</w:t>
                            </w:r>
                          </w:p>
                        </w:txbxContent>
                      </v:textbox>
                    </v:shape>
                  </w:pict>
                </mc:Fallback>
              </mc:AlternateContent>
            </w:r>
            <w:r>
              <w:rPr>
                <w:color w:val="auto"/>
                <w:sz w:val="21"/>
              </w:rPr>
              <mc:AlternateContent>
                <mc:Choice Requires="wps">
                  <w:drawing>
                    <wp:anchor distT="0" distB="0" distL="114300" distR="114300" simplePos="0" relativeHeight="251680768" behindDoc="0" locked="0" layoutInCell="1" allowOverlap="1">
                      <wp:simplePos x="0" y="0"/>
                      <wp:positionH relativeFrom="column">
                        <wp:posOffset>3292475</wp:posOffset>
                      </wp:positionH>
                      <wp:positionV relativeFrom="paragraph">
                        <wp:posOffset>481330</wp:posOffset>
                      </wp:positionV>
                      <wp:extent cx="635" cy="241935"/>
                      <wp:effectExtent l="37465" t="0" r="38100" b="5715"/>
                      <wp:wrapNone/>
                      <wp:docPr id="61" name="直接箭头连接符 61"/>
                      <wp:cNvGraphicFramePr/>
                      <a:graphic xmlns:a="http://schemas.openxmlformats.org/drawingml/2006/main">
                        <a:graphicData uri="http://schemas.microsoft.com/office/word/2010/wordprocessingShape">
                          <wps:wsp>
                            <wps:cNvCnPr/>
                            <wps:spPr>
                              <a:xfrm flipV="1">
                                <a:off x="0" y="0"/>
                                <a:ext cx="635" cy="24193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9.25pt;margin-top:37.9pt;height:19.05pt;width:0.05pt;z-index:251680768;mso-width-relative:page;mso-height-relative:page;" filled="f" stroked="t" coordsize="21600,21600" o:gfxdata="UEsDBAoAAAAAAIdO4kAAAAAAAAAAAAAAAAAEAAAAZHJzL1BLAwQUAAAACACHTuJA9+hl4tkAAAAK&#10;AQAADwAAAGRycy9kb3ducmV2LnhtbE2PwU7DMAyG70i8Q2QkbiwNqGOUphMCIRCXwUATu2WNaQuN&#10;0yXpNt4ec4Kj7U+/v7+cH1wvdhhi50mDmmQgkGpvO2o0vL3en81AxGTImt4TavjGCPPq+Kg0hfV7&#10;esHdMjWCQygWRkOb0lBIGesWnYkTPyDx7cMHZxKPoZE2mD2Hu16eZ9lUOtMRf2jNgLct1l/L0WlY&#10;rR4fnpq7z3GhFG7D+/p5ux5vtD49Udk1iISH9AfDrz6rQ8VOGz+SjaLXkKtZzqiGy5wrMMCLKYgN&#10;k+riCmRVyv8Vqh9QSwMEFAAAAAgAh07iQCP1bCEEAgAA2gMAAA4AAABkcnMvZTJvRG9jLnhtbK1T&#10;vY4TMRDukXgHyz3ZJECAVTZXJBwNgkj89BOvd9eS/+TxZZOX4AWQqIAKqK7naeB4DMbeJcDRXIEL&#10;a2bs+TzfN+Pl2cFotpcBlbMVn02mnEkrXK1sW/FXL8/vPOQMI9gatLOy4keJ/Gx1+9ay96Wcu87p&#10;WgZGIBbL3le8i9GXRYGikwZw4ry0dNi4YCCSG9qiDtATutHFfDpdFL0LtQ9OSESKboZDPiKGmwC6&#10;plFCbpy4MNLGATVIDZEoYac88lWutmmkiM+bBmVkuuLENOadHiF7l/ZitYSyDeA7JcYS4CYlXONk&#10;QFl69AS1gQjsIqh/oIwSwaFr4kQ4UwxEsiLEYja9ps2LDrzMXEhq9CfR8f/Bimf7bWCqrvhixpkF&#10;Qx2/env5/c2Hqy+fv72//PH1XbI/fWR0TmL1HkvKWdttGD3025CYH5pgWKOVf01TlbUgduyQpT6e&#10;pJaHyAQFF3fvcyYoPr83e0Q2gRUDRsLyAeMT6QxLRsUxBlBtF9fOWuqoCwM+7J9iHBJ/JaRk686V&#10;1hSHUlvWUzXzB1PqtwCa1oamhEzjiTHaljPQLX0DEUMuGZ1WdUpP2Rja3VoHtoc0PHmNdf51Lb29&#10;AeyGe3jE5KSLUEZQ+rGtWTx60jUGBbbVcgTRljgnPQcFk7Vz9TELm+PU8qzKOJ5ppv70c/bvL7n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foZeLZAAAACgEAAA8AAAAAAAAAAQAgAAAAIgAAAGRy&#10;cy9kb3ducmV2LnhtbFBLAQIUABQAAAAIAIdO4kAj9WwhBAIAANoDAAAOAAAAAAAAAAEAIAAAACgB&#10;AABkcnMvZTJvRG9jLnhtbFBLBQYAAAAABgAGAFkBAACeBQAAAAA=&#10;">
                      <v:fill on="f" focussize="0,0"/>
                      <v:stroke weight="1pt" color="#000000 [3213]" joinstyle="round" dashstyle="3 1" endarrow="block"/>
                      <v:imagedata o:title=""/>
                      <o:lock v:ext="edit" aspectratio="f"/>
                    </v:shape>
                  </w:pict>
                </mc:Fallback>
              </mc:AlternateContent>
            </w:r>
            <w:r>
              <w:rPr>
                <w:color w:val="auto"/>
                <w:sz w:val="21"/>
              </w:rPr>
              <mc:AlternateContent>
                <mc:Choice Requires="wps">
                  <w:drawing>
                    <wp:anchor distT="0" distB="0" distL="114300" distR="114300" simplePos="0" relativeHeight="251684864" behindDoc="0" locked="0" layoutInCell="1" allowOverlap="1">
                      <wp:simplePos x="0" y="0"/>
                      <wp:positionH relativeFrom="column">
                        <wp:posOffset>4048125</wp:posOffset>
                      </wp:positionH>
                      <wp:positionV relativeFrom="paragraph">
                        <wp:posOffset>319405</wp:posOffset>
                      </wp:positionV>
                      <wp:extent cx="1002665" cy="25527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002665" cy="255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E1405">
                                  <w:pPr>
                                    <w:rPr>
                                      <w:rFonts w:hint="default" w:eastAsia="宋体"/>
                                      <w:sz w:val="15"/>
                                      <w:szCs w:val="15"/>
                                      <w:lang w:val="en-US" w:eastAsia="zh-CN"/>
                                    </w:rPr>
                                  </w:pPr>
                                  <w:r>
                                    <w:rPr>
                                      <w:rFonts w:hint="eastAsia"/>
                                      <w:sz w:val="15"/>
                                      <w:szCs w:val="15"/>
                                      <w:lang w:val="en-US" w:eastAsia="zh-CN"/>
                                    </w:rPr>
                                    <w:t>废气、噪声、固废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75pt;margin-top:25.15pt;height:20.1pt;width:78.95pt;z-index:251684864;mso-width-relative:page;mso-height-relative:page;" filled="f" stroked="f" coordsize="21600,21600" o:gfxdata="UEsDBAoAAAAAAIdO4kAAAAAAAAAAAAAAAAAEAAAAZHJzL1BLAwQUAAAACACHTuJAm3R7otsAAAAJ&#10;AQAADwAAAGRycy9kb3ducmV2LnhtbE2Py07DMBBF90j8gzVI7KjdFvcR4lQoUoWEYNHSDbtJPE0i&#10;/Aix+6Bfj7uC5ege3XsmX52tYUcaQuedgvFIACNXe925RsHuY/2wABYiOo3GO1LwQwFWxe1Njpn2&#10;J7eh4zY2LJW4kKGCNsY+4zzULVkMI9+TS9neDxZjOoeG6wFPqdwaPhFixi12Li202FPZUv21PVgF&#10;r+X6HTfVxC4upnx52z/337tPqdT93Vg8AYt0jn8wXPWTOhTJqfIHpwMzCmbTuUyoAimmwBIwX8pH&#10;YJWCpZDAi5z//6D4BVBLAwQUAAAACACHTuJAd1+IuDwCAABoBAAADgAAAGRycy9lMm9Eb2MueG1s&#10;rVTNbtQwEL4j8Q6W7zTZpbvAqtlqaVWEVNFKBXH2Ok4TyfYY29ukPAC8AScu3HmuPgefnd1tVTj0&#10;wMUZe36/b2ZydDwYzW6UDx3Zik8OSs6UlVR39rrinz6evXjNWYjC1kKTVRW/VYEfL58/O+rdQk2p&#10;JV0rzxDEhkXvKt7G6BZFEWSrjAgH5JSFsiFvRMTVXxe1Fz2iG11My3Je9ORr50mqEPB6Oir5NqJ/&#10;SkBqmk6qU5Ibo2wco3qlRQSk0HYu8GWutmmUjBdNE1RkuuJAGvOJJJDX6SyWR2Jx7YVrO7ktQTyl&#10;hEeYjOgsku5DnYoo2MZ3f4UynfQUqIkHkkwxAsmMAMWkfMTNVSucylhAdXB70sP/Cys/3Fx61tUV&#10;n885s8Kg43c/vt/9/H336xvDGwjqXVjA7srBMg5vacDY7N4DHhPuofEmfYGIQQ96b/f0qiEymZzK&#10;cjqfzziT0E1ns+mrzH9x7+18iO8UGZaEinu0L7Mqbs5DRCUw3ZmkZJbOOq1zC7VlPTC8nJXZYa+B&#10;h7ZwTBjGWpMUh/WwBbam+ha4PI2jEZw865D8XIR4KTxmAVCwLfECR6MJSWgrcdaS//qv92SPFkHL&#10;WY/Zqnj4shFecabfWzTvzeTwMA1jvhzOXk1x8Q8164cauzEnhPGdYC+dzGKyj3onNp7MZyzVKmWF&#10;SliJ3BWPO/EkjhOPpZRqtcpGGD8n4rm9cjKFHulcbSI1XWY60TRys2UPA5gbsF2WNOEP79nq/gex&#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bdHui2wAAAAkBAAAPAAAAAAAAAAEAIAAAACIAAABk&#10;cnMvZG93bnJldi54bWxQSwECFAAUAAAACACHTuJAd1+IuDwCAABoBAAADgAAAAAAAAABACAAAAAq&#10;AQAAZHJzL2Uyb0RvYy54bWxQSwUGAAAAAAYABgBZAQAA2AUAAAAA&#10;">
                      <v:fill on="f" focussize="0,0"/>
                      <v:stroke on="f" weight="0.5pt"/>
                      <v:imagedata o:title=""/>
                      <o:lock v:ext="edit" aspectratio="f"/>
                      <v:textbox>
                        <w:txbxContent>
                          <w:p w14:paraId="56AE1405">
                            <w:pPr>
                              <w:rPr>
                                <w:rFonts w:hint="default" w:eastAsia="宋体"/>
                                <w:sz w:val="15"/>
                                <w:szCs w:val="15"/>
                                <w:lang w:val="en-US" w:eastAsia="zh-CN"/>
                              </w:rPr>
                            </w:pPr>
                            <w:r>
                              <w:rPr>
                                <w:rFonts w:hint="eastAsia"/>
                                <w:sz w:val="15"/>
                                <w:szCs w:val="15"/>
                                <w:lang w:val="en-US" w:eastAsia="zh-CN"/>
                              </w:rPr>
                              <w:t>废气、噪声、固废</w:t>
                            </w:r>
                          </w:p>
                        </w:txbxContent>
                      </v:textbox>
                    </v:shape>
                  </w:pict>
                </mc:Fallback>
              </mc:AlternateContent>
            </w:r>
            <w:r>
              <w:rPr>
                <w:color w:val="auto"/>
                <w:sz w:val="21"/>
              </w:rPr>
              <mc:AlternateContent>
                <mc:Choice Requires="wps">
                  <w:drawing>
                    <wp:anchor distT="0" distB="0" distL="114300" distR="114300" simplePos="0" relativeHeight="251675648" behindDoc="0" locked="0" layoutInCell="1" allowOverlap="1">
                      <wp:simplePos x="0" y="0"/>
                      <wp:positionH relativeFrom="column">
                        <wp:posOffset>4488815</wp:posOffset>
                      </wp:positionH>
                      <wp:positionV relativeFrom="paragraph">
                        <wp:posOffset>1008380</wp:posOffset>
                      </wp:positionV>
                      <wp:extent cx="3810" cy="302895"/>
                      <wp:effectExtent l="35560" t="0" r="36830" b="1905"/>
                      <wp:wrapNone/>
                      <wp:docPr id="42" name="直接箭头连接符 42"/>
                      <wp:cNvGraphicFramePr/>
                      <a:graphic xmlns:a="http://schemas.openxmlformats.org/drawingml/2006/main">
                        <a:graphicData uri="http://schemas.microsoft.com/office/word/2010/wordprocessingShape">
                          <wps:wsp>
                            <wps:cNvCnPr/>
                            <wps:spPr>
                              <a:xfrm>
                                <a:off x="0" y="0"/>
                                <a:ext cx="3810" cy="302895"/>
                              </a:xfrm>
                              <a:prstGeom prst="straightConnector1">
                                <a:avLst/>
                              </a:prstGeom>
                              <a:ln w="635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53.45pt;margin-top:79.4pt;height:23.85pt;width:0.3pt;z-index:251675648;mso-width-relative:page;mso-height-relative:page;" filled="f" stroked="t" coordsize="21600,21600" o:gfxdata="UEsDBAoAAAAAAIdO4kAAAAAAAAAAAAAAAAAEAAAAZHJzL1BLAwQUAAAACACHTuJApxqvlNoAAAAL&#10;AQAADwAAAGRycy9kb3ducmV2LnhtbE2PTUvDQBCG74L/YRnBi9jdBpK0aTY9CAqCF1MFj9PsNglm&#10;Z0N20w9/vePJHof34Z3nLbdnN4ijnULvScNyoUBYarzpqdXwsXt+XIEIEcng4MlquNgA2+r2psTC&#10;+BO922MdW8ElFArU0MU4FlKGprMOw8KPljg7+Mlh5HNqpZnwxOVukIlSmXTYE3/ocLRPnW2+69lp&#10;iIp2dT9/vcaXy/pHvSWDwodPre/vlmoDItpz/IfhT5/VoWKnvZ/JBDFoyFW2ZpSDdMUbmMhVnoLY&#10;a0hUloKsSnm9ofoFUEsDBBQAAAAIAIdO4kC36GcH/AEAAM4DAAAOAAAAZHJzL2Uyb0RvYy54bWyt&#10;U0uO1DAQ3SNxB8t7Ov1hRk3U6Vl0M2wQtAQcoNpxEkv+yeXpzyW4ABIrYAWsZs9pYDgGZSf0wLCZ&#10;BVk45SrXq3rP5cXFwWi2kwGVsxWfjMacSStcrWxb8TevLx/NOcMItgbtrKz4USK/WD58sNj7Uk5d&#10;53QtAyMQi+XeV7yL0ZdFgaKTBnDkvLQUbFwwEGkb2qIOsCd0o4vpeHxe7F2ofXBCIpJ33Qf5gBju&#10;A+iaRgm5duLKSBt71CA1RKKEnfLIl7nbppEivmwalJHpihPTmFcqQvY2rcVyAWUbwHdKDC3AfVq4&#10;w8mAslT0BLWGCOwqqH+gjBLBoWviSDhT9ESyIsRiMr6jzasOvMxcSGr0J9Hx/8GKF7tNYKqu+OMp&#10;ZxYM3fjNu+sfbz/efP3y/cP1z2/vk/35E6M4ibX3WFLOym7CsEO/CYn5oQkm/YkTO2SBjyeB5SEy&#10;Qc7ZfELCCwrMxtP5k7OEWNym+oDxmXSGJaPiGAOotosrZy1dpAuTLDHsnmPsE38npLrWXSqtyQ+l&#10;tmxf8fPZWSoGNKMNzQaZxhNPtC1noFsafhFDRkSnVZ2yUzKGdrvSge0gjUz+hjb/OpZKrwG7/lwO&#10;pWNQRlD6qa1ZPHrSMgYFttVygNCWCCcNe9WStXX1MYuZ/XTNWZJhJNMc/bnP2bfPcP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xqvlNoAAAALAQAADwAAAAAAAAABACAAAAAiAAAAZHJzL2Rvd25y&#10;ZXYueG1sUEsBAhQAFAAAAAgAh07iQLfoZwf8AQAAzgMAAA4AAAAAAAAAAQAgAAAAKQEAAGRycy9l&#10;Mm9Eb2MueG1sUEsFBgAAAAAGAAYAWQEAAJcFAAAAAA==&#10;">
                      <v:fill on="f" focussize="0,0"/>
                      <v:stroke weight="0.5pt" color="#000000 [3213]" joinstyle="round" endarrow="block"/>
                      <v:imagedata o:title=""/>
                      <o:lock v:ext="edit" aspectratio="f"/>
                    </v:shape>
                  </w:pict>
                </mc:Fallback>
              </mc:AlternateContent>
            </w:r>
            <w:r>
              <w:rPr>
                <w:color w:val="auto"/>
                <w:sz w:val="21"/>
              </w:rPr>
              <mc:AlternateContent>
                <mc:Choice Requires="wps">
                  <w:drawing>
                    <wp:anchor distT="0" distB="0" distL="114300" distR="114300" simplePos="0" relativeHeight="251678720" behindDoc="0" locked="0" layoutInCell="1" allowOverlap="1">
                      <wp:simplePos x="0" y="0"/>
                      <wp:positionH relativeFrom="column">
                        <wp:posOffset>4097020</wp:posOffset>
                      </wp:positionH>
                      <wp:positionV relativeFrom="paragraph">
                        <wp:posOffset>715645</wp:posOffset>
                      </wp:positionV>
                      <wp:extent cx="840105" cy="276225"/>
                      <wp:effectExtent l="4445" t="4445" r="12700" b="5080"/>
                      <wp:wrapNone/>
                      <wp:docPr id="55" name="文本框 55"/>
                      <wp:cNvGraphicFramePr/>
                      <a:graphic xmlns:a="http://schemas.openxmlformats.org/drawingml/2006/main">
                        <a:graphicData uri="http://schemas.microsoft.com/office/word/2010/wordprocessingShape">
                          <wps:wsp>
                            <wps:cNvSpPr txBox="1"/>
                            <wps:spPr>
                              <a:xfrm>
                                <a:off x="0" y="0"/>
                                <a:ext cx="84010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A1AD4F">
                                  <w:pPr>
                                    <w:rPr>
                                      <w:rFonts w:hint="default" w:eastAsia="宋体"/>
                                      <w:sz w:val="21"/>
                                      <w:szCs w:val="21"/>
                                      <w:lang w:val="en-US" w:eastAsia="zh-CN"/>
                                    </w:rPr>
                                  </w:pPr>
                                  <w:r>
                                    <w:rPr>
                                      <w:rFonts w:hint="eastAsia"/>
                                      <w:sz w:val="21"/>
                                      <w:szCs w:val="21"/>
                                      <w:lang w:val="en-US" w:eastAsia="zh-CN"/>
                                    </w:rPr>
                                    <w:t>桩基施工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6pt;margin-top:56.35pt;height:21.75pt;width:66.15pt;z-index:251678720;mso-width-relative:page;mso-height-relative:page;" fillcolor="#FFFFFF [3201]" filled="t" stroked="t" coordsize="21600,21600" o:gfxdata="UEsDBAoAAAAAAIdO4kAAAAAAAAAAAAAAAAAEAAAAZHJzL1BLAwQUAAAACACHTuJAU7tg7NcAAAAL&#10;AQAADwAAAGRycy9kb3ducmV2LnhtbE2PwU7DMAyG70i8Q2QkbixtRltUmk4CCQlxY/TCLWu8tiJx&#10;qiZbx9tjTnC0/0+/Pze7i3fijEucAmnINxkIpD7YiQYN3cfL3QOImAxZ4wKhhm+MsGuvrxpT27DS&#10;O573aRBcQrE2GsaU5lrK2I/oTdyEGYmzY1i8STwug7SLWbncO6myrJTeTMQXRjPj84j91/7kNbyW&#10;T+kTO/tmt2ob1k72y9FFrW9v8uwRRMJL+oPhV5/VoWWnQziRjcJpKO8LxSgHuapAMFFVVQHiwJui&#10;VCDbRv7/of0BUEsDBBQAAAAIAIdO4kDNsiYwWQIAALgEAAAOAAAAZHJzL2Uyb0RvYy54bWytVM1u&#10;EzEQviPxDpbvdJOQtCXqpgqtgpAqWqkgzo7Xm7XwH7aT3fIA8AacuHDnufocfPYm6R+HHtiDdzwz&#10;+83MNzN7ctppRTbCB2lNSYcHA0qE4baSZlXSTx8Xr44pCZGZiilrRElvRKCns5cvTlo3FSPbWFUJ&#10;TwBiwrR1JW1idNOiCLwRmoUD64SBsbZes4irXxWVZy3QtSpGg8Fh0VpfOW+5CAHa895It4j+OYC2&#10;riUX55avtTCxR/VCsYiSQiNdoLOcbV0LHi/rOohIVElRacwngkBeprOYnbDpyjPXSL5NgT0nhUc1&#10;aSYNgu6hzllkZO3lEygtubfB1vGAW130hWRGUMVw8Iib64Y5kWsB1cHtSQ//D5Z/2Fx5IquSTiaU&#10;GKbR8dufP25//bn9/Z1AB4JaF6bwu3bwjN1b22FsdvoAZaq7q71Ob1REYAe9N3t6RRcJh/J4jBIR&#10;hcM0OjocjTJ6cfex8yG+E1aTJJTUo3uZVLa5CBGJwHXnkmIFq2S1kErli18tz5QnG4ZOL/KTcsQn&#10;D9yUIW1JD19PBhn5gS1h7yGWivEvTxGApwxgEyd97UmK3bLbErW01Q148rYfteD4QgL3goV4xTxm&#10;C9Rg++IljlpZJGO3EiWN9d/+pU/+aDmslLSY1ZKGr2vmBSXqvcEwvBmOx2m482U8ORrh4u9blvct&#10;Zq3PLEgaYs8dz2Lyj2on1t7qz1jSeYoKEzMcsUsad+JZ7DcIS87FfJ6dMM6OxQtz7XiCTi0xdr6O&#10;tpa5dYmmnpstexjo3J7t8qWNuX/PXnc/n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7tg7NcA&#10;AAALAQAADwAAAAAAAAABACAAAAAiAAAAZHJzL2Rvd25yZXYueG1sUEsBAhQAFAAAAAgAh07iQM2y&#10;JjBZAgAAuAQAAA4AAAAAAAAAAQAgAAAAJgEAAGRycy9lMm9Eb2MueG1sUEsFBgAAAAAGAAYAWQEA&#10;APEFAAAAAA==&#10;">
                      <v:fill on="t" focussize="0,0"/>
                      <v:stroke weight="0.5pt" color="#000000 [3204]" joinstyle="round"/>
                      <v:imagedata o:title=""/>
                      <o:lock v:ext="edit" aspectratio="f"/>
                      <v:textbox>
                        <w:txbxContent>
                          <w:p w14:paraId="22A1AD4F">
                            <w:pPr>
                              <w:rPr>
                                <w:rFonts w:hint="default" w:eastAsia="宋体"/>
                                <w:sz w:val="21"/>
                                <w:szCs w:val="21"/>
                                <w:lang w:val="en-US" w:eastAsia="zh-CN"/>
                              </w:rPr>
                            </w:pPr>
                            <w:r>
                              <w:rPr>
                                <w:rFonts w:hint="eastAsia"/>
                                <w:sz w:val="21"/>
                                <w:szCs w:val="21"/>
                                <w:lang w:val="en-US" w:eastAsia="zh-CN"/>
                              </w:rPr>
                              <w:t>桩基施工</w:t>
                            </w:r>
                          </w:p>
                        </w:txbxContent>
                      </v:textbox>
                    </v:shape>
                  </w:pict>
                </mc:Fallback>
              </mc:AlternateContent>
            </w:r>
            <w:r>
              <w:rPr>
                <w:color w:val="auto"/>
                <w:sz w:val="21"/>
              </w:rPr>
              <mc:AlternateContent>
                <mc:Choice Requires="wps">
                  <w:drawing>
                    <wp:anchor distT="0" distB="0" distL="114300" distR="114300" simplePos="0" relativeHeight="251670528" behindDoc="0" locked="0" layoutInCell="1" allowOverlap="1">
                      <wp:simplePos x="0" y="0"/>
                      <wp:positionH relativeFrom="column">
                        <wp:posOffset>742315</wp:posOffset>
                      </wp:positionH>
                      <wp:positionV relativeFrom="paragraph">
                        <wp:posOffset>559435</wp:posOffset>
                      </wp:positionV>
                      <wp:extent cx="635" cy="241935"/>
                      <wp:effectExtent l="37465" t="0" r="38100" b="5715"/>
                      <wp:wrapNone/>
                      <wp:docPr id="32" name="直接箭头连接符 32"/>
                      <wp:cNvGraphicFramePr/>
                      <a:graphic xmlns:a="http://schemas.openxmlformats.org/drawingml/2006/main">
                        <a:graphicData uri="http://schemas.microsoft.com/office/word/2010/wordprocessingShape">
                          <wps:wsp>
                            <wps:cNvCnPr/>
                            <wps:spPr>
                              <a:xfrm flipV="1">
                                <a:off x="3827780" y="3117215"/>
                                <a:ext cx="635" cy="24193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58.45pt;margin-top:44.05pt;height:19.05pt;width:0.05pt;z-index:251670528;mso-width-relative:page;mso-height-relative:page;" filled="f" stroked="t" coordsize="21600,21600" o:gfxdata="UEsDBAoAAAAAAIdO4kAAAAAAAAAAAAAAAAAEAAAAZHJzL1BLAwQUAAAACACHTuJA7KUF9tkAAAAK&#10;AQAADwAAAGRycy9kb3ducmV2LnhtbE2PPU/DMBCGdyT+g3VIbNRxhhDSOBUCIRALUFDVbm5yJIH4&#10;nNpOW/491wm2e3WP3o9ycbSD2KMPvSMNapaAQKpd01Or4eP94SoHEaKhxgyOUMMPBlhU52elKRp3&#10;oDfcL2Mr2IRCYTR0MY6FlKHu0JowcyMS/z6dtyay9K1svDmwuR1kmiSZtKYnTujMiHcd1t/LyWpY&#10;rZ4en9v7r+lFKdz59eZ1t5lutb68UMkcRMRj/IPhVJ+rQ8Wdtm6iJoiBtcpuGNWQ5wrECVDXPG7L&#10;R5qlIKtS/p9Q/QJQSwMEFAAAAAgAh07iQPvf8PERAgAA5gMAAA4AAABkcnMvZTJvRG9jLnhtbK1T&#10;vY7UMBDukXgHyz2bTY67XaLNXrHL0SBYiZ9+1nESS/6Tx7c/L8ELIFEBFVBdz9PA8RiMk3DA0VyB&#10;C2vG4/lmvs/jxfnBaLaTAZWzFc8nU86kFa5Wtq34q5cXD+acYQRbg3ZWVvwokZ8v799b7H0pC9c5&#10;XcvACMRiufcV72L0ZZah6KQBnDgvLQUbFwxEckOb1QH2hG50VkynZ9nehdoHJyQina6HIB8Rw10A&#10;XdMoIddOXBpp44AapIZIlLBTHvmy77ZppIjPmwZlZLrixDT2OxUhe5v2bLmAsg3gOyXGFuAuLdzi&#10;ZEBZKnoDtYYI7DKof6CMEsGha+JEOJMNRHpFiEU+vaXNiw687LmQ1OhvRMf/Byue7TaBqbriJwVn&#10;Fgy9+PXbq+9vPlx/+fzt/dWPr++S/ekjoziJtfdYUs7KbsLood+ExPzQBMMarfxrmqpeC2LHDgQ8&#10;L2azOQl+JDvPZ0V+OsguD5EJunB2csqZoGjxMH9ENgFnA17C9QHjE+kMS0bFMQZQbRdXzlp6XReG&#10;WrB7inFI/JWQkq27UFrTOZTasj11Vsym1IoAmtyGJoZM44k92pYz0C19CRFD3z46reqUnrIxtNuV&#10;DmwHaZD6Nfb517VUew3YDffwiMkZ2EZQ+rGtWTx60jgGBbbVcgTRljgnbQc1k7V19bEXuT+n5+9V&#10;GUc1zdeffp/9+3su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spQX22QAAAAoBAAAPAAAAAAAA&#10;AAEAIAAAACIAAABkcnMvZG93bnJldi54bWxQSwECFAAUAAAACACHTuJA+9/w8RECAADmAwAADgAA&#10;AAAAAAABACAAAAAoAQAAZHJzL2Uyb0RvYy54bWxQSwUGAAAAAAYABgBZAQAAqwUAAAAA&#10;">
                      <v:fill on="f" focussize="0,0"/>
                      <v:stroke weight="1pt" color="#000000 [3213]" joinstyle="round" dashstyle="3 1" endarrow="block"/>
                      <v:imagedata o:title=""/>
                      <o:lock v:ext="edit" aspectratio="f"/>
                    </v:shape>
                  </w:pict>
                </mc:Fallback>
              </mc:AlternateContent>
            </w:r>
            <w:r>
              <w:rPr>
                <w:color w:val="auto"/>
                <w:sz w:val="21"/>
              </w:rPr>
              <mc:AlternateContent>
                <mc:Choice Requires="wps">
                  <w:drawing>
                    <wp:anchor distT="0" distB="0" distL="114300" distR="114300" simplePos="0" relativeHeight="251689984" behindDoc="0" locked="0" layoutInCell="1" allowOverlap="1">
                      <wp:simplePos x="0" y="0"/>
                      <wp:positionH relativeFrom="column">
                        <wp:posOffset>1292225</wp:posOffset>
                      </wp:positionH>
                      <wp:positionV relativeFrom="paragraph">
                        <wp:posOffset>1344930</wp:posOffset>
                      </wp:positionV>
                      <wp:extent cx="1132205" cy="276225"/>
                      <wp:effectExtent l="4445" t="4445" r="6350" b="5080"/>
                      <wp:wrapNone/>
                      <wp:docPr id="74" name="文本框 74"/>
                      <wp:cNvGraphicFramePr/>
                      <a:graphic xmlns:a="http://schemas.openxmlformats.org/drawingml/2006/main">
                        <a:graphicData uri="http://schemas.microsoft.com/office/word/2010/wordprocessingShape">
                          <wps:wsp>
                            <wps:cNvSpPr txBox="1"/>
                            <wps:spPr>
                              <a:xfrm>
                                <a:off x="0" y="0"/>
                                <a:ext cx="113220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FE3B653">
                                  <w:pPr>
                                    <w:jc w:val="center"/>
                                    <w:rPr>
                                      <w:rFonts w:hint="default" w:eastAsia="宋体"/>
                                      <w:sz w:val="24"/>
                                      <w:szCs w:val="24"/>
                                      <w:lang w:val="en-US" w:eastAsia="zh-CN"/>
                                    </w:rPr>
                                  </w:pPr>
                                  <w:r>
                                    <w:rPr>
                                      <w:rFonts w:hint="eastAsia"/>
                                      <w:sz w:val="21"/>
                                      <w:szCs w:val="21"/>
                                      <w:lang w:val="en-US" w:eastAsia="zh-CN"/>
                                    </w:rPr>
                                    <w:t>临时用地恢复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75pt;margin-top:105.9pt;height:21.75pt;width:89.15pt;z-index:251689984;mso-width-relative:page;mso-height-relative:page;" fillcolor="#FFFFFF [3201]" filled="t" stroked="t" coordsize="21600,21600" o:gfxdata="UEsDBAoAAAAAAIdO4kAAAAAAAAAAAAAAAAAEAAAAZHJzL1BLAwQUAAAACACHTuJA8naqodYAAAAL&#10;AQAADwAAAGRycy9kb3ducmV2LnhtbE2PzWrDMBCE74W+g9hAb41kC4fgWg6kUCi9NfUlN8Xa2Kb6&#10;MZISp2/fzam9ze4Os980u5uz7IoxTcErKNYCGPo+mMkPCrqvt+ctsJS1N9oGjwp+MMGufXxodG3C&#10;4j/xesgDoxCfaq1gzHmuOU/9iE6ndZjR0+0cotOZxjhwE/VC4c7yUogNd3ry9GHUM76O2H8fLk7B&#10;+2afj9iZDyNLGZaO9/Fsk1JPq0K8AMt4y39muOMTOrTEdAoXbxKzCkohK7KSKArqQA65vYsTbapK&#10;Am8b/r9D+wtQSwMEFAAAAAgAh07iQH8XcdRaAgAAuQQAAA4AAABkcnMvZTJvRG9jLnhtbK1UzW7b&#10;MAy+D9g7CLqvTtwk3YI4RZYiw4BiLdANOyuyHAuTRE1SYmcPsL3BTrvsvufqc4ySnfRvhx7mg0yK&#10;9EfyI+nZeasV2QnnJZiCDk8GlAjDoZRmU9BPH1evXlPiAzMlU2BEQffC0/P5yxezxk5FDjWoUjiC&#10;IMZPG1vQOgQ7zTLPa6GZPwErDBorcJoFVN0mKx1rEF2rLB8MJlkDrrQOuPAeby86I+0R3XMAoaok&#10;FxfAt1qY0KE6oVjAknwtrafzlG1VCR6uqsqLQFRBsdKQTgyC8jqe2XzGphvHbC15nwJ7TgqPatJM&#10;Ggx6hLpggZGtk0+gtOQOPFThhIPOukISI1jFcPCIm5uaWZFqQaq9PZLu/x8s/7C7dkSWBT0bUWKY&#10;xo7f/vxx++vP7e/vBO+QoMb6KfrdWPQM7VtocWwO9x4vY91t5XR8Y0UE7Ujv/kivaAPh8aPhaZ4P&#10;xpRwtOVnkzwfR5js7mvrfHgnQJMoFNRh+xKrbHfpQ+d6cInBPChZrqRSSXGb9VI5smPY6lV6evQH&#10;bsqQpqCT0/EgIT+wRewjxFox/uUpAmarDCYdSemKj1Jo123P1BrKPRLloJs1b/lKIu4l8+GaORwu&#10;5AbXL1zhUSnAZKCXKKnBffvXffTHnqOVkgaHtaD+65Y5QYl6b3Aa3gxHozjdSRmNz3JU3H3L+r7F&#10;bPUSkKQhLrrlSYz+QR3EyoH+jFu6iFHRxAzH2AUNB3EZuhXCLedisUhOOM+WhUtzY3mEji0xsNgG&#10;qGRqXaSp46ZnDyc6Nb/fvrgy9/XkdffHmf8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8naqodYA&#10;AAALAQAADwAAAAAAAAABACAAAAAiAAAAZHJzL2Rvd25yZXYueG1sUEsBAhQAFAAAAAgAh07iQH8X&#10;cdRaAgAAuQQAAA4AAAAAAAAAAQAgAAAAJQEAAGRycy9lMm9Eb2MueG1sUEsFBgAAAAAGAAYAWQEA&#10;APEFAAAAAA==&#10;">
                      <v:fill on="t" focussize="0,0"/>
                      <v:stroke weight="0.5pt" color="#000000 [3204]" joinstyle="round"/>
                      <v:imagedata o:title=""/>
                      <o:lock v:ext="edit" aspectratio="f"/>
                      <v:textbox>
                        <w:txbxContent>
                          <w:p w14:paraId="2FE3B653">
                            <w:pPr>
                              <w:jc w:val="center"/>
                              <w:rPr>
                                <w:rFonts w:hint="default" w:eastAsia="宋体"/>
                                <w:sz w:val="24"/>
                                <w:szCs w:val="24"/>
                                <w:lang w:val="en-US" w:eastAsia="zh-CN"/>
                              </w:rPr>
                            </w:pPr>
                            <w:r>
                              <w:rPr>
                                <w:rFonts w:hint="eastAsia"/>
                                <w:sz w:val="21"/>
                                <w:szCs w:val="21"/>
                                <w:lang w:val="en-US" w:eastAsia="zh-CN"/>
                              </w:rPr>
                              <w:t>临时用地恢复</w:t>
                            </w:r>
                          </w:p>
                        </w:txbxContent>
                      </v:textbox>
                    </v:shape>
                  </w:pict>
                </mc:Fallback>
              </mc:AlternateContent>
            </w:r>
            <w:r>
              <w:rPr>
                <w:color w:val="auto"/>
                <w:sz w:val="21"/>
              </w:rPr>
              <mc:AlternateContent>
                <mc:Choice Requires="wps">
                  <w:drawing>
                    <wp:anchor distT="0" distB="0" distL="114300" distR="114300" simplePos="0" relativeHeight="251688960" behindDoc="0" locked="0" layoutInCell="1" allowOverlap="1">
                      <wp:simplePos x="0" y="0"/>
                      <wp:positionH relativeFrom="column">
                        <wp:posOffset>2424430</wp:posOffset>
                      </wp:positionH>
                      <wp:positionV relativeFrom="paragraph">
                        <wp:posOffset>1455420</wp:posOffset>
                      </wp:positionV>
                      <wp:extent cx="235585" cy="10160"/>
                      <wp:effectExtent l="0" t="31115" r="12065" b="34925"/>
                      <wp:wrapNone/>
                      <wp:docPr id="73" name="直接箭头连接符 73"/>
                      <wp:cNvGraphicFramePr/>
                      <a:graphic xmlns:a="http://schemas.openxmlformats.org/drawingml/2006/main">
                        <a:graphicData uri="http://schemas.microsoft.com/office/word/2010/wordprocessingShape">
                          <wps:wsp>
                            <wps:cNvCnPr/>
                            <wps:spPr>
                              <a:xfrm flipH="1">
                                <a:off x="0" y="0"/>
                                <a:ext cx="235585" cy="10160"/>
                              </a:xfrm>
                              <a:prstGeom prst="straightConnector1">
                                <a:avLst/>
                              </a:prstGeom>
                              <a:ln w="635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90.9pt;margin-top:114.6pt;height:0.8pt;width:18.55pt;z-index:251688960;mso-width-relative:page;mso-height-relative:page;" filled="f" stroked="t" coordsize="21600,21600" o:gfxdata="UEsDBAoAAAAAAIdO4kAAAAAAAAAAAAAAAAAEAAAAZHJzL1BLAwQUAAAACACHTuJAFwPBudgAAAAL&#10;AQAADwAAAGRycy9kb3ducmV2LnhtbE2PTU/DMAyG70j8h8hI3FjSDI2uazoBooed0AbinDVeW9E4&#10;pck++PeYExxtv3r8vOX64gdxwin2gQxkMwUCqQmup9bA+1t9l4OIyZKzQyA08I0R1tX1VWkLF860&#10;xdMutYIhFAtroEtpLKSMTYfexlkYkfh2CJO3iceplW6yZ4b7QWqlFtLbnvhDZ0d87rD53B29gbnG&#10;xdMXvn68KC/Vxj/Uj5uhNub2JlMrEAkv6S8Mv/qsDhU77cORXBQDM/KM1ZMBrZcaBCfus3wJYs+b&#10;ucpBVqX836H6AVBLAwQUAAAACACHTuJArRCJ6QcCAADZAwAADgAAAGRycy9lMm9Eb2MueG1srVNL&#10;jhMxEN0jcQfLe9L5KGEUpTOLhIEFgkjAARy3u9uSf6rypJNLcAEkVsAKZjV7TsPMHIOyOwQYNrPA&#10;C6vscr2q96q8ON9bw3YKUHtX8tFgyJly0lfaNSV/9/biyRlnGIWrhPFOlfygkJ8vHz9adGGuxr71&#10;plLACMThvAslb2MM86JA2SorcOCDcuSsPVgR6QhNUYHoCN2aYjwczorOQxXAS4VIt+veyY+I8BBA&#10;X9daqrWXl1a52KOCMiISJWx1QL7M1da1kvF1XaOKzJScmMa8UxKyt2kvlgsxb0CEVstjCeIhJdzj&#10;ZIV2lPQEtRZRsEvQ/0BZLcGjr+NAelv0RLIixGI0vKfNm1YElbmQ1BhOouP/g5Wvdhtguir50wln&#10;Tljq+O2H65v3n2+vvv34dH33/WOyv35h5CexuoBzilm5DRxPGDaQmO9rsKw2OrygqcpaEDu2z1If&#10;TlKrfWSSLseT6fRsypkk12g4muVOFD1KQguA8bnyliWj5BhB6KaNK+8c9dRDn0HsXmKkOijwV0AK&#10;dv5CG5NbaxzrSj6bTKnhUtC41jQmZNpAlNE1nAnT0D+QEXLN6I2uUnTCQWi2KwNsJ9L05JU0oGx/&#10;PUup1wLb/l129XMVhTbPXMXiIZCsEbRwjVFHCOMIKcnZC5isra8OWdd8Tx3PuY7TmUbqz3OO/v0j&#10;l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wPBudgAAAALAQAADwAAAAAAAAABACAAAAAiAAAA&#10;ZHJzL2Rvd25yZXYueG1sUEsBAhQAFAAAAAgAh07iQK0QiekHAgAA2QMAAA4AAAAAAAAAAQAgAAAA&#10;JwEAAGRycy9lMm9Eb2MueG1sUEsFBgAAAAAGAAYAWQEAAKAFAAAAAA==&#10;">
                      <v:fill on="f" focussize="0,0"/>
                      <v:stroke weight="0.5pt" color="#000000 [3213]" joinstyle="round" endarrow="block"/>
                      <v:imagedata o:title=""/>
                      <o:lock v:ext="edit" aspectratio="f"/>
                    </v:shape>
                  </w:pict>
                </mc:Fallback>
              </mc:AlternateContent>
            </w:r>
            <w:r>
              <w:rPr>
                <w:color w:val="auto"/>
                <w:sz w:val="21"/>
              </w:rPr>
              <mc:AlternateContent>
                <mc:Choice Requires="wps">
                  <w:drawing>
                    <wp:anchor distT="0" distB="0" distL="114300" distR="114300" simplePos="0" relativeHeight="251687936" behindDoc="0" locked="0" layoutInCell="1" allowOverlap="1">
                      <wp:simplePos x="0" y="0"/>
                      <wp:positionH relativeFrom="column">
                        <wp:posOffset>2661920</wp:posOffset>
                      </wp:positionH>
                      <wp:positionV relativeFrom="paragraph">
                        <wp:posOffset>1308100</wp:posOffset>
                      </wp:positionV>
                      <wp:extent cx="1021080" cy="276225"/>
                      <wp:effectExtent l="4445" t="4445" r="22225" b="5080"/>
                      <wp:wrapNone/>
                      <wp:docPr id="72" name="文本框 72"/>
                      <wp:cNvGraphicFramePr/>
                      <a:graphic xmlns:a="http://schemas.openxmlformats.org/drawingml/2006/main">
                        <a:graphicData uri="http://schemas.microsoft.com/office/word/2010/wordprocessingShape">
                          <wps:wsp>
                            <wps:cNvSpPr txBox="1"/>
                            <wps:spPr>
                              <a:xfrm>
                                <a:off x="0" y="0"/>
                                <a:ext cx="102108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B8F17F8">
                                  <w:pPr>
                                    <w:jc w:val="center"/>
                                    <w:rPr>
                                      <w:rFonts w:hint="default" w:eastAsia="宋体"/>
                                      <w:sz w:val="24"/>
                                      <w:szCs w:val="24"/>
                                      <w:lang w:val="en-US" w:eastAsia="zh-CN"/>
                                    </w:rPr>
                                  </w:pPr>
                                  <w:r>
                                    <w:rPr>
                                      <w:rFonts w:hint="eastAsia"/>
                                      <w:sz w:val="21"/>
                                      <w:szCs w:val="21"/>
                                      <w:lang w:val="en-US" w:eastAsia="zh-CN"/>
                                    </w:rPr>
                                    <w:t>临时工程拆除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6pt;margin-top:103pt;height:21.75pt;width:80.4pt;z-index:251687936;mso-width-relative:page;mso-height-relative:page;" fillcolor="#FFFFFF [3201]" filled="t" stroked="t" coordsize="21600,21600" o:gfxdata="UEsDBAoAAAAAAIdO4kAAAAAAAAAAAAAAAAAEAAAAZHJzL1BLAwQUAAAACACHTuJAqVxDn9gAAAAL&#10;AQAADwAAAGRycy9kb3ducmV2LnhtbE2PQU/DMAyF70j8h8hI3FjSbqu20nQSSEgTN0Yv3LLGaysS&#10;p2qydfv3mBPcbL+n5+9Vu6t34oJTHAJpyBYKBFIb7ECdhubz7WkDIiZD1rhAqOGGEXb1/V1lShtm&#10;+sDLIXWCQyiWRkOf0lhKGdsevYmLMCKxdgqTN4nXqZN2MjOHeydzpQrpzUD8oTcjvvbYfh/OXsO+&#10;eElf2Nh3u8yXYW5kO51c1PrxIVPPIBJe058ZfvEZHWpmOoYz2SichlW2zdmqIVcFl2LHeqN4OPJl&#10;tV2DrCv5v0P9A1BLAwQUAAAACACHTuJAmWbTOlkCAAC5BAAADgAAAGRycy9lMm9Eb2MueG1srVTN&#10;btswDL4P2DsIuq92vLbpgjpFliDDgGAt0A07K7IcC5NETVJidw+wvcFOu+y+5+pzjJKd9G+HHuaD&#10;TIr0R/Ij6fOLTiuyE85LMCUdHeWUCMOhkmZT0k8fl6/OKPGBmYopMKKkN8LTi+nLF+etnYgCGlCV&#10;cARBjJ+0tqRNCHaSZZ43QjN/BFYYNNbgNAuouk1WOdYiulZZkeenWQuusg648B5vF72RDojuOYBQ&#10;15KLBfCtFib0qE4oFrAk30jr6TRlW9eCh8u69iIQVVKsNKQTg6C8jmc2PWeTjWO2kXxIgT0nhUc1&#10;aSYNBj1ALVhgZOvkEygtuQMPdTjioLO+kMQIVjHKH3Fz3TArUi1ItbcH0v3/g+UfdleOyKqk44IS&#10;wzR2/Pbnj9tff25/fyd4hwS11k/Q79qiZ+jeQodjs7/3eBnr7mqn4xsrImhHem8O9IouEB4/yotR&#10;foYmjrZifFoUJxEmu/vaOh/eCdAkCiV12L7EKtutfOhd9y4xmAclq6VUKilus54rR3YMW71Mz4D+&#10;wE0Z0pb09PVJnpAf2CL2AWKtGP/yFAGzVQaTjqT0xUcpdOtuYGoN1Q0S5aCfNW/5UiLuivlwxRwO&#10;FxKA6xcu8agVYDIwSJQ04L796z76Y8/RSkmLw1pS/3XLnKBEvTc4DW9Gx8cIG5JyfDIuUHH3Lev7&#10;FrPVc0CSRrjolicx+ge1F2sH+jNu6SxGRRMzHGOXNOzFeehXCLeci9ksOeE8WxZW5tryCB1bYmC2&#10;DVDL1LpIU8/NwB5OdGr+sH1xZe7ryevujzP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lcQ5/Y&#10;AAAACwEAAA8AAAAAAAAAAQAgAAAAIgAAAGRycy9kb3ducmV2LnhtbFBLAQIUABQAAAAIAIdO4kCZ&#10;ZtM6WQIAALkEAAAOAAAAAAAAAAEAIAAAACcBAABkcnMvZTJvRG9jLnhtbFBLBQYAAAAABgAGAFkB&#10;AADyBQAAAAA=&#10;">
                      <v:fill on="t" focussize="0,0"/>
                      <v:stroke weight="0.5pt" color="#000000 [3204]" joinstyle="round"/>
                      <v:imagedata o:title=""/>
                      <o:lock v:ext="edit" aspectratio="f"/>
                      <v:textbox>
                        <w:txbxContent>
                          <w:p w14:paraId="5B8F17F8">
                            <w:pPr>
                              <w:jc w:val="center"/>
                              <w:rPr>
                                <w:rFonts w:hint="default" w:eastAsia="宋体"/>
                                <w:sz w:val="24"/>
                                <w:szCs w:val="24"/>
                                <w:lang w:val="en-US" w:eastAsia="zh-CN"/>
                              </w:rPr>
                            </w:pPr>
                            <w:r>
                              <w:rPr>
                                <w:rFonts w:hint="eastAsia"/>
                                <w:sz w:val="21"/>
                                <w:szCs w:val="21"/>
                                <w:lang w:val="en-US" w:eastAsia="zh-CN"/>
                              </w:rPr>
                              <w:t>临时工程拆除</w:t>
                            </w:r>
                          </w:p>
                        </w:txbxContent>
                      </v:textbox>
                    </v:shape>
                  </w:pict>
                </mc:Fallback>
              </mc:AlternateContent>
            </w:r>
            <w:r>
              <w:rPr>
                <w:color w:val="auto"/>
                <w:sz w:val="21"/>
              </w:rPr>
              <mc:AlternateContent>
                <mc:Choice Requires="wps">
                  <w:drawing>
                    <wp:anchor distT="0" distB="0" distL="114300" distR="114300" simplePos="0" relativeHeight="251686912" behindDoc="0" locked="0" layoutInCell="1" allowOverlap="1">
                      <wp:simplePos x="0" y="0"/>
                      <wp:positionH relativeFrom="column">
                        <wp:posOffset>3684905</wp:posOffset>
                      </wp:positionH>
                      <wp:positionV relativeFrom="paragraph">
                        <wp:posOffset>1436370</wp:posOffset>
                      </wp:positionV>
                      <wp:extent cx="235585" cy="10160"/>
                      <wp:effectExtent l="0" t="31115" r="12065" b="34925"/>
                      <wp:wrapNone/>
                      <wp:docPr id="71" name="直接箭头连接符 71"/>
                      <wp:cNvGraphicFramePr/>
                      <a:graphic xmlns:a="http://schemas.openxmlformats.org/drawingml/2006/main">
                        <a:graphicData uri="http://schemas.microsoft.com/office/word/2010/wordprocessingShape">
                          <wps:wsp>
                            <wps:cNvCnPr/>
                            <wps:spPr>
                              <a:xfrm flipH="1">
                                <a:off x="0" y="0"/>
                                <a:ext cx="235585" cy="10160"/>
                              </a:xfrm>
                              <a:prstGeom prst="straightConnector1">
                                <a:avLst/>
                              </a:prstGeom>
                              <a:ln w="635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90.15pt;margin-top:113.1pt;height:0.8pt;width:18.55pt;z-index:251686912;mso-width-relative:page;mso-height-relative:page;" filled="f" stroked="t" coordsize="21600,21600" o:gfxdata="UEsDBAoAAAAAAIdO4kAAAAAAAAAAAAAAAAAEAAAAZHJzL1BLAwQUAAAACACHTuJAvkRhGdgAAAAL&#10;AQAADwAAAGRycy9kb3ducmV2LnhtbE2Py07DMBBF90j8gzVI7KgdF5IojVMBIouuEAV17cZDEmGP&#10;Q+w++HvcFSxn5ujOufX67Cw74hxGTwqyhQCG1HkzUq/g4729K4GFqMlo6wkV/GCAdXN9VevK+BO9&#10;4XEbe5ZCKFRawRDjVHEeugGdDgs/IaXbp5+djmmce25mfUrhznIpRM6dHil9GPSEzwN2X9uDU7CU&#10;mD994+vuRTguNq5oHze2Ver2JhMrYBHP8Q+Gi35ShyY57f2BTGBWwUMplglVIGUugSUiz4p7YPvL&#10;piiBNzX/36H5BVBLAwQUAAAACACHTuJAMyZz1QYCAADZAwAADgAAAGRycy9lMm9Eb2MueG1srVO9&#10;jhMxEO6ReAfLPdlsTgmnKJsrEg4KBJGAB3C83l1L/tOML5u8BC+ARAVUcNX1PA0cj8HYGwIczRW4&#10;sMYezzfzfTNeXOytYTsFqL2reDkac6ac9LV2bcXfvL58dM4ZRuFqYbxTFT8o5BfLhw8WfZirie+8&#10;qRUwAnE470PFuxjDvChQdsoKHPmgHDkbD1ZEOkJb1CB6QremmIzHs6L3UAfwUiHS7Xpw8iMi3AfQ&#10;N42Wau3llVUuDqigjIhECTsdkC9ztU2jZHzZNKgiMxUnpjHvlITsbdqL5ULMWxCh0/JYgrhPCXc4&#10;WaEdJT1BrUUU7Ar0P1BWS/DomziS3hYDkawIsSjHd7R51YmgMheSGsNJdPx/sPLFbgNM1xV/XHLm&#10;hKWO3767+f724+31l28fbn58fZ/sz58Y+UmsPuCcYlZuA8cThg0k5vsGLGuMDs9oqrIWxI7ts9SH&#10;k9RqH5mky8nZdHo+5UySqxyXs9yJYkBJaAEwPlXesmRUHCMI3XZx5Z2jnnoYMojdc4xUBwX+CkjB&#10;zl9qY3JrjWN9xWdnU2q4FDSuDY0JmTYQZXQtZ8K09A9khFwzeqPrFJ1wENrtygDbiTQ9eSUNKNtf&#10;z1LqtcBueJddw1xFoc0TV7N4CCRrBC1ca9QRwjhCSnIOAiZr6+tD1jXfU8dzruN0ppH685yjf//I&#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RGEZ2AAAAAsBAAAPAAAAAAAAAAEAIAAAACIAAABk&#10;cnMvZG93bnJldi54bWxQSwECFAAUAAAACACHTuJAMyZz1QYCAADZAwAADgAAAAAAAAABACAAAAAn&#10;AQAAZHJzL2Uyb0RvYy54bWxQSwUGAAAAAAYABgBZAQAAnwUAAAAA&#10;">
                      <v:fill on="f" focussize="0,0"/>
                      <v:stroke weight="0.5pt" color="#000000 [3213]" joinstyle="round" endarrow="block"/>
                      <v:imagedata o:title=""/>
                      <o:lock v:ext="edit" aspectratio="f"/>
                    </v:shape>
                  </w:pict>
                </mc:Fallback>
              </mc:AlternateContent>
            </w:r>
            <w:r>
              <w:rPr>
                <w:color w:val="auto"/>
                <w:sz w:val="21"/>
              </w:rPr>
              <mc:AlternateContent>
                <mc:Choice Requires="wps">
                  <w:drawing>
                    <wp:anchor distT="0" distB="0" distL="114300" distR="114300" simplePos="0" relativeHeight="251669504" behindDoc="0" locked="0" layoutInCell="1" allowOverlap="1">
                      <wp:simplePos x="0" y="0"/>
                      <wp:positionH relativeFrom="column">
                        <wp:posOffset>350520</wp:posOffset>
                      </wp:positionH>
                      <wp:positionV relativeFrom="paragraph">
                        <wp:posOffset>783590</wp:posOffset>
                      </wp:positionV>
                      <wp:extent cx="823595" cy="269240"/>
                      <wp:effectExtent l="4445" t="4445" r="10160" b="12065"/>
                      <wp:wrapNone/>
                      <wp:docPr id="15" name="文本框 15"/>
                      <wp:cNvGraphicFramePr/>
                      <a:graphic xmlns:a="http://schemas.openxmlformats.org/drawingml/2006/main">
                        <a:graphicData uri="http://schemas.microsoft.com/office/word/2010/wordprocessingShape">
                          <wps:wsp>
                            <wps:cNvSpPr txBox="1"/>
                            <wps:spPr>
                              <a:xfrm>
                                <a:off x="3130550" y="2952750"/>
                                <a:ext cx="823595" cy="2692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0DC6BC">
                                  <w:pPr>
                                    <w:rPr>
                                      <w:rFonts w:hint="default" w:eastAsia="宋体"/>
                                      <w:sz w:val="21"/>
                                      <w:szCs w:val="21"/>
                                      <w:lang w:val="en-US" w:eastAsia="zh-CN"/>
                                    </w:rPr>
                                  </w:pPr>
                                  <w:r>
                                    <w:rPr>
                                      <w:rFonts w:hint="eastAsia"/>
                                      <w:sz w:val="21"/>
                                      <w:szCs w:val="21"/>
                                      <w:lang w:val="en-US" w:eastAsia="zh-CN"/>
                                    </w:rPr>
                                    <w:t>施工准备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pt;margin-top:61.7pt;height:21.2pt;width:64.85pt;z-index:251669504;mso-width-relative:page;mso-height-relative:page;" fillcolor="#FFFFFF [3201]" filled="t" stroked="t" coordsize="21600,21600" o:gfxdata="UEsDBAoAAAAAAIdO4kAAAAAAAAAAAAAAAAAEAAAAZHJzL1BLAwQUAAAACACHTuJA0/Gy+dcAAAAK&#10;AQAADwAAAGRycy9kb3ducmV2LnhtbE2PTU/DMAyG70j8h8iTuLF07VqV0nQSSEiIG6MXblnjtdUS&#10;p2qydfx7vBPc/PHo9eN6d3VWXHAOoycFm3UCAqnzZqReQfv19liCCFGT0dYTKvjBALvm/q7WlfEL&#10;feJlH3vBIRQqrWCIcaqkDN2AToe1n5B4d/Sz05HbuZdm1guHOyvTJCmk0yPxhUFP+Dpgd9qfnYL3&#10;4iV+Y2s+TJZmfmllNx9tUOphtUmeQUS8xj8YbvqsDg07HfyZTBBWQZ6nTPI8zbYgbkC5fQJx4KLI&#10;S5BNLf+/0PwCUEsDBBQAAAAIAIdO4kA8xqysYwIAAMQEAAAOAAAAZHJzL2Uyb0RvYy54bWytVMFu&#10;EzEQvSPxD5bvdJNN0zZRN1VoFYRU0UoBcXa83qyF1za2k93yAfQPOHHhznf1O3j2Jm1pOfRADs6M&#10;5+WN581MTs+6RpGtcF4aXdDhwYASobkppV4X9NPHxZsTSnxgumTKaFHQG+Hp2ez1q9PWTkVuaqNK&#10;4QhItJ+2tqB1CHaaZZ7XomH+wFihEayMa1iA69ZZ6VgL9kZl+WBwlLXGldYZLrzH7UUfpDtG9xJC&#10;U1WSiwvDN43QoWd1QrGAknwtraez9NqqEjxcVZUXgaiCotKQTiSBvYpnNjtl07VjtpZ89wT2kic8&#10;qalhUiPpPdUFC4xsnHxG1UjujDdVOOCmyfpCkiKoYjh4os2yZlakWiC1t/ei+/9Hyz9srx2RJSZh&#10;TIlmDTp+9+P27ufvu1/fCe4gUGv9FLilBTJ0b00H8P7e4zLW3VWuid+oiCA+Go4G4zFEviloPhnn&#10;x7CT1KILhANwko/GE2TkEXA0yQ9TPHsgss6Hd8I0JBoFdehkEphtL30AFaB7SMzrjZLlQiqVHLde&#10;nStHtgxdX6RPzI6f/AVTmrQFPRrhbc8oIvc9xUox/uU5A/iUBm3Up9chWqFbdTvRVqa8gWbO9GPn&#10;LV9I8F4yH66Zw5xBIGxiuMJRKYPHmJ1FSW3ct3/dRzzajyglLea2oP7rhjlBiXqvMRiT4SG0JCE5&#10;h+PjHI57HFk9juhNc24g0hA7b3kyIz6ovVk503zGws5jVoSY5shd0LA3z0O/TVh4LubzBMJoWxYu&#10;9dLySB3F1Wa+CaaSqXVRpl6bnXoY7tSe3SLG7XnsJ9TDn8/s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PxsvnXAAAACgEAAA8AAAAAAAAAAQAgAAAAIgAAAGRycy9kb3ducmV2LnhtbFBLAQIUABQA&#10;AAAIAIdO4kA8xqysYwIAAMQEAAAOAAAAAAAAAAEAIAAAACYBAABkcnMvZTJvRG9jLnhtbFBLBQYA&#10;AAAABgAGAFkBAAD7BQAAAAA=&#10;">
                      <v:fill on="t" focussize="0,0"/>
                      <v:stroke weight="0.5pt" color="#000000 [3204]" joinstyle="round"/>
                      <v:imagedata o:title=""/>
                      <o:lock v:ext="edit" aspectratio="f"/>
                      <v:textbox>
                        <w:txbxContent>
                          <w:p w14:paraId="3D0DC6BC">
                            <w:pPr>
                              <w:rPr>
                                <w:rFonts w:hint="default" w:eastAsia="宋体"/>
                                <w:sz w:val="21"/>
                                <w:szCs w:val="21"/>
                                <w:lang w:val="en-US" w:eastAsia="zh-CN"/>
                              </w:rPr>
                            </w:pPr>
                            <w:r>
                              <w:rPr>
                                <w:rFonts w:hint="eastAsia"/>
                                <w:sz w:val="21"/>
                                <w:szCs w:val="21"/>
                                <w:lang w:val="en-US" w:eastAsia="zh-CN"/>
                              </w:rPr>
                              <w:t>施工准备</w:t>
                            </w:r>
                          </w:p>
                        </w:txbxContent>
                      </v:textbox>
                    </v:shape>
                  </w:pict>
                </mc:Fallback>
              </mc:AlternateContent>
            </w:r>
            <w:r>
              <w:rPr>
                <w:color w:val="auto"/>
                <w:sz w:val="21"/>
              </w:rPr>
              <mc:AlternateContent>
                <mc:Choice Requires="wps">
                  <w:drawing>
                    <wp:anchor distT="0" distB="0" distL="114300" distR="114300" simplePos="0" relativeHeight="251672576" behindDoc="0" locked="0" layoutInCell="1" allowOverlap="1">
                      <wp:simplePos x="0" y="0"/>
                      <wp:positionH relativeFrom="column">
                        <wp:posOffset>1174115</wp:posOffset>
                      </wp:positionH>
                      <wp:positionV relativeFrom="paragraph">
                        <wp:posOffset>918210</wp:posOffset>
                      </wp:positionV>
                      <wp:extent cx="246380" cy="5080"/>
                      <wp:effectExtent l="0" t="34290" r="1270" b="36830"/>
                      <wp:wrapNone/>
                      <wp:docPr id="34" name="直接箭头连接符 34"/>
                      <wp:cNvGraphicFramePr/>
                      <a:graphic xmlns:a="http://schemas.openxmlformats.org/drawingml/2006/main">
                        <a:graphicData uri="http://schemas.microsoft.com/office/word/2010/wordprocessingShape">
                          <wps:wsp>
                            <wps:cNvCnPr>
                              <a:stCxn id="15" idx="3"/>
                            </wps:cNvCnPr>
                            <wps:spPr>
                              <a:xfrm>
                                <a:off x="0" y="0"/>
                                <a:ext cx="246380" cy="5080"/>
                              </a:xfrm>
                              <a:prstGeom prst="straightConnector1">
                                <a:avLst/>
                              </a:prstGeom>
                              <a:ln w="635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92.45pt;margin-top:72.3pt;height:0.4pt;width:19.4pt;z-index:251672576;mso-width-relative:page;mso-height-relative:page;" filled="f" stroked="t" coordsize="21600,21600" o:gfxdata="UEsDBAoAAAAAAIdO4kAAAAAAAAAAAAAAAAAEAAAAZHJzL1BLAwQUAAAACACHTuJA6SzbZdoAAAAL&#10;AQAADwAAAGRycy9kb3ducmV2LnhtbE2PzU7DMBCE70i8g7VIXBC1G0JpQ5wekEBC4tIUJI7b2CQR&#10;9jqKnf7w9GxPcNvZHc1+U66P3om9HWMfSMN8pkBYaoLpqdXwvn2+XYKICcmgC2Q1nGyEdXV5UWJh&#10;woE2dl+nVnAIxQI1dCkNhZSx6azHOAuDJb59hdFjYjm20ox44HDvZKbUQnrsiT90ONinzjbf9eQ1&#10;JEXbup8+X9PLafWj3jKn8OZD6+uruXoEkewx/ZnhjM/oUDHTLkxkonCsl/mKrTzk+QIEO7Ls7gHE&#10;7ry5z0FWpfzfofoFUEsDBBQAAAAIAIdO4kBB/xdoDwIAAPUDAAAOAAAAZHJzL2Uyb0RvYy54bWyt&#10;U82O0zAQviPxDpbvNP3ZVquo6R5alguCSsADTB0nseTY1tjbtC/BCyBxAk7Aae/7NLA8BmMnW9jl&#10;sgdycMaemW/8fTNeXhxazfYSvbKm4JPRmDNphC2VqQv+7u3ls3POfABTgrZGFvwoPb9YPX2y7Fwu&#10;p7axupTICMT4vHMFb0JweZZ50cgW/Mg6achZWWwh0BbrrEToCL3V2XQ8XmSdxdKhFdJ7Ot30Tj4g&#10;4mMAbVUpITdWXLXShB4VpYZAlHyjnOerdNuqkiK8riovA9MFJ6YhrVSE7F1cs9US8hrBNUoMV4DH&#10;XOEBpxaUoaInqA0EYFeo/oFqlUDrbRVGwrZZTyQpQiwm4wfavGnAycSFpPbuJLr/f7Di1X6LTJUF&#10;n51xZqCljt9+uP75/vPt928/Pl3/uvkY7a9fGPlJrM75nHLWZouRrg/rg0npkzmn/4FwYlh2Ly5u&#10;vOszDhW2MZOoM4qmPhxPfZCHwAQdTs8Ws3PyCHLNx2RFRMjvUh368ELalkWj4D4gqLoJa2sM9dvi&#10;JHUC9i996BPvEmJdYy+V1nQOuTasK/hiNo+lgEa5ohEis3Ukhzc1Z6BreiMiYEL0VqsyZifmWO/W&#10;Gtke4mSlb7jmvbBYegO+6eOSK4ZBHkDp56Zk4ehI8oAKTK3lAKHNIGGvWtRvZ8vjFiOfuKNpSJIM&#10;kxvH7e99ivrzWl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ks22XaAAAACwEAAA8AAAAAAAAA&#10;AQAgAAAAIgAAAGRycy9kb3ducmV2LnhtbFBLAQIUABQAAAAIAIdO4kBB/xdoDwIAAPUDAAAOAAAA&#10;AAAAAAEAIAAAACkBAABkcnMvZTJvRG9jLnhtbFBLBQYAAAAABgAGAFkBAACqBQAAAAA=&#10;">
                      <v:fill on="f" focussize="0,0"/>
                      <v:stroke weight="0.5pt" color="#000000 [3213]" joinstyle="round" endarrow="block"/>
                      <v:imagedata o:title=""/>
                      <o:lock v:ext="edit" aspectratio="f"/>
                    </v:shape>
                  </w:pict>
                </mc:Fallback>
              </mc:AlternateContent>
            </w:r>
            <w:r>
              <w:rPr>
                <w:color w:val="auto"/>
                <w:sz w:val="21"/>
              </w:rPr>
              <mc:AlternateContent>
                <mc:Choice Requires="wps">
                  <w:drawing>
                    <wp:anchor distT="0" distB="0" distL="114300" distR="114300" simplePos="0" relativeHeight="251671552" behindDoc="0" locked="0" layoutInCell="1" allowOverlap="1">
                      <wp:simplePos x="0" y="0"/>
                      <wp:positionH relativeFrom="column">
                        <wp:posOffset>1421765</wp:posOffset>
                      </wp:positionH>
                      <wp:positionV relativeFrom="paragraph">
                        <wp:posOffset>770890</wp:posOffset>
                      </wp:positionV>
                      <wp:extent cx="1067435" cy="285115"/>
                      <wp:effectExtent l="5080" t="4445" r="13335" b="15240"/>
                      <wp:wrapNone/>
                      <wp:docPr id="33" name="文本框 33"/>
                      <wp:cNvGraphicFramePr/>
                      <a:graphic xmlns:a="http://schemas.openxmlformats.org/drawingml/2006/main">
                        <a:graphicData uri="http://schemas.microsoft.com/office/word/2010/wordprocessingShape">
                          <wps:wsp>
                            <wps:cNvSpPr txBox="1"/>
                            <wps:spPr>
                              <a:xfrm>
                                <a:off x="0" y="0"/>
                                <a:ext cx="1067435" cy="2851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E70292">
                                  <w:pPr>
                                    <w:rPr>
                                      <w:rFonts w:hint="default" w:eastAsia="宋体"/>
                                      <w:sz w:val="24"/>
                                      <w:szCs w:val="24"/>
                                      <w:lang w:val="en-US" w:eastAsia="zh-CN"/>
                                    </w:rPr>
                                  </w:pPr>
                                  <w:r>
                                    <w:rPr>
                                      <w:rFonts w:hint="eastAsia"/>
                                      <w:sz w:val="21"/>
                                      <w:szCs w:val="21"/>
                                      <w:lang w:val="en-US" w:eastAsia="zh-CN"/>
                                    </w:rPr>
                                    <w:t>修筑施工便道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5pt;margin-top:60.7pt;height:22.45pt;width:84.05pt;z-index:251671552;mso-width-relative:page;mso-height-relative:page;" fillcolor="#FFFFFF [3201]" filled="t" stroked="t" coordsize="21600,21600" o:gfxdata="UEsDBAoAAAAAAIdO4kAAAAAAAAAAAAAAAAAEAAAAZHJzL1BLAwQUAAAACACHTuJACkLqhNYAAAAL&#10;AQAADwAAAGRycy9kb3ducmV2LnhtbE2PwU7DMBBE70j8g7VI3KgTG0U0xKkEEhLiRsmFmxtvkwh7&#10;HcVuU/6e5QTHnXmanWl2l+DFGZc0RTJQbgoQSH10Ew0Guo+XuwcQKVty1kdCA9+YYNdeXzW2dnGl&#10;dzzv8yA4hFJtDYw5z7WUqR8x2LSJMxJ7x7gEm/lcBukWu3J48FIVRSWDnYg/jHbG5xH7r/0pGHit&#10;nvIndu7NaaXj2sl+OfpkzO1NWTyCyHjJfzD81ufq0HKnQzyRS8IbUEpvGWVDlfcgmNBbxesOrFSV&#10;Btk28v+G9gdQSwMEFAAAAAgAh07iQAQ3fSBZAgAAuQQAAA4AAABkcnMvZTJvRG9jLnhtbK1UzW7b&#10;MAy+D9g7CLqvzn+7oE6RtcgwIFgLZMPOiizHwiRRk5TY2QOsb7DTLrvvufoco2Qn/duhh/kgkyL9&#10;kfxI+vyi0YrshPMSTE77Jz1KhOFQSLPJ6edPizdnlPjATMEUGJHTvfD0Yvb61Xltp2IAFahCOIIg&#10;xk9rm9MqBDvNMs8roZk/ASsMGktwmgVU3SYrHKsRXats0OtNshpcYR1w4T3eXrVG2iG6lwBCWUou&#10;roBvtTChRXVCsYAl+UpaT2cp27IUPFyXpReBqJxipSGdGATldTyz2TmbbhyzleRdCuwlKTypSTNp&#10;MOgR6ooFRrZOPoPSkjvwUIYTDjprC0mMYBX93hNuVhWzItWCVHt7JN3/P1j+cXfjiCxyOhxSYpjG&#10;jt/9vL379efu9w+Cd0hQbf0U/VYWPUPzDhocm8O9x8tYd1M6Hd9YEUE70rs/0iuaQHj8qDc5HQ3H&#10;lHC0Dc7G/f44wmT3X1vnw3sBmkQhpw7bl1hlu6UPrevBJQbzoGSxkEolxW3Wl8qRHcNWL9LToT9y&#10;U4bUOZ0Mx72E/MgWsY8Qa8X41+cImK0ymHQkpS0+SqFZNx1Tayj2SJSDdta85QuJuEvmww1zOFzI&#10;Da5fuMajVIDJQCdRUoH7/q/76I89RyslNQ5rTv23LXOCEvXB4DS87Y9GcbqTMhqfDlBxDy3rhxaz&#10;1ZeAJPVx0S1PYvQP6iCWDvQX3NJ5jIomZjjGzmk4iJehXSHcci7m8+SE82xZWJqV5RE6tsTAfBug&#10;lKl1kaaWm449nOjU/G774so81JPX/R9n9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QuqE1gAA&#10;AAsBAAAPAAAAAAAAAAEAIAAAACIAAABkcnMvZG93bnJldi54bWxQSwECFAAUAAAACACHTuJABDd9&#10;IFkCAAC5BAAADgAAAAAAAAABACAAAAAlAQAAZHJzL2Uyb0RvYy54bWxQSwUGAAAAAAYABgBZAQAA&#10;8AUAAAAA&#10;">
                      <v:fill on="t" focussize="0,0"/>
                      <v:stroke weight="0.5pt" color="#000000 [3204]" joinstyle="round"/>
                      <v:imagedata o:title=""/>
                      <o:lock v:ext="edit" aspectratio="f"/>
                      <v:textbox>
                        <w:txbxContent>
                          <w:p w14:paraId="45E70292">
                            <w:pPr>
                              <w:rPr>
                                <w:rFonts w:hint="default" w:eastAsia="宋体"/>
                                <w:sz w:val="24"/>
                                <w:szCs w:val="24"/>
                                <w:lang w:val="en-US" w:eastAsia="zh-CN"/>
                              </w:rPr>
                            </w:pPr>
                            <w:r>
                              <w:rPr>
                                <w:rFonts w:hint="eastAsia"/>
                                <w:sz w:val="21"/>
                                <w:szCs w:val="21"/>
                                <w:lang w:val="en-US" w:eastAsia="zh-CN"/>
                              </w:rPr>
                              <w:t>修筑施工便道</w:t>
                            </w:r>
                          </w:p>
                        </w:txbxContent>
                      </v:textbox>
                    </v:shape>
                  </w:pict>
                </mc:Fallback>
              </mc:AlternateContent>
            </w:r>
            <w:r>
              <w:rPr>
                <w:color w:val="auto"/>
                <w:sz w:val="21"/>
              </w:rPr>
              <mc:AlternateContent>
                <mc:Choice Requires="wps">
                  <w:drawing>
                    <wp:anchor distT="0" distB="0" distL="114300" distR="114300" simplePos="0" relativeHeight="251676672" behindDoc="0" locked="0" layoutInCell="1" allowOverlap="1">
                      <wp:simplePos x="0" y="0"/>
                      <wp:positionH relativeFrom="column">
                        <wp:posOffset>2496820</wp:posOffset>
                      </wp:positionH>
                      <wp:positionV relativeFrom="paragraph">
                        <wp:posOffset>892175</wp:posOffset>
                      </wp:positionV>
                      <wp:extent cx="421005" cy="2540"/>
                      <wp:effectExtent l="0" t="37465" r="17145" b="36195"/>
                      <wp:wrapNone/>
                      <wp:docPr id="38" name="直接箭头连接符 38"/>
                      <wp:cNvGraphicFramePr/>
                      <a:graphic xmlns:a="http://schemas.openxmlformats.org/drawingml/2006/main">
                        <a:graphicData uri="http://schemas.microsoft.com/office/word/2010/wordprocessingShape">
                          <wps:wsp>
                            <wps:cNvCnPr/>
                            <wps:spPr>
                              <a:xfrm flipV="1">
                                <a:off x="0" y="0"/>
                                <a:ext cx="421005" cy="2540"/>
                              </a:xfrm>
                              <a:prstGeom prst="straightConnector1">
                                <a:avLst/>
                              </a:prstGeom>
                              <a:ln w="635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96.6pt;margin-top:70.25pt;height:0.2pt;width:33.15pt;z-index:251676672;mso-width-relative:page;mso-height-relative:page;" filled="f" stroked="t" coordsize="21600,21600" o:gfxdata="UEsDBAoAAAAAAIdO4kAAAAAAAAAAAAAAAAAEAAAAZHJzL1BLAwQUAAAACACHTuJAcR0ep9cAAAAL&#10;AQAADwAAAGRycy9kb3ducmV2LnhtbE2PS0/DMBCE75X4D9YicWvtpg9IiFMBIoeeEAVxduMlibDX&#10;IXYf/HsWLnDb3RnNflNuzt6JI46xD6RhPlMgkJpge2o1vL7U0xsQMRmyxgVCDV8YYVNdTEpT2HCi&#10;ZzzuUis4hGJhNHQpDYWUsenQmzgLAxJr72H0JvE6ttKO5sTh3slMqbX0pif+0JkBHzpsPnYHr2GR&#10;4fr+E5/eHpWXauuv67utq7W+upyrWxAJz+nPDD/4jA4VM+3DgWwUjjPyRcZWFpZqBYIdy1XOw/73&#10;koOsSvm/Q/UNUEsDBBQAAAAIAIdO4kAGpq1zBQIAANgDAAAOAAAAZHJzL2Uyb0RvYy54bWytU81u&#10;EzEQviPxDpbvZDdpU6Eomx4SygVBJH7ujte7a8l/mnGzyUvwAkicgBP01DtPQ9vHYOwNAcqlB3yw&#10;xh7PN/N9M56f76xhWwWovav4eFRyppz0tXZtxd++uXjylDOMwtXCeKcqvlfIzxePH837MFMT33lT&#10;K2AE4nDWh4p3MYZZUaDslBU48kE5cjYerIh0hLaoQfSEbk0xKcuzovdQB/BSIdLtanDyAyI8BNA3&#10;jZZq5eWlVS4OqKCMiEQJOx2QL3K1TaNkfNU0qCIzFSemMe+UhOxN2ovFXMxaEKHT8lCCeEgJ9zhZ&#10;oR0lPUKtRBTsEvQ/UFZL8OibOJLeFgORrAixGJf3tHndiaAyF5Iaw1F0/H+w8uV2DUzXFT+hvjth&#10;qeO3H65v3n++vfr249P13fePyf76hZGfxOoDzihm6dZwOGFYQ2K+a8CyxujwjqYqa0Hs2C5LvT9K&#10;rXaRSbo8nYzLcsqZJNdkepobUQwgCSwAxufKW5aMimMEodsuLr1z1FIPQwKxfYGRyqDAXwEp2PkL&#10;bUzurHGsr/jZyZT6LQVNa0NTQqYNxBhdy5kwLX0DGSGXjN7oOkUnHIR2szTAtiINT15JAsr217OU&#10;eiWwG95l1zBWUWjzzNUs7gOpGkEL1xp1gDCOkJKag37J2vh6n2XN99TwnOswnGmi/jzn6N8fcv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R0ep9cAAAALAQAADwAAAAAAAAABACAAAAAiAAAAZHJz&#10;L2Rvd25yZXYueG1sUEsBAhQAFAAAAAgAh07iQAamrXMFAgAA2AMAAA4AAAAAAAAAAQAgAAAAJgEA&#10;AGRycy9lMm9Eb2MueG1sUEsFBgAAAAAGAAYAWQEAAJ0FAAAAAA==&#10;">
                      <v:fill on="f" focussize="0,0"/>
                      <v:stroke weight="0.5pt" color="#000000 [3213]" joinstyle="round" endarrow="block"/>
                      <v:imagedata o:title=""/>
                      <o:lock v:ext="edit" aspectratio="f"/>
                    </v:shape>
                  </w:pict>
                </mc:Fallback>
              </mc:AlternateContent>
            </w:r>
            <w:r>
              <w:rPr>
                <w:color w:val="auto"/>
                <w:sz w:val="21"/>
              </w:rPr>
              <mc:AlternateContent>
                <mc:Choice Requires="wps">
                  <w:drawing>
                    <wp:anchor distT="0" distB="0" distL="114300" distR="114300" simplePos="0" relativeHeight="251674624" behindDoc="0" locked="0" layoutInCell="1" allowOverlap="1">
                      <wp:simplePos x="0" y="0"/>
                      <wp:positionH relativeFrom="column">
                        <wp:posOffset>2918460</wp:posOffset>
                      </wp:positionH>
                      <wp:positionV relativeFrom="paragraph">
                        <wp:posOffset>735965</wp:posOffset>
                      </wp:positionV>
                      <wp:extent cx="840105" cy="276225"/>
                      <wp:effectExtent l="4445" t="4445" r="12700" b="5080"/>
                      <wp:wrapNone/>
                      <wp:docPr id="39" name="文本框 39"/>
                      <wp:cNvGraphicFramePr/>
                      <a:graphic xmlns:a="http://schemas.openxmlformats.org/drawingml/2006/main">
                        <a:graphicData uri="http://schemas.microsoft.com/office/word/2010/wordprocessingShape">
                          <wps:wsp>
                            <wps:cNvSpPr txBox="1"/>
                            <wps:spPr>
                              <a:xfrm>
                                <a:off x="0" y="0"/>
                                <a:ext cx="84010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93862C">
                                  <w:pPr>
                                    <w:rPr>
                                      <w:rFonts w:hint="default" w:eastAsia="宋体"/>
                                      <w:sz w:val="24"/>
                                      <w:szCs w:val="24"/>
                                      <w:lang w:val="en-US" w:eastAsia="zh-CN"/>
                                    </w:rPr>
                                  </w:pPr>
                                  <w:r>
                                    <w:rPr>
                                      <w:rFonts w:hint="eastAsia"/>
                                      <w:sz w:val="21"/>
                                      <w:szCs w:val="21"/>
                                      <w:lang w:val="en-US" w:eastAsia="zh-CN"/>
                                    </w:rPr>
                                    <w:t>修建围堰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8pt;margin-top:57.95pt;height:21.75pt;width:66.15pt;z-index:251674624;mso-width-relative:page;mso-height-relative:page;" fillcolor="#FFFFFF [3201]" filled="t" stroked="t" coordsize="21600,21600" o:gfxdata="UEsDBAoAAAAAAIdO4kAAAAAAAAAAAAAAAAAEAAAAZHJzL1BLAwQUAAAACACHTuJArAdlGtcAAAAL&#10;AQAADwAAAGRycy9kb3ducmV2LnhtbE2PQU/DMAyF70j8h8hI3Fjaba1oaToJJCTEja0XblnjtRWJ&#10;UyXZOv495gQ32+/p+XvN7uqsuGCIkycF+SoDgdR7M9GgoDu8PjyCiEmT0dYTKvjGCLv29qbRtfEL&#10;feBlnwbBIRRrrWBMaa6ljP2ITseVn5FYO/ngdOI1DNIEvXC4s3KdZaV0eiL+MOoZX0bsv/Znp+Ct&#10;fE6f2Jl3s1lv/NLJPpxsVOr+Ls+eQCS8pj8z/OIzOrTMdPRnMlFYBduiKtnKQl5UINhRVDkPR74U&#10;1RZk28j/HdofUEsDBBQAAAAIAIdO4kDs+JrFWAIAALgEAAAOAAAAZHJzL2Uyb0RvYy54bWytVM1u&#10;GjEQvlfqO1i+lwUCJEFZIpqIqhJqIqVVz8brZa3aHtc27NIHaN+gp15673PxHB17F/LXQw7lYOaP&#10;b2a+meHistGKbIXzEkxOB70+JcJwKKRZ5/TTx8WbM0p8YKZgCozI6U54ejl7/eqitlMxhApUIRxB&#10;EOOntc1pFYKdZpnnldDM98AKg84SnGYBVbfOCsdqRNcqG/b7k6wGV1gHXHiP1uvWSTtE9xJAKEvJ&#10;xTXwjRYmtKhOKBawJV9J6+ksVVuWgoebsvQiEJVT7DSkF5OgvIpvNrtg07VjtpK8K4G9pIQnPWkm&#10;DSY9Ql2zwMjGyWdQWnIHHsrQ46CztpHECHYx6D/h5q5iVqRekGpvj6T7/wfLP2xvHZFFTk/OKTFM&#10;48T3P3/sf/3Z//5O0IYE1dZPMe7OYmRo3kKDa3OwezTGvpvS6fiNHRH0I727I72iCYSj8WyELY4p&#10;4egank6Gw3FEye5/bJ0P7wRoEoWcOpxeIpVtlz60oYeQmMuDksVCKpUUt15dKUe2DCe9SJ8O/VGY&#10;MqTO6eRk3E/Ij3wR+wixUox/eY6A1SqDRUdO2t6jFJpV0xG1gmKHPDloV81bvpCIu2Q+3DKHu4XU&#10;4PWFG3xKBVgMdBIlFbhv/7LHeBw5eimpcVdz6r9umBOUqPcGl+F8MBrF5U7KaHw6RMU99KweesxG&#10;XwGSNMA7tzyJMT6og1g60J/xSOcxK7qY4Zg7p+EgXoX2gvDIuZjPUxCus2Vhae4sj9BxJAbmmwCl&#10;TKOLNLXcdOzhQqfhd8cXL+ahnqLu/3Bm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sB2Ua1wAA&#10;AAsBAAAPAAAAAAAAAAEAIAAAACIAAABkcnMvZG93bnJldi54bWxQSwECFAAUAAAACACHTuJA7Pia&#10;xVgCAAC4BAAADgAAAAAAAAABACAAAAAmAQAAZHJzL2Uyb0RvYy54bWxQSwUGAAAAAAYABgBZAQAA&#10;8AUAAAAA&#10;">
                      <v:fill on="t" focussize="0,0"/>
                      <v:stroke weight="0.5pt" color="#000000 [3204]" joinstyle="round"/>
                      <v:imagedata o:title=""/>
                      <o:lock v:ext="edit" aspectratio="f"/>
                      <v:textbox>
                        <w:txbxContent>
                          <w:p w14:paraId="1793862C">
                            <w:pPr>
                              <w:rPr>
                                <w:rFonts w:hint="default" w:eastAsia="宋体"/>
                                <w:sz w:val="24"/>
                                <w:szCs w:val="24"/>
                                <w:lang w:val="en-US" w:eastAsia="zh-CN"/>
                              </w:rPr>
                            </w:pPr>
                            <w:r>
                              <w:rPr>
                                <w:rFonts w:hint="eastAsia"/>
                                <w:sz w:val="21"/>
                                <w:szCs w:val="21"/>
                                <w:lang w:val="en-US" w:eastAsia="zh-CN"/>
                              </w:rPr>
                              <w:t>修建围堰</w:t>
                            </w:r>
                          </w:p>
                        </w:txbxContent>
                      </v:textbox>
                    </v:shape>
                  </w:pict>
                </mc:Fallback>
              </mc:AlternateContent>
            </w:r>
            <w:r>
              <w:rPr>
                <w:color w:val="auto"/>
                <w:sz w:val="21"/>
              </w:rPr>
              <mc:AlternateContent>
                <mc:Choice Requires="wps">
                  <w:drawing>
                    <wp:anchor distT="0" distB="0" distL="114300" distR="114300" simplePos="0" relativeHeight="251677696" behindDoc="0" locked="0" layoutInCell="1" allowOverlap="1">
                      <wp:simplePos x="0" y="0"/>
                      <wp:positionH relativeFrom="column">
                        <wp:posOffset>3763645</wp:posOffset>
                      </wp:positionH>
                      <wp:positionV relativeFrom="paragraph">
                        <wp:posOffset>882650</wp:posOffset>
                      </wp:positionV>
                      <wp:extent cx="324485" cy="2540"/>
                      <wp:effectExtent l="0" t="37465" r="18415" b="36195"/>
                      <wp:wrapNone/>
                      <wp:docPr id="53" name="直接箭头连接符 53"/>
                      <wp:cNvGraphicFramePr/>
                      <a:graphic xmlns:a="http://schemas.openxmlformats.org/drawingml/2006/main">
                        <a:graphicData uri="http://schemas.microsoft.com/office/word/2010/wordprocessingShape">
                          <wps:wsp>
                            <wps:cNvCnPr/>
                            <wps:spPr>
                              <a:xfrm flipV="1">
                                <a:off x="0" y="0"/>
                                <a:ext cx="324485" cy="2540"/>
                              </a:xfrm>
                              <a:prstGeom prst="straightConnector1">
                                <a:avLst/>
                              </a:prstGeom>
                              <a:ln w="6350">
                                <a:solidFill>
                                  <a:schemeClr val="tx1"/>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96.35pt;margin-top:69.5pt;height:0.2pt;width:25.55pt;z-index:251677696;mso-width-relative:page;mso-height-relative:page;" filled="f" stroked="t" coordsize="21600,21600" o:gfxdata="UEsDBAoAAAAAAIdO4kAAAAAAAAAAAAAAAAAEAAAAZHJzL1BLAwQUAAAACACHTuJA+iaOA9cAAAAL&#10;AQAADwAAAGRycy9kb3ducmV2LnhtbE2PzU7DMBCE70i8g7VI3KjdpKQ0xKkAkUNPiII4u/GSRNjr&#10;ELs/vD0LFzjuzKfZmWp98k4ccIpDIA3zmQKB1AY7UKfh9aW5ugERkyFrXCDU8IUR1vX5WWVKG470&#10;jIdt6gSHUCyNhj6lsZQytj16E2dhRGLvPUzeJD6nTtrJHDncO5kpVUhvBuIPvRnxocf2Y7v3GvIM&#10;i/tPfHp7VF6qjV82dxvXaH15MVe3IBKe0h8MP/W5OtTcaRf2ZKNwGq5X2ZJRNvIVj2KiWOQ8Zver&#10;LEDWlfy/of4GUEsDBBQAAAAIAIdO4kD8ngEOBQIAANgDAAAOAAAAZHJzL2Uyb0RvYy54bWytU72O&#10;EzEQ7pF4B8s92Vx+TqcomysSjgZBJH56x+vdteQ/zfiyyUvwAkhUQAVU1/M0cDwGY+8S4GiuwIU1&#10;9ni+me+b8fLyYA3bK0DtXcnPRmPOlJO+0q4p+auXV48uOMMoXCWMd6rkR4X8cvXwwbILCzXxrTeV&#10;AkYgDhddKHkbY1gUBcpWWYEjH5QjZ+3BikhHaIoKREfo1hST8fi86DxUAbxUiHS76Z18QIT7APq6&#10;1lJtvLy2ysUeFZQRkShhqwPyVa62rpWMz+saVWSm5MQ05p2SkL1Le7FaikUDIrRaDiWI+5Rwh5MV&#10;2lHSE9RGRMGuQf8DZbUEj76OI+lt0RPJihCLs/EdbV60IqjMhaTGcBId/x+sfLbfAtNVyedTzpyw&#10;1PHbtzff33y4/fL52/ubH1/fJfvTR0Z+EqsLuKCYtdvCcMKwhcT8UINltdHhNU1V1oLYsUOW+niS&#10;Wh0ik3Q5ncxmF3POJLkm81luRNGDJLAAGJ8ob1kySo4RhG7auPbOUUs99AnE/ilGKoMCfwWkYOev&#10;tDG5s8axruTn0zn1Wwqa1pqmhEwbiDG6hjNhGvoGMkIuGb3RVYpOOAjNbm2A7UUanrySBJTtr2cp&#10;9UZg27/Lrn6sotDmsatYPAZSNYIWrjFqgDCOkJKavX7J2vnqmGXN99TwnGsYzjRRf55z9O8Pufo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aOA9cAAAALAQAADwAAAAAAAAABACAAAAAiAAAAZHJz&#10;L2Rvd25yZXYueG1sUEsBAhQAFAAAAAgAh07iQPyeAQ4FAgAA2AMAAA4AAAAAAAAAAQAgAAAAJgEA&#10;AGRycy9lMm9Eb2MueG1sUEsFBgAAAAAGAAYAWQEAAJ0FAAAAAA==&#10;">
                      <v:fill on="f" focussize="0,0"/>
                      <v:stroke weight="0.5pt" color="#000000 [3213]" joinstyle="round" endarrow="block"/>
                      <v:imagedata o:title=""/>
                      <o:lock v:ext="edit" aspectratio="f"/>
                    </v:shape>
                  </w:pict>
                </mc:Fallback>
              </mc:AlternateContent>
            </w:r>
            <w:r>
              <w:rPr>
                <w:color w:val="auto"/>
                <w:sz w:val="21"/>
              </w:rPr>
              <mc:AlternateContent>
                <mc:Choice Requires="wps">
                  <w:drawing>
                    <wp:anchor distT="0" distB="0" distL="114300" distR="114300" simplePos="0" relativeHeight="251692032" behindDoc="0" locked="0" layoutInCell="1" allowOverlap="1">
                      <wp:simplePos x="0" y="0"/>
                      <wp:positionH relativeFrom="column">
                        <wp:posOffset>4003040</wp:posOffset>
                      </wp:positionH>
                      <wp:positionV relativeFrom="paragraph">
                        <wp:posOffset>1784985</wp:posOffset>
                      </wp:positionV>
                      <wp:extent cx="964565" cy="25527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964565" cy="255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5AEA4">
                                  <w:pPr>
                                    <w:jc w:val="center"/>
                                    <w:rPr>
                                      <w:rFonts w:hint="default" w:eastAsia="宋体"/>
                                      <w:sz w:val="15"/>
                                      <w:szCs w:val="15"/>
                                      <w:lang w:val="en-US" w:eastAsia="zh-CN"/>
                                    </w:rPr>
                                  </w:pPr>
                                  <w:r>
                                    <w:rPr>
                                      <w:rFonts w:hint="eastAsia"/>
                                      <w:sz w:val="15"/>
                                      <w:szCs w:val="15"/>
                                      <w:lang w:val="en-US" w:eastAsia="zh-CN"/>
                                    </w:rPr>
                                    <w:t>噪声、固废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2pt;margin-top:140.55pt;height:20.1pt;width:75.95pt;z-index:251692032;mso-width-relative:page;mso-height-relative:page;" filled="f" stroked="f" coordsize="21600,21600" o:gfxdata="UEsDBAoAAAAAAIdO4kAAAAAAAAAAAAAAAAAEAAAAZHJzL1BLAwQUAAAACACHTuJAJ3g3ANsAAAAL&#10;AQAADwAAAGRycy9kb3ducmV2LnhtbE2Py07DMBBF90j8gzVI7KgdB0oUMqlQpAoJwaKlG3ZOPE0i&#10;/Aix+4Cvx6xgObpH956pVmdr2JHmMHqHkC0EMHKd16PrEXZv65sCWIjKaWW8I4QvCrCqLy8qVWp/&#10;chs6bmPPUokLpUIYYpxKzkM3kFVh4SdyKdv72aqYzrnnelanVG4Nl0IsuVWjSwuDmqgZqPvYHizC&#10;c7N+VZtW2uLbNE8v+8fpc/d+h3h9lYkHYJHO8Q+GX/2kDnVyav3B6cAMwjIXtwlFkEWWAUvEfSFz&#10;YC1CLrMceF3x/z/UP1BLAwQUAAAACACHTuJATLi62D0CAABnBAAADgAAAGRycy9lMm9Eb2MueG1s&#10;rVTBbhMxEL0j8Q+W73STkKQ06qYKrYqQKlqpIM6O19tdyfYY2+lu+QD4A05cuPNd/Q6evUlaFQ49&#10;cPGOZ8Yz897M7PFJbzS7VT60ZEs+PhhxpqykqrU3Jf/08fzVG85CFLYSmqwq+Z0K/GT58sVx5xZq&#10;Qg3pSnmGIDYsOlfyJka3KIogG2VEOCCnLIw1eSMirv6mqLzoEN3oYjIazYuOfOU8SRUCtGeDkW8j&#10;+ucEpLpupTojuTHKxiGqV1pEQApN6wJf5mrrWsl4WddBRaZLDqQxn0gCeZ3OYnksFjdeuKaV2xLE&#10;c0p4gsmI1iLpPtSZiIJtfPtXKNNKT4HqeCDJFAOQzAhQjEdPuLluhFMZC6gObk96+H9h5YfbK8/a&#10;quSH6LsVBh2///H9/ufv+1/fGHQgqHNhAb9rB8/Yv6UeY7PTBygT7r72Jn2BiMEOeu/29Ko+Mgnl&#10;0Xw6m884kzBNZrPJYaa/eHjsfIjvFBmWhJJ7dC+TKm4vQkQhcN25pFyWzlutcwe1ZV3J569no/xg&#10;b8ELbfEwQRhKTVLs1/0W15qqO8DyNExGcPK8RfILEeKV8BgFIMGyxEsctSYkoa3EWUP+67/0yR8d&#10;gpWzDqNV8vBlI7ziTL+36N3ReDpNs5gv09nhBBf/2LJ+bLEbc0qY3jHW0sksJv+od2LtyXzGTq1S&#10;VpiElchd8rgTT+Mw8NhJqVar7ITpcyJe2GsnU+iBztUmUt1mphNNAzdb9jB/uQHbXUkD/vievR7+&#10;D8s/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J3g3ANsAAAALAQAADwAAAAAAAAABACAAAAAiAAAA&#10;ZHJzL2Rvd25yZXYueG1sUEsBAhQAFAAAAAgAh07iQEy4utg9AgAAZwQAAA4AAAAAAAAAAQAgAAAA&#10;KgEAAGRycy9lMm9Eb2MueG1sUEsFBgAAAAAGAAYAWQEAANkFAAAAAA==&#10;">
                      <v:fill on="f" focussize="0,0"/>
                      <v:stroke on="f" weight="0.5pt"/>
                      <v:imagedata o:title=""/>
                      <o:lock v:ext="edit" aspectratio="f"/>
                      <v:textbox>
                        <w:txbxContent>
                          <w:p w14:paraId="34B5AEA4">
                            <w:pPr>
                              <w:jc w:val="center"/>
                              <w:rPr>
                                <w:rFonts w:hint="default" w:eastAsia="宋体"/>
                                <w:sz w:val="15"/>
                                <w:szCs w:val="15"/>
                                <w:lang w:val="en-US" w:eastAsia="zh-CN"/>
                              </w:rPr>
                            </w:pPr>
                            <w:r>
                              <w:rPr>
                                <w:rFonts w:hint="eastAsia"/>
                                <w:sz w:val="15"/>
                                <w:szCs w:val="15"/>
                                <w:lang w:val="en-US" w:eastAsia="zh-CN"/>
                              </w:rPr>
                              <w:t>噪声、固废</w:t>
                            </w:r>
                          </w:p>
                        </w:txbxContent>
                      </v:textbox>
                    </v:shape>
                  </w:pict>
                </mc:Fallback>
              </mc:AlternateContent>
            </w:r>
            <w:r>
              <w:rPr>
                <w:color w:val="auto"/>
                <w:sz w:val="21"/>
              </w:rPr>
              <mc:AlternateContent>
                <mc:Choice Requires="wps">
                  <w:drawing>
                    <wp:anchor distT="0" distB="0" distL="114300" distR="114300" simplePos="0" relativeHeight="251691008" behindDoc="0" locked="0" layoutInCell="1" allowOverlap="1">
                      <wp:simplePos x="0" y="0"/>
                      <wp:positionH relativeFrom="column">
                        <wp:posOffset>4481195</wp:posOffset>
                      </wp:positionH>
                      <wp:positionV relativeFrom="paragraph">
                        <wp:posOffset>1588770</wp:posOffset>
                      </wp:positionV>
                      <wp:extent cx="5080" cy="210820"/>
                      <wp:effectExtent l="36195" t="0" r="34925" b="17780"/>
                      <wp:wrapNone/>
                      <wp:docPr id="77" name="直接箭头连接符 77"/>
                      <wp:cNvGraphicFramePr/>
                      <a:graphic xmlns:a="http://schemas.openxmlformats.org/drawingml/2006/main">
                        <a:graphicData uri="http://schemas.microsoft.com/office/word/2010/wordprocessingShape">
                          <wps:wsp>
                            <wps:cNvCnPr/>
                            <wps:spPr>
                              <a:xfrm flipH="1">
                                <a:off x="0" y="0"/>
                                <a:ext cx="5080" cy="21082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352.85pt;margin-top:125.1pt;height:16.6pt;width:0.4pt;z-index:251691008;mso-width-relative:page;mso-height-relative:page;" filled="f" stroked="t" coordsize="21600,21600" o:gfxdata="UEsDBAoAAAAAAIdO4kAAAAAAAAAAAAAAAAAEAAAAZHJzL1BLAwQUAAAACACHTuJA4jP0WtwAAAAL&#10;AQAADwAAAGRycy9kb3ducmV2LnhtbE2PwU7DMAyG70i8Q2QkbixpoetUmk4IhEBcBhua2C1rTFto&#10;ki5Jt/H2mBM72v70+/vL+dH0bI8+dM5KSCYCGNra6c42Et5Xj1czYCEqq1XvLEr4wQDz6vysVIV2&#10;B/uG+2VsGIXYUCgJbYxDwXmoWzQqTNyAlm6fzhsVafQN114dKNz0PBViyo3qLH1o1YD3Ldbfy9FI&#10;WK+fn16ah69xkSS48x+b191mvJPy8iIRt8AiHuM/DH/6pA4VOW3daHVgvYRcZDmhEtJMpMCIyMU0&#10;A7alzez6BnhV8tMO1S9QSwMEFAAAAAgAh07iQO37ziUFAgAA2wMAAA4AAABkcnMvZTJvRG9jLnht&#10;bK1TzY7TMBC+I/EOlu80aSVoVTXdQ8vCAUEl4AFcx0ks+U8z3qZ9CV4AiRNwAk5752lgeQzGTiiw&#10;XPZADtaMJ/PNfN+MVxdHa9hBAWrvKj6dlJwpJ32tXVvx168uHyw4wyhcLYx3quInhfxiff/eqg9L&#10;NfOdN7UCRiAOl32oeBdjWBYFyk5ZgRMflKNg48GKSC60RQ2iJ3RrillZPip6D3UALxUi3W6HIB8R&#10;4S6Avmm0VFsvr6xycUAFZUQkStjpgHydu20aJeOLpkEVmak4MY35pCJk79NZrFdi2YIInZZjC+Iu&#10;LdziZIV2VPQMtRVRsCvQ/0BZLcGjb+JEelsMRLIixGJa3tLmZSeCylxIagxn0fH/wcrnhx0wXVd8&#10;PufMCUsTv3l7/f3Nh5svn7+9v/7x9V2yP31kFCex+oBLytm4HYwehh0k5scGLGuMDk9pq7IWxI4d&#10;s9Sns9TqGJmky4flgkYgKTCblotZHkQxgCSwABifKG9ZMiqOEYRuu7jxztFIPQwFxOEZRmqDEn8l&#10;pGTnL7UxebLGsZ7amc3LVE3Quja0JmTaQJTRtZwJ09I7kBFyz+iNrlN6AkJo9xsD7CDS9uQvaUDl&#10;/vot1d4K7Ib/8ITJGTYrCm0eu5rFUyBhI2jhWqNGEOMIKwk6SJisva9PWdl8TzPP1cb9TEv1p5+z&#10;f7/J9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iM/Ra3AAAAAsBAAAPAAAAAAAAAAEAIAAAACIA&#10;AABkcnMvZG93bnJldi54bWxQSwECFAAUAAAACACHTuJA7fvOJQUCAADbAwAADgAAAAAAAAABACAA&#10;AAArAQAAZHJzL2Uyb0RvYy54bWxQSwUGAAAAAAYABgBZAQAAogUAAAAA&#10;">
                      <v:fill on="f" focussize="0,0"/>
                      <v:stroke weight="1pt" color="#000000 [3213]" joinstyle="round" dashstyle="3 1" endarrow="block"/>
                      <v:imagedata o:title=""/>
                      <o:lock v:ext="edit" aspectratio="f"/>
                    </v:shape>
                  </w:pict>
                </mc:Fallback>
              </mc:AlternateContent>
            </w:r>
            <w:r>
              <w:rPr>
                <w:color w:val="auto"/>
                <w:sz w:val="21"/>
              </w:rPr>
              <mc:AlternateContent>
                <mc:Choice Requires="wps">
                  <w:drawing>
                    <wp:anchor distT="0" distB="0" distL="114300" distR="114300" simplePos="0" relativeHeight="251685888" behindDoc="0" locked="0" layoutInCell="1" allowOverlap="1">
                      <wp:simplePos x="0" y="0"/>
                      <wp:positionH relativeFrom="column">
                        <wp:posOffset>3925570</wp:posOffset>
                      </wp:positionH>
                      <wp:positionV relativeFrom="paragraph">
                        <wp:posOffset>1301750</wp:posOffset>
                      </wp:positionV>
                      <wp:extent cx="1108710" cy="276225"/>
                      <wp:effectExtent l="4445" t="5080" r="10795" b="4445"/>
                      <wp:wrapNone/>
                      <wp:docPr id="70" name="文本框 70"/>
                      <wp:cNvGraphicFramePr/>
                      <a:graphic xmlns:a="http://schemas.openxmlformats.org/drawingml/2006/main">
                        <a:graphicData uri="http://schemas.microsoft.com/office/word/2010/wordprocessingShape">
                          <wps:wsp>
                            <wps:cNvSpPr txBox="1"/>
                            <wps:spPr>
                              <a:xfrm>
                                <a:off x="0" y="0"/>
                                <a:ext cx="110871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EF75F3F">
                                  <w:pPr>
                                    <w:jc w:val="center"/>
                                    <w:rPr>
                                      <w:rFonts w:hint="default" w:eastAsia="宋体"/>
                                      <w:sz w:val="24"/>
                                      <w:szCs w:val="24"/>
                                      <w:lang w:val="en-US" w:eastAsia="zh-CN"/>
                                    </w:rPr>
                                  </w:pPr>
                                  <w:r>
                                    <w:rPr>
                                      <w:rFonts w:hint="eastAsia"/>
                                      <w:sz w:val="21"/>
                                      <w:szCs w:val="21"/>
                                      <w:lang w:val="en-US" w:eastAsia="zh-CN"/>
                                    </w:rPr>
                                    <w:t>承台施工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9.1pt;margin-top:102.5pt;height:21.75pt;width:87.3pt;z-index:251685888;mso-width-relative:page;mso-height-relative:page;" fillcolor="#FFFFFF [3201]" filled="t" stroked="t" coordsize="21600,21600" o:gfxdata="UEsDBAoAAAAAAIdO4kAAAAAAAAAAAAAAAAAEAAAAZHJzL1BLAwQUAAAACACHTuJAgFx78dcAAAAL&#10;AQAADwAAAGRycy9kb3ducmV2LnhtbE2Py07DMBBF90j8gzVI7Kgdl4YQ4lQCCQmxo82GnRtPkwg/&#10;Itttyt8zrGA5M0d3zm22F2fZGWOagldQrAQw9H0wkx8UdPvXuwpYytobbYNHBd+YYNteXzW6NmHx&#10;H3je5YFRiE+1VjDmPNecp35Ep9MqzOjpdgzR6UxjHLiJeqFwZ7kUouROT54+jHrGlxH7r93JKXgr&#10;n/MndubdrOU6LB3v49EmpW5vCvEELOMl/8Hwq0/q0JLTIZy8ScwqKItKEqpAig2VIuLhUVKZA23u&#10;qw3wtuH/O7Q/UEsDBBQAAAAIAIdO4kBgMIY8WQIAALkEAAAOAAAAZHJzL2Uyb0RvYy54bWytVMFu&#10;2zAMvQ/YPwi6L06yNOmCOEWWIsOAYi3QDTsrshwLk0RNUmJ3H7D9wU677L7vyneMkp00bXfoYT7I&#10;pEg/ko+kZxeNVmQnnJdgcjro9SkRhkMhzSannz6uXp1T4gMzBVNgRE7vhKcX85cvZrWdiiFUoArh&#10;CIIYP61tTqsQ7DTLPK+EZr4HVhg0luA0C6i6TVY4ViO6Vtmw3x9nNbjCOuDCe7y9bI20Q3TPAYSy&#10;lFxcAt9qYUKL6oRiAUvylbSezlO2ZSl4uC5LLwJROcVKQzoxCMrreGbzGZtuHLOV5F0K7DkpPKpJ&#10;M2kw6BHqkgVGtk4+gdKSO/BQhh4HnbWFJEawikH/ETe3FbMi1YJUe3sk3f8/WP5hd+OILHI6QUoM&#10;09jx/c8f+19/9r+/E7xDgmrrp+h3a9EzNG+hwbE53Hu8jHU3pdPxjRURtCPW3ZFe0QTC40eD/vlk&#10;gCaOtuFkPByeRZjs/mvrfHgnQJMo5NRh+xKrbHflQ+t6cInBPChZrKRSSXGb9VI5smPY6lV6OvQH&#10;bsqQOqfj12f9hPzAFrGPEGvF+JenCJitMph0JKUtPkqhWTcdU2so7pAoB+2sectXEnGvmA83zOFw&#10;IQG4fuEaj1IBJgOdREkF7tu/7qM/9hytlNQ4rDn1X7fMCUrUe4PT8GYwGiFsSMrobDJExZ1a1qcW&#10;s9VLQJIGuOiWJzH6B3UQSwf6M27pIkZFEzMcY+c0HMRlaFcIt5yLxSI54TxbFq7MreUROrbEwGIb&#10;oJSpdZGmlpuOPZzo1Pxu++LKnOrJ6/6PM/8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Fx78dcA&#10;AAALAQAADwAAAAAAAAABACAAAAAiAAAAZHJzL2Rvd25yZXYueG1sUEsBAhQAFAAAAAgAh07iQGAw&#10;hjxZAgAAuQQAAA4AAAAAAAAAAQAgAAAAJgEAAGRycy9lMm9Eb2MueG1sUEsFBgAAAAAGAAYAWQEA&#10;APEFAAAAAA==&#10;">
                      <v:fill on="t" focussize="0,0"/>
                      <v:stroke weight="0.5pt" color="#000000 [3204]" joinstyle="round"/>
                      <v:imagedata o:title=""/>
                      <o:lock v:ext="edit" aspectratio="f"/>
                      <v:textbox>
                        <w:txbxContent>
                          <w:p w14:paraId="4EF75F3F">
                            <w:pPr>
                              <w:jc w:val="center"/>
                              <w:rPr>
                                <w:rFonts w:hint="default" w:eastAsia="宋体"/>
                                <w:sz w:val="24"/>
                                <w:szCs w:val="24"/>
                                <w:lang w:val="en-US" w:eastAsia="zh-CN"/>
                              </w:rPr>
                            </w:pPr>
                            <w:r>
                              <w:rPr>
                                <w:rFonts w:hint="eastAsia"/>
                                <w:sz w:val="21"/>
                                <w:szCs w:val="21"/>
                                <w:lang w:val="en-US" w:eastAsia="zh-CN"/>
                              </w:rPr>
                              <w:t>承台施工</w:t>
                            </w:r>
                          </w:p>
                        </w:txbxContent>
                      </v:textbox>
                    </v:shape>
                  </w:pict>
                </mc:Fallback>
              </mc:AlternateContent>
            </w:r>
            <w:r>
              <w:rPr>
                <w:color w:val="auto"/>
                <w:sz w:val="21"/>
              </w:rPr>
              <mc:AlternateContent>
                <mc:Choice Requires="wps">
                  <w:drawing>
                    <wp:anchor distT="0" distB="0" distL="114300" distR="114300" simplePos="0" relativeHeight="251681792" behindDoc="0" locked="0" layoutInCell="1" allowOverlap="1">
                      <wp:simplePos x="0" y="0"/>
                      <wp:positionH relativeFrom="column">
                        <wp:posOffset>4514850</wp:posOffset>
                      </wp:positionH>
                      <wp:positionV relativeFrom="paragraph">
                        <wp:posOffset>505460</wp:posOffset>
                      </wp:positionV>
                      <wp:extent cx="635" cy="241935"/>
                      <wp:effectExtent l="37465" t="0" r="38100" b="5715"/>
                      <wp:wrapNone/>
                      <wp:docPr id="62" name="直接箭头连接符 62"/>
                      <wp:cNvGraphicFramePr/>
                      <a:graphic xmlns:a="http://schemas.openxmlformats.org/drawingml/2006/main">
                        <a:graphicData uri="http://schemas.microsoft.com/office/word/2010/wordprocessingShape">
                          <wps:wsp>
                            <wps:cNvCnPr/>
                            <wps:spPr>
                              <a:xfrm flipV="1">
                                <a:off x="0" y="0"/>
                                <a:ext cx="635" cy="24193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55.5pt;margin-top:39.8pt;height:19.05pt;width:0.05pt;z-index:251681792;mso-width-relative:page;mso-height-relative:page;" filled="f" stroked="t" coordsize="21600,21600" o:gfxdata="UEsDBAoAAAAAAIdO4kAAAAAAAAAAAAAAAAAEAAAAZHJzL1BLAwQUAAAACACHTuJAou4EZNkAAAAK&#10;AQAADwAAAGRycy9kb3ducmV2LnhtbE2PQU/DMAyF70j8h8hIu7E0HFZWmk4IhIa4AANN7JY1pi00&#10;Tpek2/j3mBO72X5Pz98rF0fXiz2G2HnSoKYZCKTa244aDe9vD5fXIGIyZE3vCTX8YIRFdX5WmsL6&#10;A73ifpUawSEUC6OhTWkopIx1i87EqR+QWPv0wZnEa2ikDebA4a6XV1k2k850xB9aM+Bdi/X3anQa&#10;1uvH5VNz/zU+K4W78LF52W3GW60nFyq7AZHwmP7N8IfP6FAx09aPZKPoNeRKcZfEw3wGgg18UCC2&#10;7FR5DrIq5WmF6hdQSwMEFAAAAAgAh07iQEyQmtAEAgAA2gMAAA4AAABkcnMvZTJvRG9jLnhtbK1T&#10;vY4TMRDukXgHyz3ZJECAVTZXJBwNgkj89BOvd9eS/+TxZZOX4AWQqIAKqK7naeB4DMbeJcDRXIEL&#10;a2bs+TzfN+Pl2cFotpcBlbMVn02mnEkrXK1sW/FXL8/vPOQMI9gatLOy4keJ/Gx1+9ay96Wcu87p&#10;WgZGIBbL3le8i9GXRYGikwZw4ry0dNi4YCCSG9qiDtATutHFfDpdFL0LtQ9OSESKboZDPiKGmwC6&#10;plFCbpy4MNLGATVIDZEoYac88lWutmmkiM+bBmVkuuLENOadHiF7l/ZitYSyDeA7JcYS4CYlXONk&#10;QFl69AS1gQjsIqh/oIwSwaFr4kQ4UwxEsiLEYja9ps2LDrzMXEhq9CfR8f/Bimf7bWCqrvhizpkF&#10;Qx2/env5/c2Hqy+fv72//PH1XbI/fWR0TmL1HkvKWdttGD3025CYH5pgWKOVf01TlbUgduyQpT6e&#10;pJaHyAQFF3fvcyYoPr83e0Q2gRUDRsLyAeMT6QxLRsUxBlBtF9fOWuqoCwM+7J9iHBJ/JaRk686V&#10;1hSHUlvWUzXzB1PqtwCa1oamhEzjiTHaljPQLX0DEUMuGZ1WdUpP2Rja3VoHtoc0PHmNdf51Lb29&#10;AeyGe3jE5KSLUEZQ+rGtWTx60jUGBbbVcgTRljgnPQcFk7Vz9TELm+PU8qzKOJ5ppv70c/bvL7n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LuBGTZAAAACgEAAA8AAAAAAAAAAQAgAAAAIgAAAGRy&#10;cy9kb3ducmV2LnhtbFBLAQIUABQAAAAIAIdO4kBMkJrQBAIAANoDAAAOAAAAAAAAAAEAIAAAACgB&#10;AABkcnMvZTJvRG9jLnhtbFBLBQYAAAAABgAGAFkBAACeBQAAAAA=&#10;">
                      <v:fill on="f" focussize="0,0"/>
                      <v:stroke weight="1pt" color="#000000 [3213]" joinstyle="round" dashstyle="3 1" endarrow="block"/>
                      <v:imagedata o:title=""/>
                      <o:lock v:ext="edit" aspectratio="f"/>
                    </v:shape>
                  </w:pict>
                </mc:Fallback>
              </mc:AlternateContent>
            </w:r>
            <w:r>
              <w:rPr>
                <w:color w:val="auto"/>
                <w:sz w:val="21"/>
              </w:rPr>
              <mc:AlternateContent>
                <mc:Choice Requires="wps">
                  <w:drawing>
                    <wp:anchor distT="0" distB="0" distL="114300" distR="114300" simplePos="0" relativeHeight="251694080" behindDoc="0" locked="0" layoutInCell="1" allowOverlap="1">
                      <wp:simplePos x="0" y="0"/>
                      <wp:positionH relativeFrom="column">
                        <wp:posOffset>1591310</wp:posOffset>
                      </wp:positionH>
                      <wp:positionV relativeFrom="paragraph">
                        <wp:posOffset>1830705</wp:posOffset>
                      </wp:positionV>
                      <wp:extent cx="964565" cy="25527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964565" cy="255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21049">
                                  <w:pPr>
                                    <w:jc w:val="center"/>
                                    <w:rPr>
                                      <w:rFonts w:hint="default" w:eastAsia="宋体"/>
                                      <w:sz w:val="15"/>
                                      <w:szCs w:val="15"/>
                                      <w:lang w:val="en-US" w:eastAsia="zh-CN"/>
                                    </w:rPr>
                                  </w:pPr>
                                  <w:r>
                                    <w:rPr>
                                      <w:rFonts w:hint="eastAsia"/>
                                      <w:sz w:val="15"/>
                                      <w:szCs w:val="15"/>
                                      <w:lang w:val="en-US" w:eastAsia="zh-CN"/>
                                    </w:rPr>
                                    <w:t>废气、噪声、固废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3pt;margin-top:144.15pt;height:20.1pt;width:75.95pt;z-index:251694080;mso-width-relative:page;mso-height-relative:page;" filled="f" stroked="f" coordsize="21600,21600" o:gfxdata="UEsDBAoAAAAAAIdO4kAAAAAAAAAAAAAAAAAEAAAAZHJzL1BLAwQUAAAACACHTuJAlnMJidwAAAAL&#10;AQAADwAAAGRycy9kb3ducmV2LnhtbE2Py07DMBBF90j8gzWV2FG7LqmsEKdCkSokBIuWbthNYjeJ&#10;Gtshdh/w9Qwr2M1oju6cW6yvbmBnO8U+eA2LuQBmfRNM71sN+/fNvQIWE3qDQ/BWw5eNsC5vbwrM&#10;Tbj4rT3vUssoxMccNXQpjTnnsemswzgPo/V0O4TJYaJ1armZ8ELhbuBSiBV32Hv60OFoq842x93J&#10;aXipNm+4raVT30P1/Hp4Gj/3H5nWd7OFeASW7DX9wfCrT+pQklMdTt5ENmiQmVgRSoNSS2BEPAiZ&#10;Aas1LKXKgJcF/9+h/AFQSwMEFAAAAAgAh07iQN/8sXQ9AgAAZwQAAA4AAABkcnMvZTJvRG9jLnht&#10;bK1UwW4TMRC9I/EPlu90k5CENuqmCq2KkCpaqSDOjtfbXcn2GNvpbvkA+ANOXLjzXf0Onr1JWhUO&#10;PXDxjmfGb/zejPf4pDea3SofWrIlHx+MOFNWUtXam5J/+nj+6pCzEIWthCarSn6nAj9Zvnxx3LmF&#10;mlBDulKeAcSGRedK3sToFkURZKOMCAfklEWwJm9ExNbfFJUXHdCNLiaj0bzoyFfOk1QhwHs2BPkW&#10;0T8HkOq6leqM5MYoGwdUr7SIoBSa1gW+zLetayXjZV0HFZkuOZjGvKII7HVai+WxWNx44ZpWbq8g&#10;nnOFJ5yMaC2K7qHORBRs49u/oEwrPQWq44EkUwxEsiJgMR490ea6EU5lLpA6uL3o4f/Byg+3V561&#10;VckPIYkVBh2///H9/ufv+1/fGHwQqHNhgbxrh8zYv6UeY7PzBzgT7772Jn3BiCEOrLu9vKqPTMJ5&#10;NJ/O5jPOJEKT2WzyJqMXD4edD/GdIsOSUXKP7mVRxe1FiLgIUncpqZal81br3EFtWVfy+evZKB/Y&#10;R3BCWxxMFIarJiv2637La03VHWh5GiYjOHneoviFCPFKeIwCmOCxxEsstSYUoa3FWUP+67/8KR8d&#10;QpSzDqNV8vBlI7ziTL+36N3ReDoFbMyb6ezNBBv/OLJ+HLEbc0qY3jGepZPZTPlR78zak/mMN7VK&#10;VRESVqJ2yePOPI3DwONNSrVa5SRMnxPxwl47maAHOVebSHWblU4yDdps1cP85QZs30oa8Mf7nPXw&#10;f1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ZzCYncAAAACwEAAA8AAAAAAAAAAQAgAAAAIgAA&#10;AGRycy9kb3ducmV2LnhtbFBLAQIUABQAAAAIAIdO4kDf/LF0PQIAAGcEAAAOAAAAAAAAAAEAIAAA&#10;ACsBAABkcnMvZTJvRG9jLnhtbFBLBQYAAAAABgAGAFkBAADaBQAAAAA=&#10;">
                      <v:fill on="f" focussize="0,0"/>
                      <v:stroke on="f" weight="0.5pt"/>
                      <v:imagedata o:title=""/>
                      <o:lock v:ext="edit" aspectratio="f"/>
                      <v:textbox>
                        <w:txbxContent>
                          <w:p w14:paraId="6C421049">
                            <w:pPr>
                              <w:jc w:val="center"/>
                              <w:rPr>
                                <w:rFonts w:hint="default" w:eastAsia="宋体"/>
                                <w:sz w:val="15"/>
                                <w:szCs w:val="15"/>
                                <w:lang w:val="en-US" w:eastAsia="zh-CN"/>
                              </w:rPr>
                            </w:pPr>
                            <w:r>
                              <w:rPr>
                                <w:rFonts w:hint="eastAsia"/>
                                <w:sz w:val="15"/>
                                <w:szCs w:val="15"/>
                                <w:lang w:val="en-US" w:eastAsia="zh-CN"/>
                              </w:rPr>
                              <w:t>废气、噪声、固废</w:t>
                            </w:r>
                          </w:p>
                        </w:txbxContent>
                      </v:textbox>
                    </v:shape>
                  </w:pict>
                </mc:Fallback>
              </mc:AlternateContent>
            </w:r>
            <w:r>
              <w:rPr>
                <w:color w:val="auto"/>
                <w:sz w:val="21"/>
              </w:rPr>
              <mc:AlternateContent>
                <mc:Choice Requires="wps">
                  <w:drawing>
                    <wp:anchor distT="0" distB="0" distL="114300" distR="114300" simplePos="0" relativeHeight="251693056" behindDoc="0" locked="0" layoutInCell="1" allowOverlap="1">
                      <wp:simplePos x="0" y="0"/>
                      <wp:positionH relativeFrom="column">
                        <wp:posOffset>2066290</wp:posOffset>
                      </wp:positionH>
                      <wp:positionV relativeFrom="paragraph">
                        <wp:posOffset>1634490</wp:posOffset>
                      </wp:positionV>
                      <wp:extent cx="5080" cy="210820"/>
                      <wp:effectExtent l="36195" t="0" r="34925" b="17780"/>
                      <wp:wrapNone/>
                      <wp:docPr id="79" name="直接箭头连接符 79"/>
                      <wp:cNvGraphicFramePr/>
                      <a:graphic xmlns:a="http://schemas.openxmlformats.org/drawingml/2006/main">
                        <a:graphicData uri="http://schemas.microsoft.com/office/word/2010/wordprocessingShape">
                          <wps:wsp>
                            <wps:cNvCnPr/>
                            <wps:spPr>
                              <a:xfrm flipH="1">
                                <a:off x="0" y="0"/>
                                <a:ext cx="5080" cy="21082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162.7pt;margin-top:128.7pt;height:16.6pt;width:0.4pt;z-index:251693056;mso-width-relative:page;mso-height-relative:page;" filled="f" stroked="t" coordsize="21600,21600" o:gfxdata="UEsDBAoAAAAAAIdO4kAAAAAAAAAAAAAAAAAEAAAAZHJzL1BLAwQUAAAACACHTuJALi00UNwAAAAL&#10;AQAADwAAAGRycy9kb3ducmV2LnhtbE2Py07DMBBF90j8gzVI7KgdlwYIcSoEQqBugIIqunPjIQnE&#10;dmo7bfl7hhXs5nF050w5P9ie7TDEzjsF2UQAQ1d707lGwdvr/dklsJi0M7r3DhV8Y4R5dXxU6sL4&#10;vXvB3TI1jEJcLLSCNqWh4DzWLVodJ35AR7sPH6xO1IaGm6D3FG57LoXIudWdowutHvC2xfprOVoF&#10;q9Xjw6K5+xyfsgy34X39vF2PN0qdnmTiGljCQ/qD4Vef1KEip40fnYmsVzCVs3NCFcjZBRVETGUu&#10;gW1ociVy4FXJ//9Q/QBQSwMEFAAAAAgAh07iQCjTpsQGAgAA2wMAAA4AAABkcnMvZTJvRG9jLnht&#10;bK1TzY7TMBC+I/EOlu80aSXYEjXdQ8vCAUEl4AFcx0ks+U8z3qZ9CV4AiRNwgj3tnaeB5TEYO6XA&#10;ctkDOVgznsw3830zXpzvrWE7Bai9q/l0UnKmnPSNdl3N37y+eDDnDKNwjTDeqZofFPLz5f17iyFU&#10;auZ7bxoFjEAcVkOoeR9jqIoCZa+swIkPylGw9WBFJBe6ogExELo1xawsHxWDhyaAlwqRbtdjkB8R&#10;4S6Avm21VGsvL61ycUQFZUQkStjrgHyZu21bJePLtkUVmak5MY35pCJkb9NZLBei6kCEXstjC+Iu&#10;LdziZIV2VPQEtRZRsEvQ/0BZLcGjb+NEeluMRLIixGJa3tLmVS+CylxIagwn0fH/wcoXuw0w3dT8&#10;7DFnTlia+M276+9vP95cffn24frH1/fJ/vyJUZzEGgJWlLNyGzh6GDaQmO9bsKw1OjyjrcpaEDu2&#10;z1IfTlKrfWSSLh+WcxqBpMBsWs5neRDFCJLAAmB8qrxlyag5RhC66+PKO0cj9TAWELvnGKkNSvyV&#10;kJKdv9DG5MkaxwZqZ3ZWpmqC1rWlNSHTBqKMruNMmI7egYyQe0ZvdJPSExBCt10ZYDuRtid/SQMq&#10;99dvqfZaYD/+hwdMzrhZUWjzxDUsHgIJG0EL1xl1BDGOsJKgo4TJ2vrmkJXN9zTzXO24n2mp/vRz&#10;9u83uf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i00UNwAAAALAQAADwAAAAAAAAABACAAAAAi&#10;AAAAZHJzL2Rvd25yZXYueG1sUEsBAhQAFAAAAAgAh07iQCjTpsQGAgAA2wMAAA4AAAAAAAAAAQAg&#10;AAAAKwEAAGRycy9lMm9Eb2MueG1sUEsFBgAAAAAGAAYAWQEAAKMFAAAAAA==&#10;">
                      <v:fill on="f" focussize="0,0"/>
                      <v:stroke weight="1pt" color="#000000 [3213]" joinstyle="round" dashstyle="3 1" endarrow="block"/>
                      <v:imagedata o:title=""/>
                      <o:lock v:ext="edit" aspectratio="f"/>
                    </v:shape>
                  </w:pict>
                </mc:Fallback>
              </mc:AlternateContent>
            </w:r>
            <w:r>
              <w:rPr>
                <w:sz w:val="24"/>
              </w:rPr>
              <mc:AlternateContent>
                <mc:Choice Requires="wpc">
                  <w:drawing>
                    <wp:inline distT="0" distB="0" distL="114300" distR="114300">
                      <wp:extent cx="5116195" cy="1995805"/>
                      <wp:effectExtent l="0" t="0" r="0" b="0"/>
                      <wp:docPr id="37" name="画布 37"/>
                      <wp:cNvGraphicFramePr/>
                      <a:graphic xmlns:a="http://schemas.openxmlformats.org/drawingml/2006/main">
                        <a:graphicData uri="http://schemas.microsoft.com/office/word/2010/wordprocessingCanvas">
                          <wpc:wpc>
                            <wpc:bg/>
                            <wpc:whole/>
                          </wpc:wpc>
                        </a:graphicData>
                      </a:graphic>
                    </wp:inline>
                  </w:drawing>
                </mc:Choice>
                <mc:Fallback>
                  <w:pict>
                    <v:group id="_x0000_s1026" o:spid="_x0000_s1026" o:spt="203" style="height:157.15pt;width:402.85pt;" coordsize="5116195,1995805" editas="canvas" o:gfxdata="UEsDBAoAAAAAAIdO4kAAAAAAAAAAAAAAAAAEAAAAZHJzL1BLAwQUAAAACACHTuJAnZeVFdgAAAAF&#10;AQAADwAAAGRycy9kb3ducmV2LnhtbE2PT0vDQBDF74LfYRnBi7S7sf4pMZseCmIRoZjWnrfZMQlm&#10;Z9PsNqnf3qkXvQw83uO932SLk2vFgH1oPGlIpgoEUultQ5WG7eZ5MgcRoiFrWk+o4RsDLPLLi8yk&#10;1o/0jkMRK8ElFFKjoY6xS6UMZY3OhKnvkNj79L0zkWVfSdubkctdK2+VepDONMQLtelwWWP5VRyd&#10;hrFcD7vN24tc3+xWng6rw7L4eNX6+ipRTyAinuJfGM74jA45M+39kWwQrQZ+JP5e9ubq/hHEXsMs&#10;uZuBzDP5nz7/AVBLAwQUAAAACACHTuJARoMY2XsBAAARAwAADgAAAGRycy9lMm9Eb2MueG1snVJL&#10;TsMwEN0jcQfLe+oE1EKjJt0U2EEl4ADGsRNL8Udjl5Q1V+AwSJwHcQ0mSamqdkHFxvbM2G/ee+PZ&#10;fG0a8iIhaGdzmo4SSqQVrtS2yunT483ZFSUhclvyxlmZ01cZ6Lw4PZm1PpPnrnZNKYEgiA1Z63Na&#10;x+gzxoKopeFh5Ly0WFQODI8YQsVK4C2im4adJ8mEtQ5KD07IEDC7GIp0gwjHADqltJALJ1ZG2jig&#10;gmx4REmh1j7QomerlBTxXqkgI2lyikpjv2ITPD93KytmPKuA+1qLDQV+DIU9TYZri023UAseOVmB&#10;PoAyWoALTsWRcIYNQnpHUEWa7HlzC27ley1V1lZ+azoOas/1f8OKu5clEF3m9OKSEssNTvz7/fPr&#10;441gAt1pfZXhpVvwD34Jm0Q1RJ3gtQLT7SiFrHtfX7e+ynUkApPjNJ2k0zElAmvpdDq+SsaD86LG&#10;8Ry8E/X1Hy/Zb2PW8dvS6SN0qpjhhc1Uu1Hsxnje/cnF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wDAABbQ29udGVudF9UeXBlc10ueG1sUEsB&#10;AhQACgAAAAAAh07iQAAAAAAAAAAAAAAAAAYAAAAAAAAAAAAQAAAAzgIAAF9yZWxzL1BLAQIUABQA&#10;AAAIAIdO4kCKFGY80QAAAJQBAAALAAAAAAAAAAEAIAAAAPICAABfcmVscy8ucmVsc1BLAQIUAAoA&#10;AAAAAIdO4kAAAAAAAAAAAAAAAAAEAAAAAAAAAAAAEAAAAAAAAABkcnMvUEsBAhQAFAAAAAgAh07i&#10;QJ2XlRXYAAAABQEAAA8AAAAAAAAAAQAgAAAAIgAAAGRycy9kb3ducmV2LnhtbFBLAQIUABQAAAAI&#10;AIdO4kBGgxjZewEAABEDAAAOAAAAAAAAAAEAIAAAACcBAABkcnMvZTJvRG9jLnhtbFBLBQYAAAAA&#10;BgAGAFkBAAAUBQAAAAA=&#10;">
                      <o:lock v:ext="edit" aspectratio="f"/>
                      <v:shape id="_x0000_s1026" o:spid="_x0000_s1026" style="position:absolute;left:0;top:0;height:1995805;width:5116195;" filled="f" stroked="f" coordsize="21600,21600" o:gfxdata="UEsDBAoAAAAAAIdO4kAAAAAAAAAAAAAAAAAEAAAAZHJzL1BLAwQUAAAACACHTuJAnZeVFdgAAAAF&#10;AQAADwAAAGRycy9kb3ducmV2LnhtbE2PT0vDQBDF74LfYRnBi7S7sf4pMZseCmIRoZjWnrfZMQlm&#10;Z9PsNqnf3qkXvQw83uO932SLk2vFgH1oPGlIpgoEUultQ5WG7eZ5MgcRoiFrWk+o4RsDLPLLi8yk&#10;1o/0jkMRK8ElFFKjoY6xS6UMZY3OhKnvkNj79L0zkWVfSdubkctdK2+VepDONMQLtelwWWP5VRyd&#10;hrFcD7vN24tc3+xWng6rw7L4eNX6+ipRTyAinuJfGM74jA45M+39kWwQrQZ+JP5e9ubq/hHEXsMs&#10;uZuBzDP5nz7/AVBLAwQUAAAACACHTuJAEWphaBYBAABWAgAADgAAAGRycy9lMm9Eb2MueG1srZI9&#10;bsMwDIX3Ar2Dob2Wk6EoDNsZYnTt0h6AkSlbgCQKkhK3ty9rp3/pkqEL8SgKH/koNbtXZ4sTxmTI&#10;t2JTVqJAr2gwfmzFy/Pj3YMoUgY/gCWPrXjDJHbd7U0zhxq3NJEdMBYM8ameQyumnEMtZVITOkgl&#10;BfRc1BQdZE7jKIcIM9OdlduqupczxSFEUpgSn/ZrUZyJ8RogaW0U9qSODn1eqREtZLaUJhOS6JZp&#10;tUaVn7ROmAvbCnaal8hNWB8+ouwaqMcIYTLqPAJcM8KFJwfGc9MvVA8ZimM0f1DOqEiJdC4VObka&#10;WTbCLjbVxW724E+wmlG8688BWf0j9zDyDhhZz/y0yFouSVCsfvn5mS+3vr9D9w5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HAwAAW0NvbnRlbnRf&#10;VHlwZXNdLnhtbFBLAQIUAAoAAAAAAIdO4kAAAAAAAAAAAAAAAAAGAAAAAAAAAAAAEAAAAGkCAABf&#10;cmVscy9QSwECFAAUAAAACACHTuJAihRmPNEAAACUAQAACwAAAAAAAAABACAAAACNAgAAX3JlbHMv&#10;LnJlbHNQSwECFAAKAAAAAACHTuJAAAAAAAAAAAAAAAAABAAAAAAAAAAAABAAAAAAAAAAZHJzL1BL&#10;AQIUABQAAAAIAIdO4kCdl5UV2AAAAAUBAAAPAAAAAAAAAAEAIAAAACIAAABkcnMvZG93bnJldi54&#10;bWxQSwECFAAUAAAACACHTuJAEWphaBYBAABWAgAADgAAAAAAAAABACAAAAAnAQAAZHJzL2Uyb0Rv&#10;Yy54bWxQSwUGAAAAAAYABgBZAQAArwQAAAAA&#10;">
                        <v:fill on="f" focussize="0,0"/>
                        <v:stroke on="f"/>
                        <v:imagedata o:title=""/>
                        <o:lock v:ext="edit" aspectratio="f"/>
                      </v:shape>
                      <w10:wrap type="none"/>
                      <w10:anchorlock/>
                    </v:group>
                  </w:pict>
                </mc:Fallback>
              </mc:AlternateContent>
            </w:r>
          </w:p>
          <w:p w14:paraId="382A5077">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cs="Times New Roman"/>
                <w:color w:val="auto"/>
                <w:sz w:val="24"/>
                <w:szCs w:val="24"/>
              </w:rPr>
            </w:pPr>
            <w:r>
              <w:rPr>
                <w:rFonts w:hint="default" w:ascii="Times New Roman" w:hAnsi="Times New Roman" w:eastAsia="宋体" w:cs="Times New Roman"/>
                <w:b/>
                <w:bCs/>
                <w:color w:val="auto"/>
                <w:sz w:val="21"/>
                <w:szCs w:val="21"/>
                <w:lang w:val="en-US" w:eastAsia="zh-CN"/>
              </w:rPr>
              <w:t>图</w:t>
            </w:r>
            <w:r>
              <w:rPr>
                <w:rFonts w:hint="eastAsia" w:ascii="Times New Roman" w:hAnsi="Times New Roman" w:eastAsia="宋体" w:cs="Times New Roman"/>
                <w:b/>
                <w:bCs/>
                <w:color w:val="auto"/>
                <w:sz w:val="21"/>
                <w:szCs w:val="21"/>
                <w:lang w:val="en-US" w:eastAsia="zh-CN"/>
              </w:rPr>
              <w:t>2-</w:t>
            </w:r>
            <w:r>
              <w:rPr>
                <w:rFonts w:hint="eastAsia" w:cs="Times New Roman"/>
                <w:b/>
                <w:bCs/>
                <w:color w:val="auto"/>
                <w:sz w:val="21"/>
                <w:szCs w:val="21"/>
                <w:lang w:val="en-US" w:eastAsia="zh-CN"/>
              </w:rPr>
              <w:t>7</w:t>
            </w:r>
            <w:r>
              <w:rPr>
                <w:rFonts w:hint="default" w:ascii="Times New Roman" w:hAnsi="Times New Roman" w:eastAsia="宋体" w:cs="Times New Roman"/>
                <w:b/>
                <w:bCs/>
                <w:color w:val="auto"/>
                <w:sz w:val="21"/>
                <w:szCs w:val="21"/>
                <w:lang w:val="en-US" w:eastAsia="zh-CN"/>
              </w:rPr>
              <w:t xml:space="preserve">  </w:t>
            </w:r>
            <w:r>
              <w:rPr>
                <w:rFonts w:hint="eastAsia" w:cs="Times New Roman"/>
                <w:b/>
                <w:bCs/>
                <w:color w:val="auto"/>
                <w:sz w:val="21"/>
                <w:szCs w:val="21"/>
                <w:lang w:val="en-US" w:eastAsia="zh-CN"/>
              </w:rPr>
              <w:t>工程</w:t>
            </w:r>
            <w:r>
              <w:rPr>
                <w:rFonts w:hint="eastAsia" w:ascii="Times New Roman" w:hAnsi="Times New Roman" w:eastAsia="宋体" w:cs="Times New Roman"/>
                <w:b/>
                <w:bCs/>
                <w:color w:val="auto"/>
                <w:sz w:val="21"/>
                <w:szCs w:val="21"/>
                <w:lang w:val="en-US" w:eastAsia="zh-CN"/>
              </w:rPr>
              <w:t>施工工艺流程及产污</w:t>
            </w:r>
            <w:r>
              <w:rPr>
                <w:rFonts w:hint="default" w:ascii="Times New Roman" w:hAnsi="Times New Roman" w:eastAsia="宋体" w:cs="Times New Roman"/>
                <w:b/>
                <w:bCs/>
                <w:color w:val="auto"/>
                <w:sz w:val="21"/>
                <w:szCs w:val="21"/>
                <w:lang w:val="en-US" w:eastAsia="zh-CN"/>
              </w:rPr>
              <w:t>环节图</w:t>
            </w:r>
          </w:p>
          <w:p w14:paraId="4B68B834">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2" w:leftChars="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2、产污环节</w:t>
            </w:r>
          </w:p>
          <w:p w14:paraId="06A55246">
            <w:pPr>
              <w:pStyle w:val="27"/>
              <w:numPr>
                <w:ilvl w:val="0"/>
                <w:numId w:val="0"/>
              </w:numPr>
              <w:spacing w:line="360" w:lineRule="auto"/>
              <w:ind w:firstLine="480" w:firstLineChars="20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项目施工期的污染因子主要为：</w:t>
            </w:r>
          </w:p>
          <w:p w14:paraId="6A6311A8">
            <w:pPr>
              <w:pStyle w:val="27"/>
              <w:numPr>
                <w:ilvl w:val="0"/>
                <w:numId w:val="0"/>
              </w:numPr>
              <w:ind w:firstLine="480" w:firstLineChars="20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废水：生活污水、施工废水；</w:t>
            </w:r>
          </w:p>
          <w:p w14:paraId="03A5F59D">
            <w:pPr>
              <w:pStyle w:val="27"/>
              <w:numPr>
                <w:ilvl w:val="0"/>
                <w:numId w:val="0"/>
              </w:numPr>
              <w:ind w:firstLine="480" w:firstLineChars="20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废气：清基、开挖和填筑过程中的施工扬尘、</w:t>
            </w:r>
            <w:r>
              <w:rPr>
                <w:rFonts w:hint="eastAsia" w:cs="宋体"/>
                <w:color w:val="auto"/>
                <w:lang w:val="en-US" w:eastAsia="zh-CN"/>
              </w:rPr>
              <w:t>建筑材料堆放扬尘、</w:t>
            </w:r>
            <w:r>
              <w:rPr>
                <w:rFonts w:hint="eastAsia" w:ascii="Times New Roman" w:hAnsi="Times New Roman" w:eastAsia="宋体" w:cs="宋体"/>
                <w:color w:val="auto"/>
                <w:lang w:val="en-US" w:eastAsia="zh-CN"/>
              </w:rPr>
              <w:t>运输车辆道路扬尘</w:t>
            </w:r>
            <w:r>
              <w:rPr>
                <w:rFonts w:hint="eastAsia" w:cs="宋体"/>
                <w:color w:val="auto"/>
                <w:lang w:val="en-US" w:eastAsia="zh-CN"/>
              </w:rPr>
              <w:t>以及</w:t>
            </w:r>
            <w:r>
              <w:rPr>
                <w:rFonts w:hint="eastAsia" w:ascii="Times New Roman" w:hAnsi="Times New Roman" w:eastAsia="宋体" w:cs="宋体"/>
                <w:color w:val="auto"/>
                <w:lang w:val="en-US" w:eastAsia="zh-CN"/>
              </w:rPr>
              <w:t>施工机械燃油尾气；</w:t>
            </w:r>
          </w:p>
          <w:p w14:paraId="3F364CD9">
            <w:pPr>
              <w:pStyle w:val="27"/>
              <w:numPr>
                <w:ilvl w:val="0"/>
                <w:numId w:val="0"/>
              </w:numPr>
              <w:ind w:firstLine="480" w:firstLineChars="20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噪声：施工噪声、设备运行噪声、运输车辆噪声；</w:t>
            </w:r>
          </w:p>
          <w:p w14:paraId="7040F770">
            <w:pPr>
              <w:pStyle w:val="27"/>
              <w:numPr>
                <w:ilvl w:val="0"/>
                <w:numId w:val="0"/>
              </w:numPr>
              <w:ind w:firstLine="480" w:firstLineChars="20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固体废物：生活垃圾</w:t>
            </w:r>
            <w:r>
              <w:rPr>
                <w:rFonts w:hint="eastAsia" w:cs="宋体"/>
                <w:color w:val="auto"/>
                <w:lang w:val="en-US" w:eastAsia="zh-CN"/>
              </w:rPr>
              <w:t>、工程弃料等建筑垃圾、桩基施工泥渣</w:t>
            </w:r>
            <w:r>
              <w:rPr>
                <w:rFonts w:hint="eastAsia" w:ascii="Times New Roman" w:hAnsi="Times New Roman" w:eastAsia="宋体" w:cs="宋体"/>
                <w:color w:val="auto"/>
                <w:lang w:val="en-US" w:eastAsia="zh-CN"/>
              </w:rPr>
              <w:t>；</w:t>
            </w:r>
          </w:p>
          <w:p w14:paraId="57094D06">
            <w:pPr>
              <w:pStyle w:val="27"/>
              <w:numPr>
                <w:ilvl w:val="0"/>
                <w:numId w:val="0"/>
              </w:numPr>
              <w:ind w:firstLine="480" w:firstLineChars="20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生态影响：工程占地、植被破坏、水土流失等。</w:t>
            </w:r>
          </w:p>
          <w:p w14:paraId="52339B8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2" w:leftChars="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3、施工</w:t>
            </w:r>
            <w:r>
              <w:rPr>
                <w:rFonts w:hint="eastAsia" w:cs="Times New Roman"/>
                <w:b/>
                <w:bCs/>
                <w:color w:val="auto"/>
                <w:sz w:val="24"/>
                <w:szCs w:val="24"/>
                <w:lang w:val="en-US" w:eastAsia="zh-CN"/>
              </w:rPr>
              <w:t>工期</w:t>
            </w:r>
          </w:p>
          <w:p w14:paraId="792E43DD">
            <w:pPr>
              <w:pStyle w:val="27"/>
              <w:numPr>
                <w:ilvl w:val="0"/>
                <w:numId w:val="0"/>
              </w:numPr>
              <w:ind w:firstLine="480" w:firstLineChars="200"/>
              <w:rPr>
                <w:color w:val="auto"/>
              </w:rPr>
            </w:pPr>
            <w:r>
              <w:rPr>
                <w:rFonts w:hint="eastAsia" w:ascii="Times New Roman" w:hAnsi="Times New Roman" w:eastAsia="宋体" w:cs="宋体"/>
                <w:color w:val="auto"/>
                <w:lang w:val="en-US" w:eastAsia="zh-CN"/>
              </w:rPr>
              <w:t>本项目施工总工期为</w:t>
            </w:r>
            <w:r>
              <w:rPr>
                <w:rFonts w:hint="eastAsia" w:cs="宋体"/>
                <w:color w:val="auto"/>
                <w:lang w:val="en-US" w:eastAsia="zh-CN"/>
              </w:rPr>
              <w:t>4</w:t>
            </w:r>
            <w:r>
              <w:rPr>
                <w:rFonts w:hint="eastAsia" w:ascii="Times New Roman" w:hAnsi="Times New Roman" w:eastAsia="宋体" w:cs="宋体"/>
                <w:color w:val="auto"/>
                <w:lang w:val="en-US" w:eastAsia="zh-CN"/>
              </w:rPr>
              <w:t>个月，其中工程准备期</w:t>
            </w:r>
            <w:r>
              <w:rPr>
                <w:rFonts w:hint="eastAsia" w:cs="宋体"/>
                <w:color w:val="auto"/>
                <w:lang w:val="en-US" w:eastAsia="zh-CN"/>
              </w:rPr>
              <w:t>1</w:t>
            </w:r>
            <w:r>
              <w:rPr>
                <w:rFonts w:hint="eastAsia" w:ascii="Times New Roman" w:hAnsi="Times New Roman" w:eastAsia="宋体" w:cs="宋体"/>
                <w:color w:val="auto"/>
                <w:lang w:val="en-US" w:eastAsia="zh-CN"/>
              </w:rPr>
              <w:t>个月，主体工程工期为</w:t>
            </w:r>
            <w:r>
              <w:rPr>
                <w:rFonts w:hint="eastAsia" w:cs="宋体"/>
                <w:color w:val="auto"/>
                <w:lang w:val="en-US" w:eastAsia="zh-CN"/>
              </w:rPr>
              <w:t>3</w:t>
            </w:r>
            <w:r>
              <w:rPr>
                <w:rFonts w:hint="eastAsia" w:ascii="Times New Roman" w:hAnsi="Times New Roman" w:eastAsia="宋体" w:cs="宋体"/>
                <w:color w:val="auto"/>
                <w:lang w:val="en-US" w:eastAsia="zh-CN"/>
              </w:rPr>
              <w:t>个月，</w:t>
            </w:r>
            <w:r>
              <w:rPr>
                <w:rFonts w:hint="eastAsia" w:cs="宋体"/>
                <w:color w:val="auto"/>
                <w:lang w:val="en-US" w:eastAsia="zh-CN"/>
              </w:rPr>
              <w:t>全部安排在非汛期进行</w:t>
            </w:r>
            <w:r>
              <w:rPr>
                <w:rFonts w:hint="eastAsia" w:ascii="Times New Roman" w:hAnsi="Times New Roman" w:eastAsia="宋体" w:cs="宋体"/>
                <w:color w:val="auto"/>
                <w:lang w:val="en-US" w:eastAsia="zh-CN"/>
              </w:rPr>
              <w:t>。</w:t>
            </w:r>
          </w:p>
        </w:tc>
      </w:tr>
      <w:tr w14:paraId="16D277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400" w:type="pct"/>
            <w:noWrap w:val="0"/>
            <w:vAlign w:val="center"/>
          </w:tcPr>
          <w:p w14:paraId="35431DC8">
            <w:pPr>
              <w:pStyle w:val="18"/>
              <w:adjustRightInd w:val="0"/>
              <w:snapToGrid w:val="0"/>
              <w:spacing w:before="0" w:beforeAutospacing="0" w:after="0" w:afterAutospacing="0"/>
              <w:jc w:val="center"/>
              <w:rPr>
                <w:rFonts w:hint="default" w:cs="宋体"/>
                <w:color w:val="auto"/>
                <w:szCs w:val="24"/>
                <w:lang w:val="en-US" w:eastAsia="zh-CN"/>
              </w:rPr>
            </w:pPr>
            <w:r>
              <w:rPr>
                <w:rFonts w:hint="eastAsia" w:cs="宋体"/>
                <w:color w:val="auto"/>
                <w:szCs w:val="24"/>
                <w:lang w:val="en-US" w:eastAsia="zh-CN"/>
              </w:rPr>
              <w:t>其他</w:t>
            </w:r>
          </w:p>
        </w:tc>
        <w:tc>
          <w:tcPr>
            <w:tcW w:w="4599" w:type="pct"/>
            <w:noWrap w:val="0"/>
            <w:vAlign w:val="center"/>
          </w:tcPr>
          <w:p w14:paraId="587EF990">
            <w:pPr>
              <w:pStyle w:val="17"/>
              <w:jc w:val="center"/>
              <w:rPr>
                <w:color w:val="auto"/>
              </w:rPr>
            </w:pPr>
            <w:r>
              <w:rPr>
                <w:rFonts w:hint="eastAsia" w:ascii="宋体" w:hAnsi="宋体" w:eastAsia="宋体" w:cs="宋体"/>
                <w:b w:val="0"/>
                <w:bCs w:val="0"/>
                <w:color w:val="auto"/>
                <w:kern w:val="0"/>
                <w:sz w:val="24"/>
                <w:szCs w:val="24"/>
                <w:lang w:val="en-US" w:eastAsia="zh-CN" w:bidi="ar"/>
              </w:rPr>
              <w:t>无</w:t>
            </w:r>
          </w:p>
        </w:tc>
      </w:tr>
    </w:tbl>
    <w:p w14:paraId="67B9FAB2">
      <w:pPr>
        <w:pStyle w:val="18"/>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010C492">
      <w:pPr>
        <w:pStyle w:val="18"/>
        <w:adjustRightInd w:val="0"/>
        <w:snapToGrid w:val="0"/>
        <w:spacing w:before="0" w:beforeAutospacing="0" w:after="0" w:afterAutospacing="0" w:line="14" w:lineRule="auto"/>
        <w:jc w:val="center"/>
        <w:rPr>
          <w:rFonts w:hint="eastAsia" w:ascii="黑体" w:hAnsi="黑体" w:eastAsia="黑体"/>
          <w:snapToGrid w:val="0"/>
          <w:color w:val="auto"/>
          <w:sz w:val="30"/>
          <w:szCs w:val="30"/>
        </w:rPr>
      </w:pPr>
    </w:p>
    <w:p w14:paraId="6F8B86D1">
      <w:pPr>
        <w:pStyle w:val="18"/>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三、</w:t>
      </w:r>
      <w:r>
        <w:rPr>
          <w:rFonts w:hint="eastAsia" w:ascii="黑体" w:hAnsi="黑体" w:eastAsia="黑体"/>
          <w:snapToGrid w:val="0"/>
          <w:color w:val="auto"/>
          <w:sz w:val="30"/>
          <w:szCs w:val="30"/>
          <w:lang w:val="en-US" w:eastAsia="zh-CN"/>
        </w:rPr>
        <w:t>生态</w:t>
      </w:r>
      <w:r>
        <w:rPr>
          <w:rFonts w:hint="eastAsia" w:ascii="黑体" w:hAnsi="黑体" w:eastAsia="黑体"/>
          <w:snapToGrid w:val="0"/>
          <w:color w:val="auto"/>
          <w:sz w:val="30"/>
          <w:szCs w:val="30"/>
        </w:rPr>
        <w:t>环境现状、保护目标及评价标准</w:t>
      </w:r>
    </w:p>
    <w:tbl>
      <w:tblPr>
        <w:tblStyle w:val="19"/>
        <w:tblW w:w="90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253"/>
      </w:tblGrid>
      <w:tr w14:paraId="3CFAA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noWrap w:val="0"/>
            <w:vAlign w:val="center"/>
          </w:tcPr>
          <w:p w14:paraId="5EEEE266">
            <w:pPr>
              <w:adjustRightInd w:val="0"/>
              <w:snapToGrid w:val="0"/>
              <w:jc w:val="center"/>
              <w:rPr>
                <w:rFonts w:hint="default" w:ascii="宋体" w:hAnsi="宋体" w:eastAsia="宋体" w:cs="宋体"/>
                <w:color w:val="auto"/>
                <w:kern w:val="0"/>
                <w:szCs w:val="21"/>
                <w:lang w:val="en-US" w:eastAsia="zh-CN"/>
              </w:rPr>
            </w:pPr>
            <w:r>
              <w:rPr>
                <w:rFonts w:hint="eastAsia" w:ascii="宋体" w:hAnsi="宋体" w:cs="宋体"/>
                <w:color w:val="auto"/>
                <w:kern w:val="0"/>
                <w:sz w:val="24"/>
                <w:lang w:val="en-US" w:eastAsia="zh-CN"/>
              </w:rPr>
              <w:t>生态环境现状</w:t>
            </w:r>
          </w:p>
        </w:tc>
        <w:tc>
          <w:tcPr>
            <w:tcW w:w="8253" w:type="dxa"/>
            <w:noWrap w:val="0"/>
            <w:vAlign w:val="center"/>
          </w:tcPr>
          <w:p w14:paraId="2667325C">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主体功能区规划</w:t>
            </w:r>
          </w:p>
          <w:p w14:paraId="78BB7702">
            <w:pPr>
              <w:pStyle w:val="10"/>
              <w:adjustRightInd w:val="0"/>
              <w:snapToGrid w:val="0"/>
              <w:spacing w:after="0" w:line="360" w:lineRule="auto"/>
              <w:ind w:left="0" w:leftChars="0" w:firstLine="476"/>
              <w:jc w:val="left"/>
              <w:rPr>
                <w:rFonts w:hint="default" w:ascii="Times New Roman" w:hAnsi="Times New Roman" w:eastAsia="宋体" w:cs="Times New Roman"/>
                <w:color w:val="auto"/>
                <w:sz w:val="24"/>
                <w:lang w:val="en-US" w:eastAsia="zh-CN" w:bidi="ar"/>
              </w:rPr>
            </w:pPr>
            <w:r>
              <w:rPr>
                <w:rFonts w:hint="eastAsia" w:ascii="Times New Roman" w:hAnsi="Times New Roman" w:eastAsia="宋体" w:cs="Times New Roman"/>
                <w:color w:val="auto"/>
                <w:kern w:val="0"/>
                <w:sz w:val="24"/>
                <w:szCs w:val="24"/>
                <w:lang w:val="en-US" w:eastAsia="zh-CN" w:bidi="ar"/>
              </w:rPr>
              <w:t>根据《陕西省人民政府关于印发陕西省主体功能区规划的通知》（陕政发</w:t>
            </w:r>
            <w:r>
              <w:rPr>
                <w:rFonts w:hint="eastAsia" w:ascii="Times New Roman" w:hAnsi="Times New Roman" w:eastAsia="宋体" w:cs="Times New Roman"/>
                <w:i w:val="0"/>
                <w:caps w:val="0"/>
                <w:color w:val="auto"/>
                <w:spacing w:val="0"/>
                <w:kern w:val="0"/>
                <w:sz w:val="24"/>
                <w:szCs w:val="24"/>
                <w:highlight w:val="none"/>
                <w:shd w:val="clear" w:color="auto" w:fill="FFFFFF"/>
                <w:lang w:val="en-US" w:eastAsia="zh-CN" w:bidi="ar-SA"/>
              </w:rPr>
              <w:t>〔2013〕15号</w:t>
            </w:r>
            <w:r>
              <w:rPr>
                <w:rFonts w:hint="eastAsia" w:ascii="Times New Roman" w:hAnsi="Times New Roman" w:eastAsia="宋体" w:cs="Times New Roman"/>
                <w:color w:val="auto"/>
                <w:kern w:val="0"/>
                <w:sz w:val="24"/>
                <w:szCs w:val="24"/>
                <w:lang w:val="en-US" w:eastAsia="zh-CN" w:bidi="ar"/>
              </w:rPr>
              <w:t>）及《陕西省主体功能区规划》，</w:t>
            </w:r>
            <w:r>
              <w:rPr>
                <w:rFonts w:hint="eastAsia" w:ascii="Times New Roman" w:hAnsi="Times New Roman" w:eastAsia="宋体" w:cs="Times New Roman"/>
                <w:color w:val="auto"/>
                <w:sz w:val="24"/>
                <w:lang w:bidi="ar"/>
              </w:rPr>
              <w:t>项目</w:t>
            </w:r>
            <w:r>
              <w:rPr>
                <w:rFonts w:hint="eastAsia" w:cs="Times New Roman"/>
                <w:color w:val="auto"/>
                <w:sz w:val="24"/>
                <w:lang w:val="en-US" w:eastAsia="zh-CN" w:bidi="ar"/>
              </w:rPr>
              <w:t>建设</w:t>
            </w:r>
            <w:r>
              <w:rPr>
                <w:rFonts w:hint="eastAsia" w:ascii="Times New Roman" w:hAnsi="Times New Roman" w:eastAsia="宋体" w:cs="Times New Roman"/>
                <w:color w:val="auto"/>
                <w:sz w:val="24"/>
                <w:lang w:bidi="ar"/>
              </w:rPr>
              <w:t>区属</w:t>
            </w:r>
            <w:r>
              <w:rPr>
                <w:rFonts w:hint="eastAsia" w:ascii="Times New Roman" w:hAnsi="Times New Roman" w:eastAsia="宋体" w:cs="Times New Roman"/>
                <w:color w:val="auto"/>
                <w:sz w:val="24"/>
                <w:lang w:eastAsia="zh-CN" w:bidi="ar"/>
              </w:rPr>
              <w:t>“</w:t>
            </w:r>
            <w:r>
              <w:rPr>
                <w:rFonts w:hint="eastAsia" w:cs="Times New Roman"/>
                <w:color w:val="auto"/>
                <w:sz w:val="24"/>
                <w:lang w:val="en-US" w:eastAsia="zh-CN" w:bidi="ar"/>
              </w:rPr>
              <w:t>国家</w:t>
            </w:r>
            <w:r>
              <w:rPr>
                <w:rFonts w:hint="eastAsia" w:ascii="Times New Roman" w:hAnsi="Times New Roman" w:eastAsia="宋体" w:cs="Times New Roman"/>
                <w:color w:val="auto"/>
                <w:sz w:val="24"/>
                <w:lang w:bidi="ar"/>
              </w:rPr>
              <w:t>层面</w:t>
            </w:r>
            <w:r>
              <w:rPr>
                <w:rFonts w:hint="eastAsia" w:cs="Times New Roman"/>
                <w:color w:val="auto"/>
                <w:sz w:val="24"/>
                <w:lang w:val="en-US" w:eastAsia="zh-CN" w:bidi="ar"/>
              </w:rPr>
              <w:t>限制</w:t>
            </w:r>
            <w:r>
              <w:rPr>
                <w:rFonts w:hint="eastAsia" w:ascii="Times New Roman" w:hAnsi="Times New Roman" w:eastAsia="宋体" w:cs="Times New Roman"/>
                <w:color w:val="auto"/>
                <w:sz w:val="24"/>
                <w:lang w:eastAsia="zh-CN" w:bidi="ar"/>
              </w:rPr>
              <w:t>开发区域</w:t>
            </w:r>
            <w:r>
              <w:rPr>
                <w:rFonts w:hint="eastAsia" w:cs="Times New Roman"/>
                <w:color w:val="auto"/>
                <w:sz w:val="24"/>
                <w:lang w:eastAsia="zh-CN" w:bidi="ar"/>
              </w:rPr>
              <w:t>（</w:t>
            </w:r>
            <w:r>
              <w:rPr>
                <w:rFonts w:hint="eastAsia" w:cs="Times New Roman"/>
                <w:color w:val="auto"/>
                <w:sz w:val="24"/>
                <w:lang w:val="en-US" w:eastAsia="zh-CN" w:bidi="ar"/>
              </w:rPr>
              <w:t>重点生态功能区</w:t>
            </w:r>
            <w:r>
              <w:rPr>
                <w:rFonts w:hint="eastAsia" w:cs="Times New Roman"/>
                <w:color w:val="auto"/>
                <w:sz w:val="24"/>
                <w:lang w:eastAsia="zh-CN" w:bidi="ar"/>
              </w:rPr>
              <w:t>）</w:t>
            </w:r>
            <w:r>
              <w:rPr>
                <w:rFonts w:hint="eastAsia" w:ascii="Times New Roman" w:hAnsi="Times New Roman" w:eastAsia="宋体" w:cs="Times New Roman"/>
                <w:color w:val="auto"/>
                <w:sz w:val="24"/>
                <w:lang w:eastAsia="zh-CN" w:bidi="ar"/>
              </w:rPr>
              <w:t>”</w:t>
            </w:r>
            <w:r>
              <w:rPr>
                <w:rFonts w:hint="eastAsia" w:ascii="Times New Roman" w:hAnsi="Times New Roman" w:eastAsia="宋体" w:cs="Times New Roman"/>
                <w:color w:val="auto"/>
                <w:sz w:val="24"/>
                <w:lang w:val="en-US" w:eastAsia="zh-CN" w:bidi="ar"/>
              </w:rPr>
              <w:t>（附图</w:t>
            </w:r>
            <w:r>
              <w:rPr>
                <w:rFonts w:hint="eastAsia" w:cs="Times New Roman"/>
                <w:color w:val="auto"/>
                <w:sz w:val="24"/>
                <w:lang w:val="en-US" w:eastAsia="zh-CN" w:bidi="ar"/>
              </w:rPr>
              <w:t>9</w:t>
            </w:r>
            <w:r>
              <w:rPr>
                <w:rFonts w:hint="eastAsia" w:ascii="Times New Roman" w:hAnsi="Times New Roman" w:eastAsia="宋体" w:cs="Times New Roman"/>
                <w:color w:val="auto"/>
                <w:sz w:val="24"/>
                <w:lang w:val="en-US" w:eastAsia="zh-CN" w:bidi="ar"/>
              </w:rPr>
              <w:t>）</w:t>
            </w:r>
            <w:r>
              <w:rPr>
                <w:rFonts w:hint="eastAsia" w:ascii="Times New Roman" w:hAnsi="Times New Roman" w:eastAsia="宋体" w:cs="Times New Roman"/>
                <w:color w:val="auto"/>
                <w:sz w:val="24"/>
                <w:lang w:bidi="ar"/>
              </w:rPr>
              <w:t>，该区的功能定位：</w:t>
            </w:r>
            <w:r>
              <w:rPr>
                <w:rFonts w:hint="eastAsia" w:cs="Times New Roman"/>
                <w:color w:val="auto"/>
                <w:sz w:val="24"/>
                <w:lang w:val="en-US" w:eastAsia="zh-CN" w:bidi="ar"/>
              </w:rPr>
              <w:t>保障国家和地方生态安全的重要区域，人与自然和谐相处的示范区。</w:t>
            </w:r>
          </w:p>
          <w:p w14:paraId="03D772A5">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eastAsia="zh-CN" w:bidi="ar"/>
              </w:rPr>
            </w:pPr>
            <w:r>
              <w:rPr>
                <w:rFonts w:hint="eastAsia" w:ascii="Times New Roman" w:hAnsi="Times New Roman" w:eastAsia="宋体" w:cs="Times New Roman"/>
                <w:color w:val="auto"/>
                <w:sz w:val="24"/>
                <w:lang w:eastAsia="zh-CN" w:bidi="ar"/>
              </w:rPr>
              <w:t>保护和发展方向为</w:t>
            </w:r>
            <w:r>
              <w:rPr>
                <w:rFonts w:hint="eastAsia" w:cs="Times New Roman"/>
                <w:color w:val="auto"/>
                <w:sz w:val="24"/>
                <w:lang w:eastAsia="zh-CN" w:bidi="ar"/>
              </w:rPr>
              <w:t>：</w:t>
            </w:r>
          </w:p>
          <w:p w14:paraId="25790AF8">
            <w:pPr>
              <w:pStyle w:val="10"/>
              <w:adjustRightInd w:val="0"/>
              <w:snapToGrid w:val="0"/>
              <w:spacing w:after="0" w:line="360" w:lineRule="auto"/>
              <w:ind w:left="0" w:leftChars="0" w:firstLine="476"/>
              <w:jc w:val="left"/>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限制开发的重点生态功能区要以修复生态、保护环境、提供生态产品为首要任务</w:t>
            </w:r>
            <w:r>
              <w:rPr>
                <w:rFonts w:hint="eastAsia"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因地制宜发展不影响主体功能定位的适宜产业</w:t>
            </w:r>
            <w:r>
              <w:rPr>
                <w:rFonts w:hint="eastAsia"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引导超载人口逐步有序转移。</w:t>
            </w:r>
          </w:p>
          <w:p w14:paraId="01B4120A">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bidi="ar"/>
              </w:rPr>
            </w:pPr>
            <w:r>
              <w:rPr>
                <w:rFonts w:hint="eastAsia" w:ascii="Times New Roman" w:hAnsi="Times New Roman" w:eastAsia="宋体" w:cs="Times New Roman"/>
                <w:color w:val="auto"/>
                <w:sz w:val="24"/>
                <w:lang w:bidi="ar"/>
              </w:rPr>
              <w:t>——提升生态服务功能。扩大天然林面积</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修复区域植被</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提</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高森林覆盖率</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增加森林蓄积量</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恢复和增加野生动植物物种</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加大湿地保护力度</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维护生物多样性</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加强流域治理</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控制水土流失</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稳定主要河流径流量</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保障水质安全。增强生态系统服务功能</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提高生态产品供给能力。</w:t>
            </w:r>
          </w:p>
          <w:p w14:paraId="26BF5042">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bidi="ar"/>
              </w:rPr>
            </w:pPr>
            <w:r>
              <w:rPr>
                <w:rFonts w:hint="eastAsia" w:ascii="Times New Roman" w:hAnsi="Times New Roman" w:eastAsia="宋体" w:cs="Times New Roman"/>
                <w:color w:val="auto"/>
                <w:sz w:val="24"/>
                <w:lang w:bidi="ar"/>
              </w:rPr>
              <w:t>——发展环境友好型产业。在不损害生态系统功能的前提下</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因地制宜地发展旅游、农林牧产品生产和加工、休闲农业等产业</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积极发展服务业。按照园区化承载、循环式发展的原则</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适度发展装备制造、优势资源开发和深加工等产业</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根据不同地区的情况</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保持一定的经济增长速度和财政自给能力。</w:t>
            </w:r>
          </w:p>
          <w:p w14:paraId="029B3E34">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bidi="ar"/>
              </w:rPr>
            </w:pPr>
            <w:r>
              <w:rPr>
                <w:rFonts w:hint="eastAsia" w:ascii="Times New Roman" w:hAnsi="Times New Roman" w:eastAsia="宋体" w:cs="Times New Roman"/>
                <w:color w:val="auto"/>
                <w:sz w:val="24"/>
                <w:lang w:bidi="ar"/>
              </w:rPr>
              <w:t>——有序引导人口转移转化。建立健全土地流转、人口流动的体制机制</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加强县城和重点镇的道路、供排水、污水垃圾处理等基础设施建设</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逐步引导区内超载人口向生存环境和生活条件较好的城镇区域转移转化</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减轻人口承载压力。</w:t>
            </w:r>
          </w:p>
          <w:p w14:paraId="2A848253">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eastAsia="zh-CN" w:bidi="ar"/>
              </w:rPr>
            </w:pPr>
            <w:r>
              <w:rPr>
                <w:rFonts w:hint="eastAsia" w:ascii="Times New Roman" w:hAnsi="Times New Roman" w:eastAsia="宋体" w:cs="Times New Roman"/>
                <w:color w:val="auto"/>
                <w:sz w:val="24"/>
                <w:lang w:bidi="ar"/>
              </w:rPr>
              <w:t>——显著提高公共服务水平。加大均衡性财政转移支付力度</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大幅提高人均受教育程度</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安全饮水人口比例和公共卫生服务水平。在有条件的地区积极推广沼气、风能、太阳能等清洁能源</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建设一批节能环保的生态社区。城乡居民收入水平不断提高</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差距逐步缩小</w:t>
            </w:r>
            <w:r>
              <w:rPr>
                <w:rFonts w:hint="eastAsia" w:cs="Times New Roman"/>
                <w:color w:val="auto"/>
                <w:sz w:val="24"/>
                <w:lang w:eastAsia="zh-CN" w:bidi="ar"/>
              </w:rPr>
              <w:t>，</w:t>
            </w:r>
            <w:r>
              <w:rPr>
                <w:rFonts w:hint="eastAsia" w:ascii="Times New Roman" w:hAnsi="Times New Roman" w:eastAsia="宋体" w:cs="Times New Roman"/>
                <w:color w:val="auto"/>
                <w:sz w:val="24"/>
                <w:lang w:bidi="ar"/>
              </w:rPr>
              <w:t>绝对贫困现象基本消除。</w:t>
            </w:r>
          </w:p>
          <w:p w14:paraId="1A46234B">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val="en-US" w:eastAsia="zh-CN" w:bidi="ar"/>
              </w:rPr>
            </w:pPr>
            <w:r>
              <w:rPr>
                <w:rFonts w:hint="eastAsia" w:ascii="Times New Roman" w:hAnsi="Times New Roman" w:eastAsia="宋体" w:cs="Times New Roman"/>
                <w:color w:val="auto"/>
                <w:sz w:val="24"/>
                <w:lang w:val="en-US" w:eastAsia="zh-CN" w:bidi="ar"/>
              </w:rPr>
              <w:t>本工程为阳安线上行K155+746汉江3号桥基础冲刷病害整治工程，工程的建设可</w:t>
            </w:r>
            <w:r>
              <w:rPr>
                <w:rFonts w:hint="eastAsia" w:cs="Times New Roman"/>
                <w:color w:val="auto"/>
                <w:sz w:val="24"/>
                <w:lang w:val="en-US" w:eastAsia="zh-CN" w:bidi="ar"/>
              </w:rPr>
              <w:t>使</w:t>
            </w:r>
            <w:r>
              <w:rPr>
                <w:rFonts w:hint="eastAsia" w:ascii="Times New Roman" w:hAnsi="Times New Roman" w:eastAsia="宋体" w:cs="Times New Roman"/>
                <w:color w:val="auto"/>
                <w:sz w:val="24"/>
                <w:lang w:val="en-US" w:eastAsia="zh-CN" w:bidi="ar"/>
              </w:rPr>
              <w:t>3~7、11~20号桥墩</w:t>
            </w:r>
            <w:r>
              <w:rPr>
                <w:rFonts w:hint="eastAsia" w:cs="Times New Roman"/>
                <w:color w:val="auto"/>
                <w:sz w:val="24"/>
                <w:lang w:val="en-US" w:eastAsia="zh-CN" w:bidi="ar"/>
              </w:rPr>
              <w:t>满足相关要求</w:t>
            </w:r>
            <w:r>
              <w:rPr>
                <w:rFonts w:hint="eastAsia" w:ascii="Times New Roman" w:hAnsi="Times New Roman" w:eastAsia="宋体" w:cs="Times New Roman"/>
                <w:color w:val="auto"/>
                <w:sz w:val="24"/>
                <w:lang w:val="en-US" w:eastAsia="zh-CN" w:bidi="ar"/>
              </w:rPr>
              <w:t>，契合《陕西省主体功能区规划》中的保护与发展方向。</w:t>
            </w:r>
          </w:p>
          <w:p w14:paraId="49B3B1BA">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leftChars="200"/>
              <w:textAlignment w:val="auto"/>
              <w:rPr>
                <w:rFonts w:hint="default"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2、生态功能区划</w:t>
            </w:r>
          </w:p>
          <w:p w14:paraId="1B31B2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lang w:val="en-US" w:eastAsia="zh-CN"/>
              </w:rPr>
            </w:pPr>
            <w:r>
              <w:rPr>
                <w:rFonts w:hint="eastAsia" w:ascii="Times New Roman" w:hAnsi="Times New Roman" w:eastAsia="宋体" w:cs="Times New Roman"/>
                <w:color w:val="auto"/>
                <w:kern w:val="0"/>
                <w:sz w:val="24"/>
                <w:szCs w:val="24"/>
                <w:lang w:val="en-US" w:eastAsia="zh-CN" w:bidi="ar"/>
              </w:rPr>
              <w:t>根据《陕西省人民政府办公厅关于印发陕西省生态功能区划的通知》（陕政办发〔2004〕115号），</w:t>
            </w:r>
            <w:r>
              <w:rPr>
                <w:rFonts w:hint="default" w:ascii="Times New Roman" w:hAnsi="Times New Roman" w:eastAsia="宋体" w:cs="Times New Roman"/>
                <w:color w:val="auto"/>
                <w:kern w:val="0"/>
                <w:sz w:val="24"/>
                <w:szCs w:val="24"/>
                <w:lang w:val="en-US" w:eastAsia="zh-CN" w:bidi="ar"/>
              </w:rPr>
              <w:t>本</w:t>
            </w:r>
            <w:r>
              <w:rPr>
                <w:rFonts w:hint="eastAsia" w:ascii="Times New Roman" w:hAnsi="Times New Roman" w:eastAsia="宋体" w:cs="Times New Roman"/>
                <w:color w:val="auto"/>
                <w:kern w:val="0"/>
                <w:sz w:val="24"/>
                <w:szCs w:val="24"/>
                <w:lang w:val="en-US" w:eastAsia="zh-CN" w:bidi="ar"/>
              </w:rPr>
              <w:t>工程建设区域属于“</w:t>
            </w:r>
            <w:r>
              <w:rPr>
                <w:rFonts w:hint="eastAsia" w:ascii="Times New Roman" w:hAnsi="Times New Roman" w:eastAsia="宋体" w:cs="Times New Roman"/>
                <w:color w:val="auto"/>
                <w:sz w:val="24"/>
                <w:lang w:bidi="ar"/>
              </w:rPr>
              <w:t>秦巴山地落叶阔叶、常绿阔叶混交林生态区</w:t>
            </w:r>
            <w:r>
              <w:rPr>
                <w:rFonts w:hint="eastAsia"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汉江两岸丘陵盆地农业生态亚区</w:t>
            </w:r>
            <w:r>
              <w:rPr>
                <w:rFonts w:hint="eastAsia"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汉中盆地城镇及农业区</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本工程在陕西省生态功能区划图中的位置见附图</w:t>
            </w:r>
            <w:r>
              <w:rPr>
                <w:rFonts w:hint="eastAsia" w:cs="Times New Roman"/>
                <w:color w:val="auto"/>
                <w:kern w:val="0"/>
                <w:sz w:val="24"/>
                <w:szCs w:val="24"/>
                <w:highlight w:val="none"/>
                <w:lang w:val="en-US" w:eastAsia="zh-CN" w:bidi="ar"/>
              </w:rPr>
              <w:t>8</w:t>
            </w:r>
            <w:r>
              <w:rPr>
                <w:rFonts w:hint="eastAsia" w:ascii="Times New Roman" w:hAnsi="Times New Roman" w:eastAsia="宋体" w:cs="Times New Roman"/>
                <w:color w:val="auto"/>
                <w:kern w:val="0"/>
                <w:sz w:val="24"/>
                <w:szCs w:val="24"/>
                <w:highlight w:val="none"/>
                <w:lang w:val="en-US" w:eastAsia="zh-CN" w:bidi="ar"/>
              </w:rPr>
              <w:t>。</w:t>
            </w:r>
          </w:p>
          <w:p w14:paraId="207F29F7">
            <w:pPr>
              <w:pStyle w:val="17"/>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leftChars="0" w:firstLine="480" w:firstLineChars="200"/>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eastAsia="宋体" w:cs="Times New Roman"/>
                <w:color w:val="auto"/>
                <w:kern w:val="0"/>
                <w:sz w:val="24"/>
                <w:szCs w:val="24"/>
                <w:lang w:val="en-US" w:eastAsia="zh-CN" w:bidi="ar"/>
              </w:rPr>
              <w:t>本</w:t>
            </w:r>
            <w:r>
              <w:rPr>
                <w:rFonts w:hint="eastAsia" w:cs="Times New Roman"/>
                <w:color w:val="auto"/>
                <w:kern w:val="0"/>
                <w:sz w:val="24"/>
                <w:szCs w:val="24"/>
                <w:lang w:val="en-US" w:eastAsia="zh-CN" w:bidi="ar"/>
              </w:rPr>
              <w:t>工程为阳安线上行K155+746汉江3号桥基础冲刷病害整治工程</w:t>
            </w:r>
            <w:r>
              <w:rPr>
                <w:rFonts w:hint="eastAsia"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工程建设可增强桥墩的抗冲刷能力，符合生态功能区划</w:t>
            </w:r>
            <w:r>
              <w:rPr>
                <w:rFonts w:hint="default" w:ascii="Times New Roman" w:hAnsi="Times New Roman" w:eastAsia="宋体" w:cs="Times New Roman"/>
                <w:color w:val="auto"/>
                <w:kern w:val="0"/>
                <w:sz w:val="24"/>
                <w:szCs w:val="24"/>
                <w:lang w:val="en-US" w:eastAsia="zh-CN" w:bidi="ar"/>
              </w:rPr>
              <w:t>。</w:t>
            </w:r>
          </w:p>
          <w:p w14:paraId="6D414BD7">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leftChars="200"/>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生态环境现状调查</w:t>
            </w:r>
          </w:p>
          <w:p w14:paraId="66FD7C1C">
            <w:pPr>
              <w:pStyle w:val="17"/>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w:t>
            </w:r>
            <w:r>
              <w:rPr>
                <w:rFonts w:hint="eastAsia"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val="en-US" w:eastAsia="zh-CN"/>
              </w:rPr>
              <w:t>）土地利用现状</w:t>
            </w:r>
          </w:p>
          <w:p w14:paraId="640AB2B2">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项目影响区域土地利用以农业用地</w:t>
            </w:r>
            <w:r>
              <w:rPr>
                <w:rFonts w:hint="eastAsia" w:cs="Times New Roman"/>
                <w:b w:val="0"/>
                <w:bCs w:val="0"/>
                <w:color w:val="auto"/>
                <w:sz w:val="24"/>
                <w:szCs w:val="24"/>
                <w:highlight w:val="none"/>
                <w:lang w:val="en-US" w:eastAsia="zh-CN"/>
              </w:rPr>
              <w:t>、河流水系</w:t>
            </w:r>
            <w:r>
              <w:rPr>
                <w:rFonts w:hint="default" w:ascii="Times New Roman" w:hAnsi="Times New Roman" w:eastAsia="宋体" w:cs="Times New Roman"/>
                <w:b w:val="0"/>
                <w:bCs w:val="0"/>
                <w:color w:val="auto"/>
                <w:sz w:val="24"/>
                <w:szCs w:val="24"/>
                <w:highlight w:val="none"/>
                <w:lang w:val="en-US" w:eastAsia="zh-CN"/>
              </w:rPr>
              <w:t>和建设用地为主：农业用地以旱作耕地为主，种植玉米、</w:t>
            </w:r>
            <w:r>
              <w:rPr>
                <w:rFonts w:hint="eastAsia" w:cs="Times New Roman"/>
                <w:b w:val="0"/>
                <w:bCs w:val="0"/>
                <w:color w:val="auto"/>
                <w:sz w:val="24"/>
                <w:szCs w:val="24"/>
                <w:highlight w:val="none"/>
                <w:lang w:val="en-US" w:eastAsia="zh-CN"/>
              </w:rPr>
              <w:t>小麦</w:t>
            </w:r>
            <w:r>
              <w:rPr>
                <w:rFonts w:hint="default" w:ascii="Times New Roman" w:hAnsi="Times New Roman" w:eastAsia="宋体" w:cs="Times New Roman"/>
                <w:b w:val="0"/>
                <w:bCs w:val="0"/>
                <w:color w:val="auto"/>
                <w:sz w:val="24"/>
                <w:szCs w:val="24"/>
                <w:highlight w:val="none"/>
                <w:lang w:val="en-US" w:eastAsia="zh-CN"/>
              </w:rPr>
              <w:t>等耐旱作物；村庄、道路及少量生产设施，呈点状或线状分布，占比相对较小。</w:t>
            </w:r>
          </w:p>
          <w:p w14:paraId="7DE17EFE">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2</w:t>
            </w:r>
            <w:r>
              <w:rPr>
                <w:rFonts w:hint="eastAsia" w:ascii="Times New Roman" w:hAnsi="Times New Roman" w:eastAsia="宋体" w:cs="Times New Roman"/>
                <w:b w:val="0"/>
                <w:bCs w:val="0"/>
                <w:color w:val="auto"/>
                <w:sz w:val="24"/>
                <w:szCs w:val="24"/>
                <w:highlight w:val="none"/>
                <w:lang w:val="en-US" w:eastAsia="zh-CN"/>
              </w:rPr>
              <w:t>）植被</w:t>
            </w:r>
            <w:r>
              <w:rPr>
                <w:rFonts w:hint="eastAsia" w:cs="Times New Roman"/>
                <w:b w:val="0"/>
                <w:bCs w:val="0"/>
                <w:color w:val="auto"/>
                <w:sz w:val="24"/>
                <w:szCs w:val="24"/>
                <w:highlight w:val="none"/>
                <w:lang w:val="en-US" w:eastAsia="zh-CN"/>
              </w:rPr>
              <w:t>资源</w:t>
            </w:r>
          </w:p>
          <w:p w14:paraId="2044C0D5">
            <w:pPr>
              <w:pStyle w:val="10"/>
              <w:adjustRightInd w:val="0"/>
              <w:snapToGrid w:val="0"/>
              <w:spacing w:after="0" w:line="360" w:lineRule="auto"/>
              <w:ind w:left="0" w:leftChars="0" w:firstLine="476"/>
              <w:jc w:val="left"/>
              <w:rPr>
                <w:rFonts w:hint="eastAsia" w:ascii="Times New Roman" w:hAnsi="Times New Roman" w:eastAsia="宋体" w:cs="Times New Roman"/>
                <w:color w:val="auto"/>
                <w:sz w:val="24"/>
                <w:lang w:val="en-US" w:eastAsia="zh-CN" w:bidi="ar"/>
              </w:rPr>
            </w:pPr>
            <w:r>
              <w:rPr>
                <w:rFonts w:hint="eastAsia" w:ascii="Times New Roman" w:hAnsi="Times New Roman" w:eastAsia="宋体" w:cs="Times New Roman"/>
                <w:color w:val="auto"/>
                <w:sz w:val="24"/>
                <w:lang w:val="en-US" w:eastAsia="zh-CN" w:bidi="ar"/>
              </w:rPr>
              <w:t>根据现场踏勘调查，本项目范围内乔木种类主要有油松、白杨、刺槐及阔杂类等；灌木有</w:t>
            </w:r>
            <w:r>
              <w:rPr>
                <w:color w:val="000000"/>
                <w:sz w:val="24"/>
              </w:rPr>
              <w:t>小叶女贞、胡颓子、</w:t>
            </w:r>
            <w:bookmarkStart w:id="2" w:name="OLE_LINK6"/>
            <w:r>
              <w:rPr>
                <w:color w:val="000000"/>
                <w:sz w:val="24"/>
              </w:rPr>
              <w:t>冻绿</w:t>
            </w:r>
            <w:bookmarkEnd w:id="2"/>
            <w:r>
              <w:rPr>
                <w:color w:val="000000"/>
                <w:sz w:val="24"/>
              </w:rPr>
              <w:t>等</w:t>
            </w:r>
            <w:r>
              <w:rPr>
                <w:rFonts w:hint="eastAsia" w:ascii="Times New Roman" w:hAnsi="Times New Roman" w:eastAsia="宋体" w:cs="Times New Roman"/>
                <w:color w:val="auto"/>
                <w:sz w:val="24"/>
                <w:lang w:val="en-US" w:eastAsia="zh-CN" w:bidi="ar"/>
              </w:rPr>
              <w:t>；经济树种有核桃、板栗等；草本植物主要有</w:t>
            </w:r>
            <w:r>
              <w:rPr>
                <w:color w:val="000000"/>
                <w:sz w:val="24"/>
              </w:rPr>
              <w:t>大油芒、蕨、牡蒿、铁杆蒿、黄菅草、白茅、野菊、野艾蒿、野老鹳等。</w:t>
            </w:r>
            <w:r>
              <w:rPr>
                <w:rFonts w:hint="eastAsia" w:ascii="Times New Roman" w:hAnsi="Times New Roman" w:eastAsia="宋体" w:cs="Times New Roman"/>
                <w:color w:val="auto"/>
                <w:sz w:val="24"/>
                <w:lang w:val="en-US" w:eastAsia="zh-CN" w:bidi="ar"/>
              </w:rPr>
              <w:t>农作物有小麦、玉米、</w:t>
            </w:r>
            <w:r>
              <w:rPr>
                <w:rFonts w:hint="eastAsia" w:cs="Times New Roman"/>
                <w:color w:val="auto"/>
                <w:sz w:val="24"/>
                <w:lang w:val="en-US" w:eastAsia="zh-CN" w:bidi="ar"/>
              </w:rPr>
              <w:t>油菜</w:t>
            </w:r>
            <w:r>
              <w:rPr>
                <w:rFonts w:hint="eastAsia" w:ascii="Times New Roman" w:hAnsi="Times New Roman" w:eastAsia="宋体" w:cs="Times New Roman"/>
                <w:color w:val="auto"/>
                <w:sz w:val="24"/>
                <w:lang w:val="en-US" w:eastAsia="zh-CN" w:bidi="ar"/>
              </w:rPr>
              <w:t>等。</w:t>
            </w:r>
          </w:p>
          <w:p w14:paraId="458D7C88">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lang w:val="en-US" w:eastAsia="zh-CN"/>
              </w:rPr>
            </w:pPr>
            <w:r>
              <w:rPr>
                <w:rFonts w:hint="eastAsia" w:cs="Times New Roman"/>
                <w:b w:val="0"/>
                <w:bCs w:val="0"/>
                <w:color w:val="auto"/>
                <w:sz w:val="24"/>
                <w:szCs w:val="24"/>
                <w:highlight w:val="none"/>
                <w:lang w:val="en-US" w:eastAsia="zh-CN"/>
              </w:rPr>
              <w:t>（3）</w:t>
            </w:r>
            <w:r>
              <w:rPr>
                <w:rFonts w:hint="default" w:ascii="Times New Roman" w:hAnsi="Times New Roman" w:eastAsia="宋体" w:cs="Times New Roman"/>
                <w:color w:val="auto"/>
                <w:sz w:val="24"/>
                <w:szCs w:val="24"/>
                <w:lang w:val="en-US" w:eastAsia="zh-CN"/>
              </w:rPr>
              <w:t>野生动物</w:t>
            </w:r>
          </w:p>
          <w:p w14:paraId="261A5FF8">
            <w:pPr>
              <w:adjustRightInd w:val="0"/>
              <w:snapToGrid w:val="0"/>
              <w:spacing w:line="360" w:lineRule="auto"/>
              <w:ind w:firstLine="480" w:firstLineChars="200"/>
              <w:rPr>
                <w:color w:val="000000"/>
                <w:kern w:val="0"/>
                <w:sz w:val="24"/>
              </w:rPr>
            </w:pPr>
            <w:r>
              <w:rPr>
                <w:rFonts w:hint="eastAsia" w:eastAsia="宋体" w:cs="Times New Roman"/>
                <w:color w:val="auto"/>
                <w:sz w:val="24"/>
                <w:szCs w:val="24"/>
                <w:lang w:val="en-US" w:eastAsia="zh-CN"/>
              </w:rPr>
              <w:t>根据调查，工程所在区域人类活动比较频繁</w:t>
            </w:r>
            <w:r>
              <w:rPr>
                <w:rFonts w:hint="eastAsia" w:cs="Times New Roman"/>
                <w:color w:val="auto"/>
                <w:sz w:val="24"/>
                <w:szCs w:val="24"/>
                <w:lang w:val="en-US" w:eastAsia="zh-CN"/>
              </w:rPr>
              <w:t>，</w:t>
            </w:r>
            <w:r>
              <w:rPr>
                <w:rFonts w:hint="eastAsia" w:eastAsia="宋体" w:cs="Times New Roman"/>
                <w:color w:val="auto"/>
                <w:sz w:val="24"/>
                <w:szCs w:val="24"/>
                <w:lang w:val="en-US" w:eastAsia="zh-CN"/>
              </w:rPr>
              <w:t>大型陆生野生动物已不多见，</w:t>
            </w:r>
            <w:r>
              <w:rPr>
                <w:color w:val="000000"/>
                <w:kern w:val="0"/>
                <w:sz w:val="24"/>
              </w:rPr>
              <w:t>野生动物组成比较简单，种类较少，多为常见种类，物种组成以小型兽类和鸟类为主</w:t>
            </w:r>
            <w:r>
              <w:rPr>
                <w:rFonts w:hint="eastAsia"/>
                <w:color w:val="000000"/>
                <w:kern w:val="0"/>
                <w:sz w:val="24"/>
              </w:rPr>
              <w:t>；</w:t>
            </w:r>
            <w:r>
              <w:rPr>
                <w:color w:val="000000"/>
                <w:kern w:val="0"/>
                <w:sz w:val="24"/>
              </w:rPr>
              <w:t>兽类主要有黄鼬、狗獾、</w:t>
            </w:r>
            <w:r>
              <w:rPr>
                <w:rFonts w:hint="eastAsia"/>
                <w:color w:val="000000"/>
                <w:kern w:val="0"/>
                <w:sz w:val="24"/>
                <w:lang w:val="en-US" w:eastAsia="zh-CN"/>
              </w:rPr>
              <w:t>野</w:t>
            </w:r>
            <w:r>
              <w:rPr>
                <w:color w:val="000000"/>
                <w:kern w:val="0"/>
                <w:sz w:val="24"/>
              </w:rPr>
              <w:t>兔、花鼠、</w:t>
            </w:r>
            <w:r>
              <w:rPr>
                <w:rFonts w:hint="eastAsia"/>
                <w:color w:val="000000"/>
                <w:kern w:val="0"/>
                <w:sz w:val="24"/>
              </w:rPr>
              <w:t>达乌尔黄鼠</w:t>
            </w:r>
            <w:r>
              <w:rPr>
                <w:color w:val="000000"/>
                <w:kern w:val="0"/>
                <w:sz w:val="24"/>
              </w:rPr>
              <w:t>、大仓鼠、小家鼠等；禽类主要有啄木鸟、杜鹃、小沙百灵、红头长尾山雀、大山雀、棕头鸦雀等常见鸟类。</w:t>
            </w:r>
          </w:p>
          <w:p w14:paraId="25B8349B">
            <w:pPr>
              <w:adjustRightInd w:val="0"/>
              <w:spacing w:line="360" w:lineRule="auto"/>
              <w:ind w:firstLine="480" w:firstLineChars="200"/>
              <w:rPr>
                <w:rFonts w:hint="default" w:ascii="Times New Roman" w:hAnsi="Times New Roman" w:cs="Times New Roman"/>
                <w:color w:val="auto"/>
                <w:sz w:val="24"/>
                <w:lang w:val="en-US" w:eastAsia="zh-CN"/>
              </w:rPr>
            </w:pPr>
            <w:r>
              <w:rPr>
                <w:rFonts w:hint="eastAsia" w:cs="Times New Roman"/>
                <w:color w:val="auto"/>
                <w:sz w:val="24"/>
                <w:lang w:val="en-US" w:eastAsia="zh-CN"/>
              </w:rPr>
              <w:t>因工程区位于</w:t>
            </w:r>
            <w:r>
              <w:rPr>
                <w:rFonts w:hint="eastAsia" w:ascii="Times New Roman" w:hAnsi="Times New Roman" w:eastAsia="宋体" w:cs="Times New Roman"/>
                <w:color w:val="auto"/>
                <w:kern w:val="0"/>
                <w:sz w:val="24"/>
                <w:szCs w:val="24"/>
                <w:highlight w:val="none"/>
                <w:lang w:val="en-US" w:eastAsia="zh-CN" w:bidi="ar"/>
              </w:rPr>
              <w:t>陕西汉中朱鹮国家级自然保护区</w:t>
            </w:r>
            <w:r>
              <w:rPr>
                <w:rFonts w:hint="eastAsia" w:cs="Times New Roman"/>
                <w:color w:val="auto"/>
                <w:kern w:val="0"/>
                <w:sz w:val="24"/>
                <w:szCs w:val="24"/>
                <w:highlight w:val="none"/>
                <w:lang w:val="en-US" w:eastAsia="zh-CN" w:bidi="ar"/>
              </w:rPr>
              <w:t>实验区，因此项目区有朱鹮生活。</w:t>
            </w:r>
          </w:p>
          <w:p w14:paraId="74CC91C0">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）水生生态现状</w:t>
            </w:r>
          </w:p>
          <w:p w14:paraId="72509A17">
            <w:pPr>
              <w:keepNext w:val="0"/>
              <w:keepLines w:val="0"/>
              <w:pageBreakBefore w:val="0"/>
              <w:widowControl w:val="0"/>
              <w:kinsoku/>
              <w:wordWrap/>
              <w:overflowPunct w:val="0"/>
              <w:topLinePunct w:val="0"/>
              <w:autoSpaceDE/>
              <w:autoSpaceDN/>
              <w:bidi w:val="0"/>
              <w:adjustRightInd/>
              <w:snapToGrid/>
              <w:spacing w:line="360" w:lineRule="auto"/>
              <w:ind w:firstLine="476" w:firstLineChars="200"/>
              <w:contextualSpacing/>
              <w:textAlignment w:val="auto"/>
              <w:rPr>
                <w:rFonts w:hint="eastAsia" w:ascii="Times New Roman" w:hAnsi="Times New Roman" w:eastAsia="宋体" w:cs="Times New Roman"/>
                <w:color w:val="auto"/>
                <w:sz w:val="24"/>
                <w:szCs w:val="24"/>
                <w:lang w:val="en-US" w:eastAsia="zh-CN"/>
              </w:rPr>
            </w:pPr>
            <w:r>
              <w:rPr>
                <w:rFonts w:hint="eastAsia" w:ascii="宋体" w:hAnsi="宋体" w:eastAsia="宋体" w:cs="宋体"/>
                <w:spacing w:val="-1"/>
                <w:sz w:val="24"/>
                <w:szCs w:val="24"/>
                <w:lang w:val="en-US" w:eastAsia="zh-CN"/>
              </w:rPr>
              <w:t>参考</w:t>
            </w:r>
            <w:r>
              <w:rPr>
                <w:rFonts w:ascii="宋体" w:hAnsi="宋体" w:eastAsia="宋体" w:cs="宋体"/>
                <w:spacing w:val="-1"/>
                <w:sz w:val="24"/>
                <w:szCs w:val="24"/>
              </w:rPr>
              <w:t>《跨流域调水背景下汉江流域洋县</w:t>
            </w:r>
            <w:r>
              <w:rPr>
                <w:rFonts w:ascii="宋体" w:hAnsi="宋体" w:eastAsia="宋体" w:cs="宋体"/>
                <w:spacing w:val="-2"/>
                <w:sz w:val="24"/>
                <w:szCs w:val="24"/>
              </w:rPr>
              <w:t>段的鱼类多样性及资源现状》（赵阳，牛诚祎等，生物多样性</w:t>
            </w:r>
            <w:r>
              <w:rPr>
                <w:rFonts w:ascii="Times New Roman" w:hAnsi="Times New Roman" w:eastAsia="Times New Roman" w:cs="Times New Roman"/>
                <w:spacing w:val="-2"/>
                <w:sz w:val="24"/>
                <w:szCs w:val="24"/>
              </w:rPr>
              <w:t>2021</w:t>
            </w:r>
            <w:r>
              <w:rPr>
                <w:rFonts w:hint="eastAsia" w:ascii="Times New Roman" w:hAnsi="Times New Roman" w:eastAsia="宋体" w:cs="Times New Roman"/>
                <w:spacing w:val="-2"/>
                <w:sz w:val="24"/>
                <w:szCs w:val="24"/>
                <w:lang w:eastAsia="zh-CN"/>
              </w:rPr>
              <w:t>，</w:t>
            </w:r>
            <w:r>
              <w:rPr>
                <w:rFonts w:ascii="Times New Roman" w:hAnsi="Times New Roman" w:eastAsia="Times New Roman" w:cs="Times New Roman"/>
                <w:spacing w:val="-2"/>
                <w:sz w:val="24"/>
                <w:szCs w:val="24"/>
              </w:rPr>
              <w:t xml:space="preserve">29 </w:t>
            </w:r>
            <w:r>
              <w:rPr>
                <w:rFonts w:hint="eastAsia" w:ascii="Times New Roman" w:hAnsi="Times New Roman" w:eastAsia="宋体" w:cs="Times New Roman"/>
                <w:spacing w:val="-2"/>
                <w:sz w:val="24"/>
                <w:szCs w:val="24"/>
                <w:lang w:eastAsia="zh-CN"/>
              </w:rPr>
              <w:t>（</w:t>
            </w:r>
            <w:r>
              <w:rPr>
                <w:rFonts w:ascii="Times New Roman" w:hAnsi="Times New Roman" w:eastAsia="Times New Roman" w:cs="Times New Roman"/>
                <w:spacing w:val="-2"/>
                <w:sz w:val="24"/>
                <w:szCs w:val="24"/>
              </w:rPr>
              <w:t>3</w:t>
            </w:r>
            <w:r>
              <w:rPr>
                <w:rFonts w:hint="eastAsia" w:ascii="Times New Roman" w:hAnsi="Times New Roman" w:eastAsia="宋体" w:cs="Times New Roman"/>
                <w:spacing w:val="-2"/>
                <w:sz w:val="24"/>
                <w:szCs w:val="24"/>
                <w:lang w:eastAsia="zh-CN"/>
              </w:rPr>
              <w:t>）：</w:t>
            </w:r>
            <w:r>
              <w:rPr>
                <w:rFonts w:ascii="Times New Roman" w:hAnsi="Times New Roman" w:eastAsia="Times New Roman" w:cs="Times New Roman"/>
                <w:spacing w:val="-2"/>
                <w:sz w:val="24"/>
                <w:szCs w:val="24"/>
              </w:rPr>
              <w:t>361-37</w:t>
            </w:r>
            <w:r>
              <w:rPr>
                <w:rFonts w:ascii="Times New Roman" w:hAnsi="Times New Roman" w:eastAsia="Times New Roman" w:cs="Times New Roman"/>
                <w:spacing w:val="-3"/>
                <w:sz w:val="24"/>
                <w:szCs w:val="24"/>
              </w:rPr>
              <w:t>2</w:t>
            </w:r>
            <w:r>
              <w:rPr>
                <w:rFonts w:hint="eastAsia" w:ascii="Times New Roman" w:hAnsi="Times New Roman" w:eastAsia="宋体" w:cs="Times New Roman"/>
                <w:spacing w:val="-3"/>
                <w:sz w:val="24"/>
                <w:szCs w:val="24"/>
                <w:lang w:eastAsia="zh-CN"/>
              </w:rPr>
              <w:t>），</w:t>
            </w:r>
            <w:r>
              <w:rPr>
                <w:rFonts w:ascii="宋体" w:hAnsi="宋体" w:eastAsia="宋体" w:cs="宋体"/>
                <w:spacing w:val="-1"/>
                <w:sz w:val="24"/>
                <w:szCs w:val="24"/>
              </w:rPr>
              <w:t>汉江流域洋县</w:t>
            </w:r>
            <w:r>
              <w:rPr>
                <w:rFonts w:ascii="宋体" w:hAnsi="宋体" w:eastAsia="宋体" w:cs="宋体"/>
                <w:spacing w:val="-2"/>
                <w:sz w:val="24"/>
                <w:szCs w:val="24"/>
              </w:rPr>
              <w:t>段</w:t>
            </w:r>
            <w:r>
              <w:rPr>
                <w:rFonts w:hint="eastAsia" w:ascii="Times New Roman" w:hAnsi="Times New Roman" w:eastAsia="宋体" w:cs="Times New Roman"/>
                <w:spacing w:val="-3"/>
                <w:sz w:val="24"/>
                <w:szCs w:val="24"/>
                <w:lang w:eastAsia="zh-CN"/>
              </w:rPr>
              <w:t>鲤形目鱼类有3科37属52种，占总种数的68.42%；其次是鲇形目，为4科7属13种， 占总种数的17.11%；鲈形目为4科4属7种，占总种数的9.21%；鲑形目为1科2属2种，占总种数的2.63%；合鰓鱼目和鳗鲡目均为1科1属1种，各占总 种数的1.32%。科级水平上表现出了较高的多样性，共有14科，其中鲤科占主体部分，共44个种，占土 著鱼类总种数的57.89%；其次是鲿科，共9个种，占 总种数的11.84%；花鳅科共6个种，占总种数的7.89%；虾虎鱼科共3个种，占总种数的3.95%；条 鳅科、鲇科、鲑科和脂鲈科均有2个种，各占总种数 的2.63%；钝头鮠科、鮡科、合鳃鱼科、沙塘鳢科、鳢科和鳗科均有1个种，各占总种数的1.32%。</w:t>
            </w:r>
          </w:p>
          <w:p w14:paraId="4A042A70">
            <w:pPr>
              <w:adjustRightInd w:val="0"/>
              <w:spacing w:line="360" w:lineRule="auto"/>
              <w:ind w:firstLine="456" w:firstLineChars="200"/>
              <w:rPr>
                <w:rFonts w:hint="default" w:ascii="Times New Roman" w:hAnsi="Times New Roman" w:eastAsia="宋体" w:cs="Times New Roman"/>
                <w:i w:val="0"/>
                <w:iCs w:val="0"/>
                <w:color w:val="auto"/>
                <w:sz w:val="24"/>
                <w:lang w:eastAsia="zh-CN"/>
              </w:rPr>
            </w:pPr>
            <w:r>
              <w:rPr>
                <w:rFonts w:hint="default" w:ascii="Times New Roman" w:hAnsi="Times New Roman" w:cs="Times New Roman"/>
                <w:i w:val="0"/>
                <w:iCs w:val="0"/>
                <w:color w:val="auto"/>
                <w:spacing w:val="-6"/>
                <w:sz w:val="24"/>
              </w:rPr>
              <w:t>河道内浮游植物包括硅藻、蓝藻</w:t>
            </w:r>
            <w:r>
              <w:rPr>
                <w:rFonts w:hint="eastAsia" w:ascii="Times New Roman" w:hAnsi="Times New Roman" w:cs="Times New Roman"/>
                <w:i w:val="0"/>
                <w:iCs w:val="0"/>
                <w:color w:val="auto"/>
                <w:spacing w:val="-6"/>
                <w:sz w:val="24"/>
                <w:lang w:val="en-US" w:eastAsia="zh-CN"/>
              </w:rPr>
              <w:t>等</w:t>
            </w:r>
            <w:r>
              <w:rPr>
                <w:rFonts w:hint="eastAsia" w:cs="Times New Roman"/>
                <w:i w:val="0"/>
                <w:iCs w:val="0"/>
                <w:color w:val="auto"/>
                <w:spacing w:val="-6"/>
                <w:sz w:val="24"/>
                <w:lang w:val="en-US" w:eastAsia="zh-CN"/>
              </w:rPr>
              <w:t>、绿藻等</w:t>
            </w:r>
            <w:r>
              <w:rPr>
                <w:rFonts w:hint="eastAsia" w:cs="Times New Roman"/>
                <w:i w:val="0"/>
                <w:iCs w:val="0"/>
                <w:color w:val="auto"/>
                <w:spacing w:val="-6"/>
                <w:sz w:val="24"/>
                <w:lang w:eastAsia="zh-CN"/>
              </w:rPr>
              <w:t>，</w:t>
            </w:r>
            <w:r>
              <w:rPr>
                <w:rFonts w:hint="default" w:ascii="Times New Roman" w:hAnsi="Times New Roman" w:cs="Times New Roman"/>
                <w:i w:val="0"/>
                <w:iCs w:val="0"/>
                <w:color w:val="auto"/>
                <w:spacing w:val="-6"/>
                <w:sz w:val="24"/>
                <w:lang w:eastAsia="zh-CN"/>
              </w:rPr>
              <w:t>浮游动物种类较多，以轮虫动物为主</w:t>
            </w:r>
            <w:r>
              <w:rPr>
                <w:rFonts w:hint="eastAsia" w:cs="Times New Roman"/>
                <w:i w:val="0"/>
                <w:iCs w:val="0"/>
                <w:color w:val="auto"/>
                <w:spacing w:val="-6"/>
                <w:sz w:val="24"/>
                <w:lang w:eastAsia="zh-CN"/>
              </w:rPr>
              <w:t>，</w:t>
            </w:r>
            <w:r>
              <w:rPr>
                <w:rFonts w:hint="default" w:ascii="Times New Roman" w:hAnsi="Times New Roman" w:cs="Times New Roman"/>
                <w:i w:val="0"/>
                <w:iCs w:val="0"/>
                <w:color w:val="auto"/>
                <w:spacing w:val="-6"/>
                <w:sz w:val="24"/>
                <w:lang w:eastAsia="zh-CN"/>
              </w:rPr>
              <w:t>鱼类中</w:t>
            </w:r>
            <w:r>
              <w:rPr>
                <w:rFonts w:ascii="宋体" w:hAnsi="宋体" w:eastAsia="宋体" w:cs="宋体"/>
                <w:color w:val="auto"/>
                <w:spacing w:val="-3"/>
                <w:sz w:val="24"/>
                <w:szCs w:val="24"/>
              </w:rPr>
              <w:t>常见的鱼类有拉氏大吻鱥、宽鳍鱲、中华沙鳅、棒花鱼等</w:t>
            </w:r>
            <w:r>
              <w:rPr>
                <w:rFonts w:hint="default" w:ascii="Times New Roman" w:hAnsi="Times New Roman" w:cs="Times New Roman"/>
                <w:i w:val="0"/>
                <w:iCs w:val="0"/>
                <w:color w:val="auto"/>
                <w:spacing w:val="-6"/>
                <w:sz w:val="24"/>
                <w:lang w:eastAsia="zh-CN"/>
              </w:rPr>
              <w:t>。</w:t>
            </w:r>
          </w:p>
          <w:p w14:paraId="09ED8382">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根据现场调查，本工程所在</w:t>
            </w:r>
            <w:r>
              <w:rPr>
                <w:rFonts w:hint="eastAsia" w:cs="Times New Roman"/>
                <w:b w:val="0"/>
                <w:bCs w:val="0"/>
                <w:color w:val="auto"/>
                <w:sz w:val="24"/>
                <w:szCs w:val="24"/>
                <w:highlight w:val="none"/>
                <w:lang w:val="en-US" w:eastAsia="zh-CN"/>
              </w:rPr>
              <w:t>区</w:t>
            </w:r>
            <w:r>
              <w:rPr>
                <w:rFonts w:hint="eastAsia" w:ascii="Times New Roman" w:hAnsi="Times New Roman" w:eastAsia="宋体" w:cs="Times New Roman"/>
                <w:b w:val="0"/>
                <w:bCs w:val="0"/>
                <w:color w:val="auto"/>
                <w:sz w:val="24"/>
                <w:szCs w:val="24"/>
                <w:highlight w:val="none"/>
                <w:lang w:val="en-US" w:eastAsia="zh-CN"/>
              </w:rPr>
              <w:t>域无鱼类“三场”分布，未发现国家及陕西省</w:t>
            </w:r>
            <w:r>
              <w:rPr>
                <w:rFonts w:hint="eastAsia" w:cs="Times New Roman"/>
                <w:b w:val="0"/>
                <w:bCs w:val="0"/>
                <w:color w:val="auto"/>
                <w:sz w:val="24"/>
                <w:szCs w:val="24"/>
                <w:highlight w:val="none"/>
                <w:lang w:val="en-US" w:eastAsia="zh-CN"/>
              </w:rPr>
              <w:t>重点保护水生野生动物</w:t>
            </w:r>
            <w:r>
              <w:rPr>
                <w:rFonts w:hint="eastAsia" w:ascii="Times New Roman" w:hAnsi="Times New Roman" w:eastAsia="宋体" w:cs="Times New Roman"/>
                <w:b w:val="0"/>
                <w:bCs w:val="0"/>
                <w:color w:val="auto"/>
                <w:sz w:val="24"/>
                <w:szCs w:val="24"/>
                <w:highlight w:val="none"/>
                <w:lang w:val="en-US" w:eastAsia="zh-CN"/>
              </w:rPr>
              <w:t>。</w:t>
            </w:r>
          </w:p>
          <w:p w14:paraId="4D14FC9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b/>
                <w:bCs/>
                <w:color w:val="auto"/>
                <w:kern w:val="2"/>
                <w:sz w:val="24"/>
                <w:szCs w:val="24"/>
                <w:lang w:val="en-US" w:eastAsia="zh-CN" w:bidi="ar-SA"/>
              </w:rPr>
            </w:pPr>
            <w:r>
              <w:rPr>
                <w:rFonts w:hint="eastAsia" w:cs="Times New Roman"/>
                <w:b/>
                <w:bCs/>
                <w:color w:val="auto"/>
                <w:sz w:val="24"/>
                <w:szCs w:val="24"/>
                <w:lang w:val="en-US" w:eastAsia="zh-CN"/>
              </w:rPr>
              <w:t>4</w:t>
            </w:r>
            <w:r>
              <w:rPr>
                <w:rFonts w:hint="eastAsia" w:ascii="Times New Roman" w:hAnsi="Times New Roman" w:eastAsia="宋体" w:cs="Times New Roman"/>
                <w:b/>
                <w:bCs/>
                <w:color w:val="auto"/>
                <w:kern w:val="2"/>
                <w:sz w:val="24"/>
                <w:szCs w:val="24"/>
                <w:lang w:val="en-US" w:eastAsia="zh-CN" w:bidi="ar-SA"/>
              </w:rPr>
              <w:t>、陕西汉江湿地省级自然保护区</w:t>
            </w:r>
          </w:p>
          <w:p w14:paraId="3C60E340">
            <w:pPr>
              <w:keepNext w:val="0"/>
              <w:keepLines w:val="0"/>
              <w:pageBreakBefore w:val="0"/>
              <w:widowControl w:val="0"/>
              <w:kinsoku/>
              <w:wordWrap/>
              <w:overflowPunct/>
              <w:topLinePunct w:val="0"/>
              <w:autoSpaceDE/>
              <w:autoSpaceDN/>
              <w:bidi w:val="0"/>
              <w:adjustRightInd/>
              <w:snapToGrid/>
              <w:spacing w:line="360" w:lineRule="auto"/>
              <w:ind w:left="0" w:right="0" w:firstLine="497"/>
              <w:jc w:val="both"/>
              <w:textAlignment w:val="auto"/>
              <w:rPr>
                <w:rFonts w:ascii="宋体" w:hAnsi="宋体" w:eastAsia="宋体" w:cs="宋体"/>
                <w:sz w:val="24"/>
                <w:szCs w:val="24"/>
              </w:rPr>
            </w:pPr>
            <w:r>
              <w:rPr>
                <w:rFonts w:ascii="宋体" w:hAnsi="宋体" w:eastAsia="宋体" w:cs="宋体"/>
                <w:spacing w:val="-4"/>
                <w:sz w:val="24"/>
                <w:szCs w:val="24"/>
              </w:rPr>
              <w:t>陕西汉江湿地省级自然保护区于</w:t>
            </w:r>
            <w:r>
              <w:rPr>
                <w:rFonts w:ascii="Times New Roman" w:hAnsi="Times New Roman" w:eastAsia="Times New Roman" w:cs="Times New Roman"/>
                <w:spacing w:val="-4"/>
                <w:sz w:val="24"/>
                <w:szCs w:val="24"/>
              </w:rPr>
              <w:t>2009</w:t>
            </w:r>
            <w:r>
              <w:rPr>
                <w:rFonts w:ascii="宋体" w:hAnsi="宋体" w:eastAsia="宋体" w:cs="宋体"/>
                <w:spacing w:val="-4"/>
                <w:sz w:val="24"/>
                <w:szCs w:val="24"/>
              </w:rPr>
              <w:t>年</w:t>
            </w:r>
            <w:r>
              <w:rPr>
                <w:rFonts w:ascii="Times New Roman" w:hAnsi="Times New Roman" w:eastAsia="Times New Roman" w:cs="Times New Roman"/>
                <w:spacing w:val="-4"/>
                <w:sz w:val="24"/>
                <w:szCs w:val="24"/>
              </w:rPr>
              <w:t>12</w:t>
            </w:r>
            <w:r>
              <w:rPr>
                <w:rFonts w:ascii="宋体" w:hAnsi="宋体" w:eastAsia="宋体" w:cs="宋体"/>
                <w:spacing w:val="-4"/>
                <w:sz w:val="24"/>
                <w:szCs w:val="24"/>
              </w:rPr>
              <w:t>月</w:t>
            </w:r>
            <w:r>
              <w:rPr>
                <w:rFonts w:ascii="Times New Roman" w:hAnsi="Times New Roman" w:eastAsia="Times New Roman" w:cs="Times New Roman"/>
                <w:spacing w:val="-4"/>
                <w:sz w:val="24"/>
                <w:szCs w:val="24"/>
              </w:rPr>
              <w:t>16</w:t>
            </w:r>
            <w:r>
              <w:rPr>
                <w:rFonts w:ascii="宋体" w:hAnsi="宋体" w:eastAsia="宋体" w:cs="宋体"/>
                <w:spacing w:val="-4"/>
                <w:sz w:val="24"/>
                <w:szCs w:val="24"/>
              </w:rPr>
              <w:t>日由陕西省人民政府批复设立。</w:t>
            </w:r>
            <w:r>
              <w:rPr>
                <w:rFonts w:ascii="Times New Roman" w:hAnsi="Times New Roman" w:eastAsia="Times New Roman" w:cs="Times New Roman"/>
                <w:spacing w:val="-4"/>
                <w:sz w:val="24"/>
                <w:szCs w:val="24"/>
              </w:rPr>
              <w:t>2020</w:t>
            </w:r>
            <w:r>
              <w:rPr>
                <w:rFonts w:ascii="宋体" w:hAnsi="宋体" w:eastAsia="宋体" w:cs="宋体"/>
                <w:spacing w:val="-4"/>
                <w:sz w:val="24"/>
                <w:szCs w:val="24"/>
              </w:rPr>
              <w:t>年</w:t>
            </w:r>
            <w:r>
              <w:rPr>
                <w:rFonts w:ascii="Times New Roman" w:hAnsi="Times New Roman" w:eastAsia="Times New Roman" w:cs="Times New Roman"/>
                <w:spacing w:val="-4"/>
                <w:sz w:val="24"/>
                <w:szCs w:val="24"/>
              </w:rPr>
              <w:t>12</w:t>
            </w:r>
            <w:r>
              <w:rPr>
                <w:rFonts w:ascii="宋体" w:hAnsi="宋体" w:eastAsia="宋体" w:cs="宋体"/>
                <w:spacing w:val="-4"/>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4"/>
                <w:sz w:val="24"/>
                <w:szCs w:val="24"/>
              </w:rPr>
              <w:t>7</w:t>
            </w:r>
            <w:r>
              <w:rPr>
                <w:rFonts w:ascii="宋体" w:hAnsi="宋体" w:eastAsia="宋体" w:cs="宋体"/>
                <w:spacing w:val="-4"/>
                <w:sz w:val="24"/>
                <w:szCs w:val="24"/>
              </w:rPr>
              <w:t>日陕西省人民政府下达了陕西汉江湿地省级自然保护区范</w:t>
            </w:r>
            <w:r>
              <w:rPr>
                <w:rFonts w:ascii="宋体" w:hAnsi="宋体" w:eastAsia="宋体" w:cs="宋体"/>
                <w:spacing w:val="-3"/>
                <w:sz w:val="24"/>
                <w:szCs w:val="24"/>
              </w:rPr>
              <w:t>围及功能区划调整数据的批复。调整之后，将自然保护区内汉江两岸的部分建制</w:t>
            </w:r>
            <w:r>
              <w:rPr>
                <w:rFonts w:ascii="宋体" w:hAnsi="宋体" w:eastAsia="宋体" w:cs="宋体"/>
                <w:spacing w:val="1"/>
                <w:sz w:val="24"/>
                <w:szCs w:val="24"/>
              </w:rPr>
              <w:t>镇、居民集聚地等区域</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5790.04</w:t>
            </w:r>
            <w:r>
              <w:rPr>
                <w:rFonts w:ascii="Times New Roman" w:hAnsi="Times New Roman" w:eastAsia="Times New Roman" w:cs="Times New Roman"/>
                <w:sz w:val="24"/>
                <w:szCs w:val="24"/>
              </w:rPr>
              <w:t>hm</w:t>
            </w:r>
            <w:r>
              <w:rPr>
                <w:rFonts w:ascii="Times New Roman" w:hAnsi="Times New Roman" w:eastAsia="Times New Roman" w:cs="Times New Roman"/>
                <w:spacing w:val="1"/>
                <w:position w:val="7"/>
                <w:sz w:val="15"/>
                <w:szCs w:val="15"/>
              </w:rPr>
              <w:t>2</w:t>
            </w:r>
            <w:r>
              <w:rPr>
                <w:rFonts w:ascii="Times New Roman" w:hAnsi="Times New Roman" w:eastAsia="Times New Roman" w:cs="Times New Roman"/>
                <w:spacing w:val="16"/>
                <w:w w:val="101"/>
                <w:position w:val="7"/>
                <w:sz w:val="15"/>
                <w:szCs w:val="15"/>
              </w:rPr>
              <w:t xml:space="preserve"> </w:t>
            </w:r>
            <w:r>
              <w:rPr>
                <w:rFonts w:ascii="宋体" w:hAnsi="宋体" w:eastAsia="宋体" w:cs="宋体"/>
                <w:spacing w:val="1"/>
                <w:sz w:val="24"/>
                <w:szCs w:val="24"/>
              </w:rPr>
              <w:t>调出，将汉江洋县段部分干流，漾家河、黄</w:t>
            </w:r>
            <w:r>
              <w:rPr>
                <w:rFonts w:ascii="宋体" w:hAnsi="宋体" w:eastAsia="宋体" w:cs="宋体"/>
                <w:spacing w:val="2"/>
                <w:sz w:val="24"/>
                <w:szCs w:val="24"/>
              </w:rPr>
              <w:t>沙河、牧马河等支流区域</w:t>
            </w:r>
            <w:r>
              <w:rPr>
                <w:rFonts w:ascii="宋体" w:hAnsi="宋体" w:eastAsia="宋体" w:cs="宋体"/>
                <w:spacing w:val="-53"/>
                <w:sz w:val="24"/>
                <w:szCs w:val="24"/>
              </w:rPr>
              <w:t xml:space="preserve"> </w:t>
            </w:r>
            <w:r>
              <w:rPr>
                <w:rFonts w:ascii="Times New Roman" w:hAnsi="Times New Roman" w:eastAsia="Times New Roman" w:cs="Times New Roman"/>
                <w:spacing w:val="2"/>
                <w:sz w:val="24"/>
                <w:szCs w:val="24"/>
              </w:rPr>
              <w:t>2035.41</w:t>
            </w:r>
            <w:r>
              <w:rPr>
                <w:rFonts w:ascii="Times New Roman" w:hAnsi="Times New Roman" w:eastAsia="Times New Roman" w:cs="Times New Roman"/>
                <w:sz w:val="24"/>
                <w:szCs w:val="24"/>
              </w:rPr>
              <w:t>hm</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16"/>
                <w:w w:val="101"/>
                <w:position w:val="8"/>
                <w:sz w:val="15"/>
                <w:szCs w:val="15"/>
              </w:rPr>
              <w:t xml:space="preserve"> </w:t>
            </w:r>
            <w:r>
              <w:rPr>
                <w:rFonts w:ascii="宋体" w:hAnsi="宋体" w:eastAsia="宋体" w:cs="宋体"/>
                <w:spacing w:val="2"/>
                <w:sz w:val="24"/>
                <w:szCs w:val="24"/>
              </w:rPr>
              <w:t>调入</w:t>
            </w:r>
            <w:r>
              <w:rPr>
                <w:rFonts w:ascii="宋体" w:hAnsi="宋体" w:eastAsia="宋体" w:cs="宋体"/>
                <w:spacing w:val="1"/>
                <w:sz w:val="24"/>
                <w:szCs w:val="24"/>
              </w:rPr>
              <w:t>自然保护区，调整后的陕西汉江湿地</w:t>
            </w:r>
            <w:r>
              <w:rPr>
                <w:rFonts w:ascii="宋体" w:hAnsi="宋体" w:eastAsia="宋体" w:cs="宋体"/>
                <w:spacing w:val="20"/>
                <w:sz w:val="24"/>
                <w:szCs w:val="24"/>
              </w:rPr>
              <w:t>省级</w:t>
            </w:r>
            <w:r>
              <w:rPr>
                <w:rFonts w:ascii="宋体" w:hAnsi="宋体" w:eastAsia="宋体" w:cs="宋体"/>
                <w:spacing w:val="-42"/>
                <w:sz w:val="24"/>
                <w:szCs w:val="24"/>
              </w:rPr>
              <w:t xml:space="preserve"> </w:t>
            </w:r>
            <w:r>
              <w:rPr>
                <w:rFonts w:ascii="宋体" w:hAnsi="宋体" w:eastAsia="宋体" w:cs="宋体"/>
                <w:spacing w:val="20"/>
                <w:sz w:val="24"/>
                <w:szCs w:val="24"/>
              </w:rPr>
              <w:t>自然保护区西起勉县武侯镇</w:t>
            </w:r>
            <w:r>
              <w:rPr>
                <w:rFonts w:ascii="宋体" w:hAnsi="宋体" w:eastAsia="宋体" w:cs="宋体"/>
                <w:spacing w:val="-62"/>
                <w:sz w:val="24"/>
                <w:szCs w:val="24"/>
              </w:rPr>
              <w:t xml:space="preserve"> </w:t>
            </w:r>
            <w:r>
              <w:rPr>
                <w:rFonts w:ascii="宋体" w:hAnsi="宋体" w:eastAsia="宋体" w:cs="宋体"/>
                <w:spacing w:val="20"/>
                <w:sz w:val="24"/>
                <w:szCs w:val="24"/>
              </w:rPr>
              <w:t>，东到西乡县茶镇</w:t>
            </w:r>
            <w:r>
              <w:rPr>
                <w:rFonts w:ascii="宋体" w:hAnsi="宋体" w:eastAsia="宋体" w:cs="宋体"/>
                <w:spacing w:val="-63"/>
                <w:sz w:val="24"/>
                <w:szCs w:val="24"/>
              </w:rPr>
              <w:t xml:space="preserve"> </w:t>
            </w:r>
            <w:r>
              <w:rPr>
                <w:rFonts w:ascii="宋体" w:hAnsi="宋体" w:eastAsia="宋体" w:cs="宋体"/>
                <w:spacing w:val="20"/>
                <w:sz w:val="24"/>
                <w:szCs w:val="24"/>
              </w:rPr>
              <w:t>，地理坐标介于</w:t>
            </w:r>
            <w:r>
              <w:rPr>
                <w:rFonts w:ascii="宋体" w:hAnsi="宋体" w:eastAsia="宋体" w:cs="宋体"/>
                <w:spacing w:val="-71"/>
                <w:sz w:val="24"/>
                <w:szCs w:val="24"/>
              </w:rPr>
              <w:t xml:space="preserve"> </w:t>
            </w:r>
            <w:r>
              <w:rPr>
                <w:rFonts w:ascii="宋体" w:hAnsi="宋体" w:eastAsia="宋体" w:cs="宋体"/>
                <w:spacing w:val="19"/>
                <w:sz w:val="24"/>
                <w:szCs w:val="24"/>
              </w:rPr>
              <w:t>东经</w:t>
            </w:r>
            <w:r>
              <w:rPr>
                <w:rFonts w:ascii="Times New Roman" w:hAnsi="Times New Roman" w:eastAsia="Times New Roman" w:cs="Times New Roman"/>
                <w:spacing w:val="-1"/>
                <w:sz w:val="24"/>
                <w:szCs w:val="24"/>
              </w:rPr>
              <w:t>106°36′21.92″</w:t>
            </w:r>
            <w:r>
              <w:rPr>
                <w:rFonts w:ascii="Times New Roman" w:hAnsi="Times New Roman" w:eastAsia="Times New Roman" w:cs="Times New Roman"/>
                <w:spacing w:val="3"/>
                <w:sz w:val="24"/>
                <w:szCs w:val="24"/>
              </w:rPr>
              <w:t xml:space="preserve"> </w:t>
            </w:r>
            <w:r>
              <w:rPr>
                <w:rFonts w:ascii="宋体" w:hAnsi="宋体" w:eastAsia="宋体" w:cs="宋体"/>
                <w:spacing w:val="-1"/>
                <w:sz w:val="24"/>
                <w:szCs w:val="24"/>
              </w:rPr>
              <w:t>～</w:t>
            </w:r>
            <w:r>
              <w:rPr>
                <w:rFonts w:ascii="宋体" w:hAnsi="宋体" w:eastAsia="宋体" w:cs="宋体"/>
                <w:spacing w:val="-63"/>
                <w:sz w:val="24"/>
                <w:szCs w:val="24"/>
              </w:rPr>
              <w:t xml:space="preserve"> </w:t>
            </w:r>
            <w:r>
              <w:rPr>
                <w:rFonts w:ascii="Times New Roman" w:hAnsi="Times New Roman" w:eastAsia="Times New Roman" w:cs="Times New Roman"/>
                <w:spacing w:val="-1"/>
                <w:sz w:val="24"/>
                <w:szCs w:val="24"/>
              </w:rPr>
              <w:t>108°07′</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 xml:space="preserve">15.25″ </w:t>
            </w:r>
            <w:r>
              <w:rPr>
                <w:rFonts w:ascii="宋体" w:hAnsi="宋体" w:eastAsia="宋体" w:cs="宋体"/>
                <w:spacing w:val="-1"/>
                <w:sz w:val="24"/>
                <w:szCs w:val="24"/>
              </w:rPr>
              <w:t>、北纬</w:t>
            </w:r>
            <w:r>
              <w:rPr>
                <w:rFonts w:ascii="宋体" w:hAnsi="宋体" w:eastAsia="宋体" w:cs="宋体"/>
                <w:spacing w:val="-21"/>
                <w:sz w:val="24"/>
                <w:szCs w:val="24"/>
              </w:rPr>
              <w:t xml:space="preserve"> </w:t>
            </w:r>
            <w:r>
              <w:rPr>
                <w:rFonts w:ascii="Times New Roman" w:hAnsi="Times New Roman" w:eastAsia="Times New Roman" w:cs="Times New Roman"/>
                <w:spacing w:val="-1"/>
                <w:sz w:val="24"/>
                <w:szCs w:val="24"/>
              </w:rPr>
              <w:t>33°0</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pacing w:val="-1"/>
                <w:sz w:val="24"/>
                <w:szCs w:val="24"/>
              </w:rPr>
              <w:t>′30.27″</w:t>
            </w:r>
            <w:r>
              <w:rPr>
                <w:rFonts w:ascii="Times New Roman" w:hAnsi="Times New Roman" w:eastAsia="Times New Roman" w:cs="Times New Roman"/>
                <w:spacing w:val="-14"/>
                <w:sz w:val="24"/>
                <w:szCs w:val="24"/>
              </w:rPr>
              <w:t xml:space="preserve"> </w:t>
            </w:r>
            <w:r>
              <w:rPr>
                <w:rFonts w:ascii="宋体" w:hAnsi="宋体" w:eastAsia="宋体" w:cs="宋体"/>
                <w:spacing w:val="-1"/>
                <w:sz w:val="24"/>
                <w:szCs w:val="24"/>
              </w:rPr>
              <w:t>～</w:t>
            </w:r>
            <w:r>
              <w:rPr>
                <w:rFonts w:ascii="Times New Roman" w:hAnsi="Times New Roman" w:eastAsia="Times New Roman" w:cs="Times New Roman"/>
                <w:spacing w:val="-1"/>
                <w:sz w:val="24"/>
                <w:szCs w:val="24"/>
              </w:rPr>
              <w:t>33°</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1"/>
                <w:sz w:val="24"/>
                <w:szCs w:val="24"/>
              </w:rPr>
              <w:t>17′</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18.92″</w:t>
            </w:r>
            <w:r>
              <w:rPr>
                <w:rFonts w:ascii="Times New Roman" w:hAnsi="Times New Roman" w:eastAsia="Times New Roman" w:cs="Times New Roman"/>
                <w:spacing w:val="-19"/>
                <w:sz w:val="24"/>
                <w:szCs w:val="24"/>
              </w:rPr>
              <w:t xml:space="preserve"> </w:t>
            </w:r>
            <w:r>
              <w:rPr>
                <w:rFonts w:ascii="宋体" w:hAnsi="宋体" w:eastAsia="宋体" w:cs="宋体"/>
                <w:spacing w:val="-1"/>
                <w:sz w:val="24"/>
                <w:szCs w:val="24"/>
              </w:rPr>
              <w:t>之间</w:t>
            </w:r>
            <w:r>
              <w:rPr>
                <w:rFonts w:ascii="宋体" w:hAnsi="宋体" w:eastAsia="宋体" w:cs="宋体"/>
                <w:spacing w:val="-59"/>
                <w:sz w:val="24"/>
                <w:szCs w:val="24"/>
              </w:rPr>
              <w:t xml:space="preserve"> </w:t>
            </w:r>
            <w:r>
              <w:rPr>
                <w:rFonts w:ascii="宋体" w:hAnsi="宋体" w:eastAsia="宋体" w:cs="宋体"/>
                <w:spacing w:val="-1"/>
                <w:sz w:val="24"/>
                <w:szCs w:val="24"/>
              </w:rPr>
              <w:t>，总面积</w:t>
            </w:r>
            <w:r>
              <w:rPr>
                <w:rFonts w:ascii="Times New Roman" w:hAnsi="Times New Roman" w:eastAsia="Times New Roman" w:cs="Times New Roman"/>
                <w:spacing w:val="-6"/>
                <w:sz w:val="24"/>
                <w:szCs w:val="24"/>
              </w:rPr>
              <w:t>14351.37hm</w:t>
            </w:r>
            <w:r>
              <w:rPr>
                <w:rFonts w:ascii="Times New Roman" w:hAnsi="Times New Roman" w:eastAsia="Times New Roman" w:cs="Times New Roman"/>
                <w:spacing w:val="-6"/>
                <w:position w:val="7"/>
                <w:sz w:val="15"/>
                <w:szCs w:val="15"/>
              </w:rPr>
              <w:t>2</w:t>
            </w:r>
            <w:r>
              <w:rPr>
                <w:rFonts w:ascii="宋体" w:hAnsi="宋体" w:eastAsia="宋体" w:cs="宋体"/>
                <w:spacing w:val="-6"/>
                <w:sz w:val="24"/>
                <w:szCs w:val="24"/>
              </w:rPr>
              <w:t>，其中：核心区</w:t>
            </w:r>
            <w:r>
              <w:rPr>
                <w:rFonts w:ascii="宋体" w:hAnsi="宋体" w:eastAsia="宋体" w:cs="宋体"/>
                <w:spacing w:val="-46"/>
                <w:sz w:val="24"/>
                <w:szCs w:val="24"/>
              </w:rPr>
              <w:t xml:space="preserve"> </w:t>
            </w:r>
            <w:r>
              <w:rPr>
                <w:rFonts w:ascii="Times New Roman" w:hAnsi="Times New Roman" w:eastAsia="Times New Roman" w:cs="Times New Roman"/>
                <w:spacing w:val="-6"/>
                <w:sz w:val="24"/>
                <w:szCs w:val="24"/>
              </w:rPr>
              <w:t>4826.91hm</w:t>
            </w:r>
            <w:r>
              <w:rPr>
                <w:rFonts w:ascii="Times New Roman" w:hAnsi="Times New Roman" w:eastAsia="Times New Roman" w:cs="Times New Roman"/>
                <w:spacing w:val="-6"/>
                <w:position w:val="7"/>
                <w:sz w:val="15"/>
                <w:szCs w:val="15"/>
              </w:rPr>
              <w:t>2</w:t>
            </w:r>
            <w:r>
              <w:rPr>
                <w:rFonts w:ascii="Times New Roman" w:hAnsi="Times New Roman" w:eastAsia="Times New Roman" w:cs="Times New Roman"/>
                <w:spacing w:val="-10"/>
                <w:position w:val="7"/>
                <w:sz w:val="15"/>
                <w:szCs w:val="15"/>
              </w:rPr>
              <w:t xml:space="preserve"> </w:t>
            </w:r>
            <w:r>
              <w:rPr>
                <w:rFonts w:ascii="宋体" w:hAnsi="宋体" w:eastAsia="宋体" w:cs="宋体"/>
                <w:spacing w:val="-6"/>
                <w:sz w:val="24"/>
                <w:szCs w:val="24"/>
              </w:rPr>
              <w:t>，占</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34%</w:t>
            </w:r>
            <w:r>
              <w:rPr>
                <w:rFonts w:ascii="宋体" w:hAnsi="宋体" w:eastAsia="宋体" w:cs="宋体"/>
                <w:spacing w:val="-6"/>
                <w:sz w:val="24"/>
                <w:szCs w:val="24"/>
              </w:rPr>
              <w:t>；缓冲区</w:t>
            </w:r>
            <w:r>
              <w:rPr>
                <w:rFonts w:ascii="宋体" w:hAnsi="宋体" w:eastAsia="宋体" w:cs="宋体"/>
                <w:spacing w:val="-55"/>
                <w:sz w:val="24"/>
                <w:szCs w:val="24"/>
              </w:rPr>
              <w:t xml:space="preserve"> </w:t>
            </w:r>
            <w:r>
              <w:rPr>
                <w:rFonts w:ascii="Times New Roman" w:hAnsi="Times New Roman" w:eastAsia="Times New Roman" w:cs="Times New Roman"/>
                <w:spacing w:val="-6"/>
                <w:sz w:val="24"/>
                <w:szCs w:val="24"/>
              </w:rPr>
              <w:t>2726.47hm</w:t>
            </w:r>
            <w:r>
              <w:rPr>
                <w:rFonts w:ascii="Times New Roman" w:hAnsi="Times New Roman" w:eastAsia="Times New Roman" w:cs="Times New Roman"/>
                <w:spacing w:val="-6"/>
                <w:position w:val="7"/>
                <w:sz w:val="15"/>
                <w:szCs w:val="15"/>
              </w:rPr>
              <w:t>2</w:t>
            </w:r>
            <w:r>
              <w:rPr>
                <w:rFonts w:ascii="Times New Roman" w:hAnsi="Times New Roman" w:eastAsia="Times New Roman" w:cs="Times New Roman"/>
                <w:spacing w:val="-10"/>
                <w:position w:val="7"/>
                <w:sz w:val="15"/>
                <w:szCs w:val="15"/>
              </w:rPr>
              <w:t xml:space="preserve"> </w:t>
            </w:r>
            <w:r>
              <w:rPr>
                <w:rFonts w:ascii="宋体" w:hAnsi="宋体" w:eastAsia="宋体" w:cs="宋体"/>
                <w:spacing w:val="-6"/>
                <w:sz w:val="24"/>
                <w:szCs w:val="24"/>
              </w:rPr>
              <w:t>，占</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19%</w:t>
            </w:r>
            <w:r>
              <w:rPr>
                <w:rFonts w:ascii="宋体" w:hAnsi="宋体" w:eastAsia="宋体" w:cs="宋体"/>
                <w:spacing w:val="-6"/>
                <w:sz w:val="24"/>
                <w:szCs w:val="24"/>
              </w:rPr>
              <w:t>；实验区</w:t>
            </w:r>
            <w:r>
              <w:rPr>
                <w:rFonts w:ascii="宋体" w:hAnsi="宋体" w:eastAsia="宋体" w:cs="宋体"/>
                <w:spacing w:val="-39"/>
                <w:sz w:val="24"/>
                <w:szCs w:val="24"/>
              </w:rPr>
              <w:t xml:space="preserve"> </w:t>
            </w:r>
            <w:r>
              <w:rPr>
                <w:rFonts w:ascii="Times New Roman" w:hAnsi="Times New Roman" w:eastAsia="Times New Roman" w:cs="Times New Roman"/>
                <w:spacing w:val="-6"/>
                <w:sz w:val="24"/>
                <w:szCs w:val="24"/>
              </w:rPr>
              <w:t>6797.99hm</w:t>
            </w:r>
            <w:r>
              <w:rPr>
                <w:rFonts w:ascii="Times New Roman" w:hAnsi="Times New Roman" w:eastAsia="Times New Roman" w:cs="Times New Roman"/>
                <w:spacing w:val="-6"/>
                <w:position w:val="7"/>
                <w:sz w:val="15"/>
                <w:szCs w:val="15"/>
              </w:rPr>
              <w:t xml:space="preserve">2 </w:t>
            </w:r>
            <w:r>
              <w:rPr>
                <w:rFonts w:ascii="宋体" w:hAnsi="宋体" w:eastAsia="宋体" w:cs="宋体"/>
                <w:spacing w:val="-6"/>
                <w:sz w:val="24"/>
                <w:szCs w:val="24"/>
              </w:rPr>
              <w:t>，</w:t>
            </w:r>
            <w:r>
              <w:rPr>
                <w:rFonts w:ascii="宋体" w:hAnsi="宋体" w:eastAsia="宋体" w:cs="宋体"/>
                <w:spacing w:val="-71"/>
                <w:sz w:val="24"/>
                <w:szCs w:val="24"/>
              </w:rPr>
              <w:t xml:space="preserve"> </w:t>
            </w:r>
            <w:r>
              <w:rPr>
                <w:rFonts w:ascii="宋体" w:hAnsi="宋体" w:eastAsia="宋体" w:cs="宋体"/>
                <w:spacing w:val="-6"/>
                <w:sz w:val="24"/>
                <w:szCs w:val="24"/>
              </w:rPr>
              <w:t>占</w:t>
            </w:r>
            <w:r>
              <w:rPr>
                <w:rFonts w:ascii="宋体" w:hAnsi="宋体" w:eastAsia="宋体" w:cs="宋体"/>
                <w:spacing w:val="-56"/>
                <w:sz w:val="24"/>
                <w:szCs w:val="24"/>
              </w:rPr>
              <w:t xml:space="preserve"> </w:t>
            </w:r>
            <w:r>
              <w:rPr>
                <w:rFonts w:ascii="Times New Roman" w:hAnsi="Times New Roman" w:eastAsia="Times New Roman" w:cs="Times New Roman"/>
                <w:spacing w:val="-6"/>
                <w:sz w:val="24"/>
                <w:szCs w:val="24"/>
              </w:rPr>
              <w:t>47%</w:t>
            </w:r>
            <w:r>
              <w:rPr>
                <w:rFonts w:ascii="宋体" w:hAnsi="宋体" w:eastAsia="宋体" w:cs="宋体"/>
                <w:spacing w:val="-6"/>
                <w:sz w:val="24"/>
                <w:szCs w:val="24"/>
              </w:rPr>
              <w:t>。</w:t>
            </w:r>
          </w:p>
          <w:p w14:paraId="2F28BF78">
            <w:pPr>
              <w:keepNext w:val="0"/>
              <w:keepLines w:val="0"/>
              <w:pageBreakBefore w:val="0"/>
              <w:widowControl w:val="0"/>
              <w:kinsoku/>
              <w:wordWrap/>
              <w:overflowPunct/>
              <w:topLinePunct w:val="0"/>
              <w:autoSpaceDE/>
              <w:autoSpaceDN/>
              <w:bidi w:val="0"/>
              <w:adjustRightInd/>
              <w:snapToGrid/>
              <w:spacing w:line="360" w:lineRule="auto"/>
              <w:ind w:left="0" w:right="0" w:firstLine="479"/>
              <w:jc w:val="both"/>
              <w:textAlignment w:val="auto"/>
              <w:rPr>
                <w:rFonts w:ascii="宋体" w:hAnsi="宋体" w:eastAsia="宋体" w:cs="宋体"/>
                <w:sz w:val="24"/>
                <w:szCs w:val="24"/>
              </w:rPr>
            </w:pPr>
            <w:r>
              <w:rPr>
                <w:rFonts w:ascii="宋体" w:hAnsi="宋体" w:eastAsia="宋体" w:cs="宋体"/>
                <w:sz w:val="24"/>
                <w:szCs w:val="24"/>
              </w:rPr>
              <w:t>根据《陕西汉江湿地省级自然保护区总体规划》（</w:t>
            </w:r>
            <w:r>
              <w:rPr>
                <w:rFonts w:ascii="Times New Roman" w:hAnsi="Times New Roman" w:eastAsia="Times New Roman" w:cs="Times New Roman"/>
                <w:sz w:val="24"/>
                <w:szCs w:val="24"/>
              </w:rPr>
              <w:t>20</w:t>
            </w:r>
            <w:r>
              <w:rPr>
                <w:rFonts w:ascii="Times New Roman" w:hAnsi="Times New Roman" w:eastAsia="Times New Roman" w:cs="Times New Roman"/>
                <w:spacing w:val="-1"/>
                <w:sz w:val="24"/>
                <w:szCs w:val="24"/>
              </w:rPr>
              <w:t xml:space="preserve">12 </w:t>
            </w:r>
            <w:r>
              <w:rPr>
                <w:rFonts w:ascii="宋体" w:hAnsi="宋体" w:eastAsia="宋体" w:cs="宋体"/>
                <w:spacing w:val="-1"/>
                <w:sz w:val="24"/>
                <w:szCs w:val="24"/>
              </w:rPr>
              <w:t>年）以及《陕西汉</w:t>
            </w:r>
            <w:r>
              <w:rPr>
                <w:rFonts w:ascii="宋体" w:hAnsi="宋体" w:eastAsia="宋体" w:cs="宋体"/>
                <w:spacing w:val="-3"/>
                <w:sz w:val="24"/>
                <w:szCs w:val="24"/>
              </w:rPr>
              <w:t>江湿地省级自然保护区生物多样性研究》（王琦 颜文博 赵佐平著，吉林大学出</w:t>
            </w:r>
            <w:r>
              <w:rPr>
                <w:rFonts w:ascii="宋体" w:hAnsi="宋体" w:eastAsia="宋体" w:cs="宋体"/>
                <w:spacing w:val="-1"/>
                <w:sz w:val="24"/>
                <w:szCs w:val="24"/>
              </w:rPr>
              <w:t>版社，</w:t>
            </w:r>
            <w:r>
              <w:rPr>
                <w:rFonts w:ascii="Times New Roman" w:hAnsi="Times New Roman" w:eastAsia="Times New Roman" w:cs="Times New Roman"/>
                <w:spacing w:val="-1"/>
                <w:sz w:val="24"/>
                <w:szCs w:val="24"/>
              </w:rPr>
              <w:t xml:space="preserve">2018 </w:t>
            </w:r>
            <w:r>
              <w:rPr>
                <w:rFonts w:ascii="宋体" w:hAnsi="宋体" w:eastAsia="宋体" w:cs="宋体"/>
                <w:spacing w:val="-1"/>
                <w:sz w:val="24"/>
                <w:szCs w:val="24"/>
              </w:rPr>
              <w:t>年</w:t>
            </w:r>
            <w:r>
              <w:rPr>
                <w:rFonts w:ascii="宋体" w:hAnsi="宋体" w:eastAsia="宋体" w:cs="宋体"/>
                <w:spacing w:val="13"/>
                <w:sz w:val="24"/>
                <w:szCs w:val="24"/>
              </w:rPr>
              <w:t>），</w:t>
            </w:r>
            <w:r>
              <w:rPr>
                <w:rFonts w:ascii="宋体" w:hAnsi="宋体" w:eastAsia="宋体" w:cs="宋体"/>
                <w:spacing w:val="-1"/>
                <w:sz w:val="24"/>
                <w:szCs w:val="24"/>
              </w:rPr>
              <w:t>陕西汉江湿地省级自然保护区的主要保护对象是：</w:t>
            </w:r>
            <w:r>
              <w:rPr>
                <w:rFonts w:ascii="宋体" w:hAnsi="宋体" w:eastAsia="宋体" w:cs="宋体"/>
                <w:spacing w:val="-2"/>
                <w:sz w:val="24"/>
                <w:szCs w:val="24"/>
              </w:rPr>
              <w:t>湿地生态</w:t>
            </w:r>
            <w:r>
              <w:rPr>
                <w:rFonts w:ascii="宋体" w:hAnsi="宋体" w:eastAsia="宋体" w:cs="宋体"/>
                <w:spacing w:val="-3"/>
                <w:sz w:val="24"/>
                <w:szCs w:val="24"/>
              </w:rPr>
              <w:t>系统及生物多样性。具体而言，即保护区范围内的河漫滩涂、河流水体、河心沙洲，区内天然和人工建造的各种景观，以及区内的生物资源尤其是珍稀水禽及其栖息环境。</w:t>
            </w:r>
          </w:p>
          <w:p w14:paraId="45C4985F">
            <w:pPr>
              <w:keepNext w:val="0"/>
              <w:keepLines w:val="0"/>
              <w:pageBreakBefore w:val="0"/>
              <w:widowControl w:val="0"/>
              <w:kinsoku/>
              <w:wordWrap/>
              <w:overflowPunct/>
              <w:topLinePunct w:val="0"/>
              <w:autoSpaceDE/>
              <w:autoSpaceDN/>
              <w:bidi w:val="0"/>
              <w:adjustRightInd/>
              <w:snapToGrid/>
              <w:spacing w:line="360" w:lineRule="auto"/>
              <w:ind w:left="0" w:right="0" w:firstLine="479"/>
              <w:jc w:val="both"/>
              <w:textAlignment w:val="auto"/>
              <w:rPr>
                <w:rFonts w:ascii="宋体" w:hAnsi="宋体" w:eastAsia="宋体" w:cs="宋体"/>
                <w:color w:val="auto"/>
                <w:spacing w:val="-3"/>
                <w:sz w:val="24"/>
                <w:szCs w:val="24"/>
              </w:rPr>
            </w:pPr>
            <w:r>
              <w:rPr>
                <w:rFonts w:ascii="宋体" w:hAnsi="宋体" w:eastAsia="宋体" w:cs="宋体"/>
                <w:color w:val="auto"/>
                <w:spacing w:val="-3"/>
                <w:sz w:val="24"/>
                <w:szCs w:val="24"/>
              </w:rPr>
              <w:t>经对照，本次</w:t>
            </w:r>
            <w:r>
              <w:rPr>
                <w:rFonts w:hint="eastAsia" w:ascii="宋体" w:hAnsi="宋体" w:cs="宋体"/>
                <w:color w:val="auto"/>
                <w:spacing w:val="-3"/>
                <w:sz w:val="24"/>
                <w:szCs w:val="24"/>
                <w:lang w:val="en-US" w:eastAsia="zh-CN"/>
              </w:rPr>
              <w:t>工程不在</w:t>
            </w:r>
            <w:r>
              <w:rPr>
                <w:rFonts w:ascii="宋体" w:hAnsi="宋体" w:eastAsia="宋体" w:cs="宋体"/>
                <w:color w:val="auto"/>
                <w:spacing w:val="-3"/>
                <w:sz w:val="24"/>
                <w:szCs w:val="24"/>
              </w:rPr>
              <w:t>陕西汉江湿地自然保护区</w:t>
            </w:r>
            <w:r>
              <w:rPr>
                <w:rFonts w:hint="eastAsia" w:ascii="宋体" w:hAnsi="宋体" w:cs="宋体"/>
                <w:color w:val="auto"/>
                <w:spacing w:val="-3"/>
                <w:sz w:val="24"/>
                <w:szCs w:val="24"/>
                <w:lang w:val="en-US" w:eastAsia="zh-CN"/>
              </w:rPr>
              <w:t>范围内</w:t>
            </w:r>
            <w:r>
              <w:rPr>
                <w:rFonts w:ascii="宋体" w:hAnsi="宋体" w:eastAsia="宋体" w:cs="宋体"/>
                <w:color w:val="auto"/>
                <w:spacing w:val="-3"/>
                <w:sz w:val="24"/>
                <w:szCs w:val="24"/>
              </w:rPr>
              <w:t>，</w:t>
            </w:r>
            <w:r>
              <w:rPr>
                <w:rFonts w:hint="eastAsia" w:ascii="宋体" w:hAnsi="宋体" w:cs="宋体"/>
                <w:color w:val="auto"/>
                <w:spacing w:val="-3"/>
                <w:sz w:val="24"/>
                <w:szCs w:val="24"/>
                <w:lang w:val="en-US" w:eastAsia="zh-CN"/>
              </w:rPr>
              <w:t>工程西南侧距</w:t>
            </w:r>
            <w:r>
              <w:rPr>
                <w:rFonts w:ascii="宋体" w:hAnsi="宋体" w:eastAsia="宋体" w:cs="宋体"/>
                <w:color w:val="auto"/>
                <w:spacing w:val="-3"/>
                <w:sz w:val="24"/>
                <w:szCs w:val="24"/>
              </w:rPr>
              <w:t>陕西汉江湿地省级自然保护区</w:t>
            </w:r>
            <w:r>
              <w:rPr>
                <w:rFonts w:hint="eastAsia" w:ascii="宋体" w:hAnsi="宋体" w:cs="宋体"/>
                <w:color w:val="auto"/>
                <w:spacing w:val="-3"/>
                <w:sz w:val="24"/>
                <w:szCs w:val="24"/>
                <w:lang w:val="en-US" w:eastAsia="zh-CN"/>
              </w:rPr>
              <w:t>实验区约900m，距离核心区约1800m</w:t>
            </w:r>
            <w:r>
              <w:rPr>
                <w:rFonts w:ascii="宋体" w:hAnsi="宋体" w:eastAsia="宋体" w:cs="宋体"/>
                <w:color w:val="auto"/>
                <w:spacing w:val="-3"/>
                <w:sz w:val="24"/>
                <w:szCs w:val="24"/>
              </w:rPr>
              <w:t>，</w:t>
            </w:r>
            <w:r>
              <w:rPr>
                <w:rFonts w:hint="eastAsia" w:ascii="宋体" w:hAnsi="宋体" w:cs="宋体"/>
                <w:color w:val="auto"/>
                <w:spacing w:val="-3"/>
                <w:sz w:val="24"/>
                <w:szCs w:val="24"/>
                <w:lang w:val="en-US" w:eastAsia="zh-CN"/>
              </w:rPr>
              <w:t>项目</w:t>
            </w:r>
            <w:r>
              <w:rPr>
                <w:rFonts w:ascii="宋体" w:hAnsi="宋体" w:eastAsia="宋体" w:cs="宋体"/>
                <w:color w:val="auto"/>
                <w:spacing w:val="-3"/>
                <w:sz w:val="24"/>
                <w:szCs w:val="24"/>
              </w:rPr>
              <w:t>与陕西汉江湿地省级自然保护区的相对位置关系见</w:t>
            </w:r>
            <w:r>
              <w:rPr>
                <w:rFonts w:hint="eastAsia" w:ascii="宋体" w:hAnsi="宋体" w:cs="宋体"/>
                <w:color w:val="auto"/>
                <w:spacing w:val="-3"/>
                <w:sz w:val="24"/>
                <w:szCs w:val="24"/>
                <w:lang w:val="en-US" w:eastAsia="zh-CN"/>
              </w:rPr>
              <w:t>附图4</w:t>
            </w:r>
            <w:r>
              <w:rPr>
                <w:rFonts w:ascii="宋体" w:hAnsi="宋体" w:eastAsia="宋体" w:cs="宋体"/>
                <w:color w:val="auto"/>
                <w:spacing w:val="-3"/>
                <w:sz w:val="24"/>
                <w:szCs w:val="24"/>
              </w:rPr>
              <w:t>。</w:t>
            </w:r>
          </w:p>
          <w:p w14:paraId="791B5397">
            <w:pPr>
              <w:keepNext w:val="0"/>
              <w:keepLines w:val="0"/>
              <w:widowControl/>
              <w:numPr>
                <w:ilvl w:val="0"/>
                <w:numId w:val="6"/>
              </w:numPr>
              <w:suppressLineNumbers w:val="0"/>
              <w:spacing w:line="360" w:lineRule="auto"/>
              <w:ind w:firstLine="482" w:firstLineChars="200"/>
              <w:jc w:val="left"/>
              <w:rPr>
                <w:rFonts w:hint="eastAsia" w:cs="Times New Roman"/>
                <w:b/>
                <w:bCs/>
                <w:color w:val="auto"/>
                <w:sz w:val="24"/>
                <w:szCs w:val="24"/>
                <w:lang w:val="en-US" w:eastAsia="zh-CN"/>
              </w:rPr>
            </w:pPr>
            <w:r>
              <w:rPr>
                <w:rFonts w:hint="eastAsia" w:cs="Times New Roman"/>
                <w:b/>
                <w:bCs/>
                <w:color w:val="auto"/>
                <w:sz w:val="24"/>
                <w:szCs w:val="24"/>
                <w:lang w:val="en-US" w:eastAsia="zh-CN"/>
              </w:rPr>
              <w:t>陕西汉江湿地</w:t>
            </w:r>
          </w:p>
          <w:p w14:paraId="0BE8625B">
            <w:pPr>
              <w:snapToGrid w:val="0"/>
              <w:spacing w:line="360" w:lineRule="auto"/>
              <w:ind w:firstLine="468" w:firstLineChars="200"/>
              <w:jc w:val="left"/>
              <w:rPr>
                <w:color w:val="000000"/>
                <w:sz w:val="24"/>
              </w:rPr>
            </w:pPr>
            <w:r>
              <w:rPr>
                <w:rFonts w:hint="eastAsia" w:ascii="宋体" w:hAnsi="宋体" w:eastAsia="宋体" w:cs="宋体"/>
                <w:color w:val="auto"/>
                <w:spacing w:val="-3"/>
                <w:sz w:val="24"/>
                <w:szCs w:val="24"/>
                <w:lang w:val="en-US" w:eastAsia="zh-CN"/>
              </w:rPr>
              <w:t>陕西汉江湿地</w:t>
            </w:r>
            <w:r>
              <w:rPr>
                <w:rFonts w:hint="eastAsia" w:ascii="宋体" w:hAnsi="宋体" w:cs="宋体"/>
                <w:color w:val="auto"/>
                <w:spacing w:val="-3"/>
                <w:sz w:val="24"/>
                <w:szCs w:val="24"/>
                <w:lang w:val="en-US" w:eastAsia="zh-CN"/>
              </w:rPr>
              <w:t>于</w:t>
            </w:r>
            <w:r>
              <w:rPr>
                <w:rFonts w:hint="eastAsia" w:ascii="宋体" w:hAnsi="宋体" w:eastAsia="宋体" w:cs="宋体"/>
                <w:color w:val="auto"/>
                <w:spacing w:val="-3"/>
                <w:sz w:val="24"/>
                <w:szCs w:val="24"/>
                <w:lang w:val="en-US" w:eastAsia="zh-CN"/>
              </w:rPr>
              <w:t>2008年8月6日被陕西省人民政府列入《陕西省重要湿地名录》</w:t>
            </w:r>
            <w:r>
              <w:rPr>
                <w:rFonts w:hint="eastAsia" w:ascii="宋体" w:hAnsi="宋体" w:cs="宋体"/>
                <w:color w:val="auto"/>
                <w:spacing w:val="-3"/>
                <w:sz w:val="24"/>
                <w:szCs w:val="24"/>
                <w:lang w:val="en-US" w:eastAsia="zh-CN"/>
              </w:rPr>
              <w:t>，</w:t>
            </w:r>
            <w:r>
              <w:rPr>
                <w:color w:val="000000"/>
                <w:sz w:val="24"/>
              </w:rPr>
              <w:t>其范围为从勉县土关铺乡田坝到白河县城关镇，包括汉江河道、河滩、泛洪区及河道两岸1km范围内的人工湿地。含陕西汉中朱鹮国家级自然保护区、陕西汉江湿地自然保护区。</w:t>
            </w:r>
          </w:p>
          <w:p w14:paraId="0BB42D26">
            <w:pPr>
              <w:keepNext w:val="0"/>
              <w:keepLines w:val="0"/>
              <w:pageBreakBefore w:val="0"/>
              <w:widowControl w:val="0"/>
              <w:kinsoku/>
              <w:wordWrap/>
              <w:overflowPunct/>
              <w:topLinePunct w:val="0"/>
              <w:autoSpaceDE/>
              <w:autoSpaceDN/>
              <w:bidi w:val="0"/>
              <w:adjustRightInd/>
              <w:snapToGrid/>
              <w:spacing w:line="360" w:lineRule="auto"/>
              <w:ind w:left="0" w:right="0" w:firstLine="479"/>
              <w:jc w:val="both"/>
              <w:textAlignment w:val="auto"/>
              <w:rPr>
                <w:rFonts w:hint="default" w:ascii="宋体" w:hAnsi="宋体" w:eastAsia="宋体" w:cs="宋体"/>
                <w:color w:val="auto"/>
                <w:spacing w:val="-3"/>
                <w:sz w:val="24"/>
                <w:szCs w:val="24"/>
                <w:lang w:val="en-US" w:eastAsia="zh-CN"/>
              </w:rPr>
            </w:pPr>
            <w:r>
              <w:rPr>
                <w:rFonts w:hint="eastAsia" w:ascii="宋体" w:hAnsi="宋体" w:cs="宋体"/>
                <w:color w:val="auto"/>
                <w:spacing w:val="-3"/>
                <w:sz w:val="24"/>
                <w:szCs w:val="24"/>
                <w:lang w:val="en-US" w:eastAsia="zh-CN"/>
              </w:rPr>
              <w:t>本项目</w:t>
            </w:r>
            <w:r>
              <w:rPr>
                <w:rFonts w:hint="eastAsia" w:cs="Times New Roman"/>
                <w:color w:val="auto"/>
                <w:sz w:val="24"/>
                <w:szCs w:val="24"/>
                <w:lang w:val="en-US" w:eastAsia="zh-CN"/>
              </w:rPr>
              <w:t>阳安线上行K155+746汉江3号桥横跨汉江，</w:t>
            </w:r>
            <w:r>
              <w:rPr>
                <w:rFonts w:hint="eastAsia" w:ascii="宋体" w:hAnsi="宋体" w:cs="宋体"/>
                <w:color w:val="auto"/>
                <w:spacing w:val="-3"/>
                <w:sz w:val="24"/>
                <w:szCs w:val="24"/>
                <w:lang w:val="en-US" w:eastAsia="zh-CN"/>
              </w:rPr>
              <w:t>位于陕西汉江湿地范围内。</w:t>
            </w:r>
          </w:p>
          <w:p w14:paraId="2C40C241">
            <w:pPr>
              <w:keepNext w:val="0"/>
              <w:keepLines w:val="0"/>
              <w:widowControl/>
              <w:suppressLineNumbers w:val="0"/>
              <w:spacing w:line="360" w:lineRule="auto"/>
              <w:ind w:firstLine="482" w:firstLineChars="200"/>
              <w:jc w:val="left"/>
              <w:rPr>
                <w:rFonts w:hint="default" w:ascii="Times New Roman" w:hAnsi="Times New Roman" w:eastAsia="宋体" w:cs="Times New Roman"/>
                <w:b/>
                <w:bCs/>
                <w:color w:val="auto"/>
                <w:kern w:val="2"/>
                <w:sz w:val="24"/>
                <w:szCs w:val="24"/>
                <w:lang w:val="en-US" w:eastAsia="zh-CN" w:bidi="ar-SA"/>
              </w:rPr>
            </w:pPr>
            <w:r>
              <w:rPr>
                <w:rFonts w:hint="eastAsia" w:cs="Times New Roman"/>
                <w:b/>
                <w:bCs/>
                <w:color w:val="auto"/>
                <w:sz w:val="24"/>
                <w:szCs w:val="24"/>
                <w:lang w:val="en-US" w:eastAsia="zh-CN"/>
              </w:rPr>
              <w:t>6、</w:t>
            </w:r>
            <w:r>
              <w:rPr>
                <w:rFonts w:hint="eastAsia" w:cs="Times New Roman"/>
                <w:b/>
                <w:bCs/>
                <w:color w:val="auto"/>
                <w:kern w:val="2"/>
                <w:sz w:val="24"/>
                <w:szCs w:val="24"/>
                <w:lang w:val="en-US" w:eastAsia="zh-CN" w:bidi="ar-SA"/>
              </w:rPr>
              <w:t>陕西汉中国家级朱鹮自然</w:t>
            </w:r>
            <w:r>
              <w:rPr>
                <w:rFonts w:hint="default" w:ascii="Times New Roman" w:hAnsi="Times New Roman" w:eastAsia="宋体" w:cs="Times New Roman"/>
                <w:b/>
                <w:bCs/>
                <w:color w:val="auto"/>
                <w:kern w:val="2"/>
                <w:sz w:val="24"/>
                <w:szCs w:val="24"/>
                <w:lang w:val="en-US" w:eastAsia="zh-CN" w:bidi="ar-SA"/>
              </w:rPr>
              <w:t>保护区</w:t>
            </w:r>
          </w:p>
          <w:p w14:paraId="6F828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陕西汉中朱鹮国家级自然保护区位于中国陕西省汉水之滨的汉中地区，跨越洋县和城固县，主体在洋县境内，地处秦岭南坡中段的中山带地区。保护对象主要为朱鹮及其栖息地。2005年7月，国务院批准成立陕西汉中朱鹮国家级自然保护区。总面积37549公顷，范围在东经107°21′-107°44′，北纬33°08′-33°35′之间。属暖湿带到北亚热带的过渡气候，温暖湿润，雨热同季，区内河流纵横、水塘密布，汉江是最大河流，有胥水、酉水、溢水等11条主要支流。地形地貌为山地向低山丘陵的过渡地带，坡缓谷宽，沟底溪水纵横，河谷两岸有成片水田。</w:t>
            </w:r>
          </w:p>
          <w:p w14:paraId="5D0A84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核心区：面积11390公顷，是朱鹮及其栖息地保存最完好、受干扰最少的区域，禁止任何形式的开发活动和人员随意进入。</w:t>
            </w:r>
          </w:p>
          <w:p w14:paraId="0373B2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缓冲区：面积9930公顷，环绕核心区，限制人员进入和活动类型，只允许开展科研监测、科普教育等对生态环境影响较小的活动。</w:t>
            </w:r>
          </w:p>
          <w:p w14:paraId="4EDE66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实验区：面积16229 公顷，在保护生态环境前提下，可开展生态旅游、林下经济等活动，如设置了风光旅游、科考旅游、会议旅游、夏令营旅游和观鸟旅游等项目。</w:t>
            </w:r>
          </w:p>
          <w:p w14:paraId="2F4727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管理措施：陕西朱鹮国家级自然保护区管理局，是隶属于陕西省林业厅的全额拨款事业单位，下设有科研与保护科、项目办、旅游服务中心等6个职能科室，在洋县境内有多处观测保护朱鹮的管理站以及洋县县城以北5公里的朱鹮生态园和华阳人工繁育基地2。</w:t>
            </w:r>
          </w:p>
          <w:p w14:paraId="2C3A71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保护成果：全球朱鹮种群数量达1.1万余只，受危等级由“极危”降为“濒危”，其中陕西境内朱鹮种群数量7700余只，朱鹮栖息地由最初的洋县姚家沟，逐步向东亚历史分布地恢复。</w:t>
            </w:r>
          </w:p>
          <w:p w14:paraId="422C32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经对照</w:t>
            </w:r>
            <w:r>
              <w:rPr>
                <w:rFonts w:hint="eastAsia"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本</w:t>
            </w:r>
            <w:r>
              <w:rPr>
                <w:rFonts w:hint="eastAsia" w:cs="Times New Roman"/>
                <w:color w:val="auto"/>
                <w:kern w:val="0"/>
                <w:sz w:val="24"/>
                <w:szCs w:val="24"/>
                <w:highlight w:val="none"/>
                <w:lang w:val="en-US" w:eastAsia="zh-CN" w:bidi="ar"/>
              </w:rPr>
              <w:t>工程位于</w:t>
            </w:r>
            <w:r>
              <w:rPr>
                <w:rFonts w:hint="eastAsia" w:ascii="Times New Roman" w:hAnsi="Times New Roman" w:eastAsia="宋体" w:cs="Times New Roman"/>
                <w:color w:val="auto"/>
                <w:kern w:val="0"/>
                <w:sz w:val="24"/>
                <w:szCs w:val="24"/>
                <w:highlight w:val="none"/>
                <w:lang w:val="en-US" w:eastAsia="zh-CN" w:bidi="ar"/>
              </w:rPr>
              <w:t>陕西汉中朱鹮国家级自然保护区</w:t>
            </w:r>
            <w:r>
              <w:rPr>
                <w:rFonts w:hint="eastAsia" w:cs="Times New Roman"/>
                <w:color w:val="auto"/>
                <w:kern w:val="0"/>
                <w:sz w:val="24"/>
                <w:szCs w:val="24"/>
                <w:highlight w:val="none"/>
                <w:lang w:val="en-US" w:eastAsia="zh-CN" w:bidi="ar"/>
              </w:rPr>
              <w:t>实验区</w:t>
            </w:r>
            <w:r>
              <w:rPr>
                <w:rFonts w:hint="eastAsia" w:ascii="Times New Roman" w:hAnsi="Times New Roman" w:eastAsia="宋体" w:cs="Times New Roman"/>
                <w:color w:val="auto"/>
                <w:kern w:val="0"/>
                <w:sz w:val="24"/>
                <w:szCs w:val="24"/>
                <w:highlight w:val="none"/>
                <w:lang w:val="en-US" w:eastAsia="zh-CN" w:bidi="ar"/>
              </w:rPr>
              <w:t>，位置关系</w:t>
            </w:r>
            <w:r>
              <w:rPr>
                <w:rFonts w:hint="eastAsia" w:cs="Times New Roman"/>
                <w:color w:val="auto"/>
                <w:kern w:val="0"/>
                <w:sz w:val="24"/>
                <w:szCs w:val="24"/>
                <w:highlight w:val="none"/>
                <w:lang w:val="en-US" w:eastAsia="zh-CN" w:bidi="ar"/>
              </w:rPr>
              <w:t>见附图5</w:t>
            </w:r>
            <w:r>
              <w:rPr>
                <w:rFonts w:hint="eastAsia" w:ascii="Times New Roman" w:hAnsi="Times New Roman" w:eastAsia="宋体" w:cs="Times New Roman"/>
                <w:color w:val="auto"/>
                <w:kern w:val="0"/>
                <w:sz w:val="24"/>
                <w:szCs w:val="24"/>
                <w:highlight w:val="none"/>
                <w:lang w:val="en-US" w:eastAsia="zh-CN" w:bidi="ar"/>
              </w:rPr>
              <w:t>。</w:t>
            </w:r>
          </w:p>
          <w:p w14:paraId="2FB92741">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6、</w:t>
            </w:r>
            <w:r>
              <w:rPr>
                <w:rFonts w:hint="default" w:ascii="Times New Roman" w:hAnsi="Times New Roman" w:cs="Times New Roman"/>
                <w:b/>
                <w:bCs/>
                <w:color w:val="auto"/>
                <w:sz w:val="24"/>
                <w:szCs w:val="24"/>
                <w:lang w:val="en-US" w:eastAsia="zh-CN"/>
              </w:rPr>
              <w:t>项目区域环境质量现状</w:t>
            </w:r>
          </w:p>
          <w:p w14:paraId="72692CCD">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default" w:ascii="Times New Roman" w:hAnsi="Times New Roman" w:eastAsia="宋体" w:cs="Times New Roman"/>
                <w:color w:val="auto"/>
                <w:sz w:val="24"/>
                <w:szCs w:val="24"/>
                <w:lang w:val="en-US" w:eastAsia="zh-CN"/>
              </w:rPr>
              <w:t>（1）环境空气</w:t>
            </w:r>
            <w:r>
              <w:rPr>
                <w:rFonts w:hint="eastAsia" w:ascii="宋体" w:hAnsi="宋体" w:eastAsia="宋体" w:cs="宋体"/>
                <w:color w:val="auto"/>
                <w:sz w:val="24"/>
                <w:szCs w:val="24"/>
                <w:lang w:val="en-US" w:eastAsia="zh-CN"/>
              </w:rPr>
              <w:t>质量现状</w:t>
            </w:r>
          </w:p>
          <w:p w14:paraId="6EF0D948">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bookmarkStart w:id="3" w:name="_Hlk2534417"/>
            <w:r>
              <w:rPr>
                <w:rFonts w:hint="eastAsia" w:ascii="Times New Roman" w:hAnsi="Times New Roman" w:eastAsia="宋体" w:cs="Times New Roman"/>
                <w:color w:val="auto"/>
                <w:sz w:val="24"/>
                <w:szCs w:val="24"/>
                <w:highlight w:val="none"/>
                <w:lang w:val="en-US" w:eastAsia="zh-CN"/>
              </w:rPr>
              <w:t>本工程位于</w:t>
            </w:r>
            <w:r>
              <w:rPr>
                <w:rFonts w:hint="eastAsia" w:cs="Times New Roman"/>
                <w:color w:val="auto"/>
                <w:sz w:val="24"/>
                <w:szCs w:val="24"/>
                <w:highlight w:val="none"/>
                <w:lang w:val="en-US" w:eastAsia="zh-CN"/>
              </w:rPr>
              <w:t>汉中市洋县</w:t>
            </w:r>
            <w:r>
              <w:rPr>
                <w:rFonts w:hint="eastAsia" w:ascii="Times New Roman" w:hAnsi="Times New Roman" w:eastAsia="宋体" w:cs="Times New Roman"/>
                <w:color w:val="auto"/>
                <w:sz w:val="24"/>
                <w:szCs w:val="24"/>
                <w:highlight w:val="none"/>
                <w:lang w:val="en-US" w:eastAsia="zh-CN"/>
              </w:rPr>
              <w:t>，根据大气功能区划，工程所在地为二类功能区。本工程基本污染物环境质量现状数据引用</w:t>
            </w:r>
            <w:r>
              <w:rPr>
                <w:rFonts w:hint="default" w:ascii="Times New Roman" w:hAnsi="Times New Roman" w:eastAsia="宋体" w:cs="Times New Roman"/>
                <w:color w:val="auto"/>
                <w:sz w:val="24"/>
                <w:szCs w:val="24"/>
                <w:highlight w:val="none"/>
                <w:lang w:val="en-US" w:eastAsia="zh-CN"/>
              </w:rPr>
              <w:t>陕西省生态环境厅办公室202</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日公布的《环保快报202</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年12月及1~12月全省环境空气质量状况》</w:t>
            </w:r>
            <w:r>
              <w:rPr>
                <w:rFonts w:hint="eastAsia" w:ascii="Times New Roman" w:hAnsi="Times New Roman" w:eastAsia="宋体" w:cs="Times New Roman"/>
                <w:color w:val="auto"/>
                <w:sz w:val="24"/>
                <w:szCs w:val="24"/>
                <w:highlight w:val="none"/>
                <w:lang w:val="en-US" w:eastAsia="zh-CN"/>
              </w:rPr>
              <w:t>中公布的</w:t>
            </w:r>
            <w:r>
              <w:rPr>
                <w:rFonts w:hint="eastAsia" w:cs="Times New Roman"/>
                <w:color w:val="auto"/>
                <w:sz w:val="24"/>
                <w:szCs w:val="24"/>
                <w:highlight w:val="none"/>
                <w:lang w:val="en-US" w:eastAsia="zh-CN"/>
              </w:rPr>
              <w:t>洋县</w:t>
            </w:r>
            <w:r>
              <w:rPr>
                <w:rFonts w:hint="eastAsia" w:ascii="Times New Roman" w:hAnsi="Times New Roman" w:eastAsia="宋体" w:cs="Times New Roman"/>
                <w:color w:val="auto"/>
                <w:sz w:val="24"/>
                <w:szCs w:val="24"/>
                <w:highlight w:val="none"/>
                <w:lang w:val="en-US" w:eastAsia="zh-CN"/>
              </w:rPr>
              <w:t>202</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年1个评价基准年的常规例行监测数据。具体如下：</w:t>
            </w:r>
          </w:p>
          <w:p w14:paraId="7C82CD5C">
            <w:pPr>
              <w:jc w:val="center"/>
              <w:rPr>
                <w:b/>
                <w:bCs/>
                <w:color w:val="auto"/>
                <w:sz w:val="21"/>
                <w:szCs w:val="21"/>
              </w:rPr>
            </w:pPr>
            <w:r>
              <w:rPr>
                <w:b/>
                <w:bCs/>
                <w:color w:val="auto"/>
                <w:sz w:val="21"/>
                <w:szCs w:val="21"/>
              </w:rPr>
              <w:t>表3-</w:t>
            </w:r>
            <w:r>
              <w:rPr>
                <w:rFonts w:hint="eastAsia"/>
                <w:b/>
                <w:bCs/>
                <w:color w:val="auto"/>
                <w:sz w:val="21"/>
                <w:szCs w:val="21"/>
                <w:lang w:val="en-US" w:eastAsia="zh-CN"/>
              </w:rPr>
              <w:t>1</w:t>
            </w:r>
            <w:r>
              <w:rPr>
                <w:b/>
                <w:bCs/>
                <w:color w:val="auto"/>
                <w:sz w:val="21"/>
                <w:szCs w:val="21"/>
              </w:rPr>
              <w:t xml:space="preserve">  </w:t>
            </w:r>
            <w:r>
              <w:rPr>
                <w:rFonts w:hint="eastAsia"/>
                <w:b/>
                <w:bCs/>
                <w:color w:val="auto"/>
                <w:sz w:val="21"/>
                <w:szCs w:val="21"/>
                <w:lang w:val="en-US" w:eastAsia="zh-CN"/>
              </w:rPr>
              <w:t>工程所在区域</w:t>
            </w:r>
            <w:r>
              <w:rPr>
                <w:b/>
                <w:bCs/>
                <w:color w:val="auto"/>
                <w:sz w:val="21"/>
                <w:szCs w:val="21"/>
              </w:rPr>
              <w:t>环境空气质量现状评价表</w:t>
            </w:r>
          </w:p>
          <w:tbl>
            <w:tblPr>
              <w:tblStyle w:val="19"/>
              <w:tblW w:w="499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0"/>
              <w:gridCol w:w="2497"/>
              <w:gridCol w:w="1097"/>
              <w:gridCol w:w="912"/>
              <w:gridCol w:w="1335"/>
              <w:gridCol w:w="1155"/>
            </w:tblGrid>
            <w:tr w14:paraId="6F2A30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29" w:hRule="atLeast"/>
                <w:jc w:val="center"/>
              </w:trPr>
              <w:tc>
                <w:tcPr>
                  <w:tcW w:w="1030" w:type="dxa"/>
                  <w:noWrap w:val="0"/>
                  <w:vAlign w:val="center"/>
                </w:tcPr>
                <w:p w14:paraId="774E6DB1">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2497" w:type="dxa"/>
                  <w:noWrap w:val="0"/>
                  <w:vAlign w:val="center"/>
                </w:tcPr>
                <w:p w14:paraId="6CBE3EE7">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年评价指标</w:t>
                  </w:r>
                </w:p>
              </w:tc>
              <w:tc>
                <w:tcPr>
                  <w:tcW w:w="1097" w:type="dxa"/>
                  <w:noWrap w:val="0"/>
                  <w:vAlign w:val="center"/>
                </w:tcPr>
                <w:p w14:paraId="1D7060BF">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现状浓度</w:t>
                  </w:r>
                </w:p>
              </w:tc>
              <w:tc>
                <w:tcPr>
                  <w:tcW w:w="912" w:type="dxa"/>
                  <w:noWrap w:val="0"/>
                  <w:vAlign w:val="center"/>
                </w:tcPr>
                <w:p w14:paraId="04F80423">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w:t>
                  </w:r>
                </w:p>
              </w:tc>
              <w:tc>
                <w:tcPr>
                  <w:tcW w:w="1335" w:type="dxa"/>
                  <w:noWrap w:val="0"/>
                  <w:vAlign w:val="center"/>
                </w:tcPr>
                <w:p w14:paraId="3FAB4A68">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占标率（%）</w:t>
                  </w:r>
                </w:p>
              </w:tc>
              <w:tc>
                <w:tcPr>
                  <w:tcW w:w="1155" w:type="dxa"/>
                  <w:noWrap w:val="0"/>
                  <w:vAlign w:val="center"/>
                </w:tcPr>
                <w:p w14:paraId="64FEC9B0">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达标情况</w:t>
                  </w:r>
                </w:p>
              </w:tc>
            </w:tr>
            <w:tr w14:paraId="07B22F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030" w:type="dxa"/>
                  <w:noWrap w:val="0"/>
                  <w:vAlign w:val="center"/>
                </w:tcPr>
                <w:p w14:paraId="0773233B">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PM</w:t>
                  </w:r>
                  <w:r>
                    <w:rPr>
                      <w:rFonts w:hint="default" w:ascii="Times New Roman" w:hAnsi="Times New Roman" w:eastAsia="宋体" w:cs="Times New Roman"/>
                      <w:b w:val="0"/>
                      <w:bCs/>
                      <w:color w:val="auto"/>
                      <w:sz w:val="21"/>
                      <w:szCs w:val="21"/>
                      <w:highlight w:val="none"/>
                      <w:vertAlign w:val="subscript"/>
                    </w:rPr>
                    <w:t>10</w:t>
                  </w:r>
                </w:p>
              </w:tc>
              <w:tc>
                <w:tcPr>
                  <w:tcW w:w="2497" w:type="dxa"/>
                  <w:noWrap w:val="0"/>
                  <w:vAlign w:val="center"/>
                </w:tcPr>
                <w:p w14:paraId="35CB24E4">
                  <w:pPr>
                    <w:jc w:val="center"/>
                    <w:rPr>
                      <w:rFonts w:hint="default" w:ascii="Times New Roman" w:hAnsi="Times New Roman" w:eastAsia="宋体" w:cs="Times New Roman"/>
                      <w:b w:val="0"/>
                      <w:bCs/>
                      <w:color w:val="auto"/>
                      <w:sz w:val="21"/>
                      <w:szCs w:val="21"/>
                      <w:highlight w:val="none"/>
                    </w:rPr>
                  </w:pPr>
                  <w:r>
                    <w:rPr>
                      <w:rFonts w:hint="default" w:ascii="Times New Roman" w:hAnsi="Times New Roman" w:cs="Times New Roman"/>
                      <w:color w:val="auto"/>
                      <w:sz w:val="21"/>
                      <w:szCs w:val="21"/>
                    </w:rPr>
                    <w:t>年平均质量浓度（µg</w:t>
                  </w:r>
                  <w:r>
                    <w:rPr>
                      <w:rFonts w:hint="default" w:ascii="Times New Roman" w:hAnsi="Times New Roman" w:cs="Times New Roman"/>
                      <w:bCs/>
                      <w:snapToGrid w:val="0"/>
                      <w:color w:val="auto"/>
                      <w:sz w:val="21"/>
                      <w:szCs w:val="21"/>
                    </w:rPr>
                    <w:t>/m</w:t>
                  </w:r>
                  <w:r>
                    <w:rPr>
                      <w:rFonts w:hint="default" w:ascii="Times New Roman" w:hAnsi="Times New Roman" w:cs="Times New Roman"/>
                      <w:bCs/>
                      <w:snapToGrid w:val="0"/>
                      <w:color w:val="auto"/>
                      <w:sz w:val="21"/>
                      <w:szCs w:val="21"/>
                      <w:vertAlign w:val="superscript"/>
                    </w:rPr>
                    <w:t>3</w:t>
                  </w:r>
                  <w:r>
                    <w:rPr>
                      <w:rFonts w:hint="default" w:ascii="Times New Roman" w:hAnsi="Times New Roman" w:cs="Times New Roman"/>
                      <w:color w:val="auto"/>
                      <w:sz w:val="21"/>
                      <w:szCs w:val="21"/>
                    </w:rPr>
                    <w:t>）</w:t>
                  </w:r>
                </w:p>
              </w:tc>
              <w:tc>
                <w:tcPr>
                  <w:tcW w:w="1097" w:type="dxa"/>
                  <w:noWrap w:val="0"/>
                  <w:vAlign w:val="center"/>
                </w:tcPr>
                <w:p w14:paraId="4EBE6CCE">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42</w:t>
                  </w:r>
                </w:p>
              </w:tc>
              <w:tc>
                <w:tcPr>
                  <w:tcW w:w="912" w:type="dxa"/>
                  <w:noWrap w:val="0"/>
                  <w:vAlign w:val="center"/>
                </w:tcPr>
                <w:p w14:paraId="630F43FD">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60</w:t>
                  </w:r>
                </w:p>
              </w:tc>
              <w:tc>
                <w:tcPr>
                  <w:tcW w:w="1335" w:type="dxa"/>
                  <w:noWrap w:val="0"/>
                  <w:vAlign w:val="center"/>
                </w:tcPr>
                <w:p w14:paraId="5F49B546">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70</w:t>
                  </w:r>
                </w:p>
              </w:tc>
              <w:tc>
                <w:tcPr>
                  <w:tcW w:w="1155" w:type="dxa"/>
                  <w:noWrap w:val="0"/>
                  <w:vAlign w:val="center"/>
                </w:tcPr>
                <w:p w14:paraId="7A354B2D">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达标</w:t>
                  </w:r>
                </w:p>
              </w:tc>
            </w:tr>
            <w:tr w14:paraId="22934F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030" w:type="dxa"/>
                  <w:noWrap w:val="0"/>
                  <w:vAlign w:val="center"/>
                </w:tcPr>
                <w:p w14:paraId="1C8DC6DC">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PM</w:t>
                  </w:r>
                  <w:r>
                    <w:rPr>
                      <w:rFonts w:hint="default" w:ascii="Times New Roman" w:hAnsi="Times New Roman" w:eastAsia="宋体" w:cs="Times New Roman"/>
                      <w:b w:val="0"/>
                      <w:bCs/>
                      <w:color w:val="auto"/>
                      <w:sz w:val="21"/>
                      <w:szCs w:val="21"/>
                      <w:highlight w:val="none"/>
                      <w:vertAlign w:val="subscript"/>
                    </w:rPr>
                    <w:t>2.5</w:t>
                  </w:r>
                </w:p>
              </w:tc>
              <w:tc>
                <w:tcPr>
                  <w:tcW w:w="2497" w:type="dxa"/>
                  <w:noWrap w:val="0"/>
                  <w:vAlign w:val="center"/>
                </w:tcPr>
                <w:p w14:paraId="16BCA318">
                  <w:pPr>
                    <w:jc w:val="center"/>
                    <w:rPr>
                      <w:rFonts w:hint="default" w:ascii="Times New Roman" w:hAnsi="Times New Roman" w:eastAsia="宋体" w:cs="Times New Roman"/>
                      <w:b w:val="0"/>
                      <w:bCs/>
                      <w:color w:val="auto"/>
                      <w:sz w:val="21"/>
                      <w:szCs w:val="21"/>
                      <w:highlight w:val="none"/>
                    </w:rPr>
                  </w:pPr>
                  <w:r>
                    <w:rPr>
                      <w:rFonts w:hint="default" w:ascii="Times New Roman" w:hAnsi="Times New Roman" w:cs="Times New Roman"/>
                      <w:color w:val="auto"/>
                      <w:sz w:val="21"/>
                      <w:szCs w:val="21"/>
                    </w:rPr>
                    <w:t>年平均质量浓度（µg</w:t>
                  </w:r>
                  <w:r>
                    <w:rPr>
                      <w:rFonts w:hint="default" w:ascii="Times New Roman" w:hAnsi="Times New Roman" w:cs="Times New Roman"/>
                      <w:bCs/>
                      <w:snapToGrid w:val="0"/>
                      <w:color w:val="auto"/>
                      <w:sz w:val="21"/>
                      <w:szCs w:val="21"/>
                    </w:rPr>
                    <w:t>/m</w:t>
                  </w:r>
                  <w:r>
                    <w:rPr>
                      <w:rFonts w:hint="default" w:ascii="Times New Roman" w:hAnsi="Times New Roman" w:cs="Times New Roman"/>
                      <w:bCs/>
                      <w:snapToGrid w:val="0"/>
                      <w:color w:val="auto"/>
                      <w:sz w:val="21"/>
                      <w:szCs w:val="21"/>
                      <w:vertAlign w:val="superscript"/>
                    </w:rPr>
                    <w:t>3</w:t>
                  </w:r>
                  <w:r>
                    <w:rPr>
                      <w:rFonts w:hint="default" w:ascii="Times New Roman" w:hAnsi="Times New Roman" w:cs="Times New Roman"/>
                      <w:color w:val="auto"/>
                      <w:sz w:val="21"/>
                      <w:szCs w:val="21"/>
                    </w:rPr>
                    <w:t>）</w:t>
                  </w:r>
                </w:p>
              </w:tc>
              <w:tc>
                <w:tcPr>
                  <w:tcW w:w="1097" w:type="dxa"/>
                  <w:noWrap w:val="0"/>
                  <w:vAlign w:val="center"/>
                </w:tcPr>
                <w:p w14:paraId="2C28EF14">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28.5</w:t>
                  </w:r>
                </w:p>
              </w:tc>
              <w:tc>
                <w:tcPr>
                  <w:tcW w:w="912" w:type="dxa"/>
                  <w:noWrap w:val="0"/>
                  <w:vAlign w:val="center"/>
                </w:tcPr>
                <w:p w14:paraId="047B70C3">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3</w:t>
                  </w:r>
                  <w:r>
                    <w:rPr>
                      <w:rFonts w:hint="eastAsia" w:ascii="Times New Roman" w:hAnsi="Times New Roman" w:cs="Times New Roman"/>
                      <w:b w:val="0"/>
                      <w:bCs/>
                      <w:color w:val="auto"/>
                      <w:sz w:val="21"/>
                      <w:szCs w:val="21"/>
                      <w:highlight w:val="none"/>
                      <w:lang w:val="en-US" w:eastAsia="zh-CN"/>
                    </w:rPr>
                    <w:t>0</w:t>
                  </w:r>
                </w:p>
              </w:tc>
              <w:tc>
                <w:tcPr>
                  <w:tcW w:w="1335" w:type="dxa"/>
                  <w:noWrap w:val="0"/>
                  <w:vAlign w:val="center"/>
                </w:tcPr>
                <w:p w14:paraId="3BD2160A">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95</w:t>
                  </w:r>
                </w:p>
              </w:tc>
              <w:tc>
                <w:tcPr>
                  <w:tcW w:w="1155" w:type="dxa"/>
                  <w:noWrap w:val="0"/>
                  <w:vAlign w:val="center"/>
                </w:tcPr>
                <w:p w14:paraId="6703D1A1">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cs="Times New Roman"/>
                      <w:b w:val="0"/>
                      <w:bCs/>
                      <w:color w:val="auto"/>
                      <w:sz w:val="21"/>
                      <w:szCs w:val="21"/>
                      <w:highlight w:val="none"/>
                      <w:lang w:eastAsia="zh-CN"/>
                    </w:rPr>
                    <w:t>达标</w:t>
                  </w:r>
                </w:p>
              </w:tc>
            </w:tr>
            <w:tr w14:paraId="120750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030" w:type="dxa"/>
                  <w:noWrap w:val="0"/>
                  <w:vAlign w:val="center"/>
                </w:tcPr>
                <w:p w14:paraId="6B346AA6">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SO</w:t>
                  </w:r>
                  <w:r>
                    <w:rPr>
                      <w:rFonts w:hint="default" w:ascii="Times New Roman" w:hAnsi="Times New Roman" w:eastAsia="宋体" w:cs="Times New Roman"/>
                      <w:b w:val="0"/>
                      <w:bCs/>
                      <w:color w:val="auto"/>
                      <w:sz w:val="21"/>
                      <w:szCs w:val="21"/>
                      <w:highlight w:val="none"/>
                      <w:vertAlign w:val="subscript"/>
                    </w:rPr>
                    <w:t>2</w:t>
                  </w:r>
                </w:p>
              </w:tc>
              <w:tc>
                <w:tcPr>
                  <w:tcW w:w="2497" w:type="dxa"/>
                  <w:noWrap w:val="0"/>
                  <w:vAlign w:val="center"/>
                </w:tcPr>
                <w:p w14:paraId="408605D3">
                  <w:pPr>
                    <w:jc w:val="center"/>
                    <w:rPr>
                      <w:rFonts w:hint="default" w:ascii="Times New Roman" w:hAnsi="Times New Roman" w:eastAsia="宋体" w:cs="Times New Roman"/>
                      <w:b w:val="0"/>
                      <w:bCs/>
                      <w:color w:val="auto"/>
                      <w:sz w:val="21"/>
                      <w:szCs w:val="21"/>
                      <w:highlight w:val="none"/>
                    </w:rPr>
                  </w:pPr>
                  <w:r>
                    <w:rPr>
                      <w:rFonts w:hint="default" w:ascii="Times New Roman" w:hAnsi="Times New Roman" w:cs="Times New Roman"/>
                      <w:color w:val="auto"/>
                      <w:sz w:val="21"/>
                      <w:szCs w:val="21"/>
                    </w:rPr>
                    <w:t>年平均质量浓度（µg</w:t>
                  </w:r>
                  <w:r>
                    <w:rPr>
                      <w:rFonts w:hint="default" w:ascii="Times New Roman" w:hAnsi="Times New Roman" w:cs="Times New Roman"/>
                      <w:bCs/>
                      <w:snapToGrid w:val="0"/>
                      <w:color w:val="auto"/>
                      <w:sz w:val="21"/>
                      <w:szCs w:val="21"/>
                    </w:rPr>
                    <w:t>/m</w:t>
                  </w:r>
                  <w:r>
                    <w:rPr>
                      <w:rFonts w:hint="default" w:ascii="Times New Roman" w:hAnsi="Times New Roman" w:cs="Times New Roman"/>
                      <w:bCs/>
                      <w:snapToGrid w:val="0"/>
                      <w:color w:val="auto"/>
                      <w:sz w:val="21"/>
                      <w:szCs w:val="21"/>
                      <w:vertAlign w:val="superscript"/>
                    </w:rPr>
                    <w:t>3</w:t>
                  </w:r>
                  <w:r>
                    <w:rPr>
                      <w:rFonts w:hint="default" w:ascii="Times New Roman" w:hAnsi="Times New Roman" w:cs="Times New Roman"/>
                      <w:color w:val="auto"/>
                      <w:sz w:val="21"/>
                      <w:szCs w:val="21"/>
                    </w:rPr>
                    <w:t>）</w:t>
                  </w:r>
                </w:p>
              </w:tc>
              <w:tc>
                <w:tcPr>
                  <w:tcW w:w="1097" w:type="dxa"/>
                  <w:noWrap w:val="0"/>
                  <w:vAlign w:val="center"/>
                </w:tcPr>
                <w:p w14:paraId="298F7CF5">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6</w:t>
                  </w:r>
                </w:p>
              </w:tc>
              <w:tc>
                <w:tcPr>
                  <w:tcW w:w="912" w:type="dxa"/>
                  <w:noWrap w:val="0"/>
                  <w:vAlign w:val="center"/>
                </w:tcPr>
                <w:p w14:paraId="43A7FE3B">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60</w:t>
                  </w:r>
                </w:p>
              </w:tc>
              <w:tc>
                <w:tcPr>
                  <w:tcW w:w="1335" w:type="dxa"/>
                  <w:noWrap w:val="0"/>
                  <w:vAlign w:val="center"/>
                </w:tcPr>
                <w:p w14:paraId="5C110EF0">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10.00</w:t>
                  </w:r>
                </w:p>
              </w:tc>
              <w:tc>
                <w:tcPr>
                  <w:tcW w:w="1155" w:type="dxa"/>
                  <w:noWrap w:val="0"/>
                  <w:vAlign w:val="center"/>
                </w:tcPr>
                <w:p w14:paraId="2A29813F">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达标</w:t>
                  </w:r>
                </w:p>
              </w:tc>
            </w:tr>
            <w:tr w14:paraId="74E27E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030" w:type="dxa"/>
                  <w:noWrap w:val="0"/>
                  <w:vAlign w:val="center"/>
                </w:tcPr>
                <w:p w14:paraId="02CF17BD">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NO</w:t>
                  </w:r>
                  <w:r>
                    <w:rPr>
                      <w:rFonts w:hint="default" w:ascii="Times New Roman" w:hAnsi="Times New Roman" w:eastAsia="宋体" w:cs="Times New Roman"/>
                      <w:b w:val="0"/>
                      <w:bCs/>
                      <w:color w:val="auto"/>
                      <w:sz w:val="21"/>
                      <w:szCs w:val="21"/>
                      <w:highlight w:val="none"/>
                      <w:vertAlign w:val="subscript"/>
                    </w:rPr>
                    <w:t>2</w:t>
                  </w:r>
                </w:p>
              </w:tc>
              <w:tc>
                <w:tcPr>
                  <w:tcW w:w="2497" w:type="dxa"/>
                  <w:noWrap w:val="0"/>
                  <w:vAlign w:val="center"/>
                </w:tcPr>
                <w:p w14:paraId="49C28AFD">
                  <w:pPr>
                    <w:jc w:val="center"/>
                    <w:rPr>
                      <w:rFonts w:hint="default" w:ascii="Times New Roman" w:hAnsi="Times New Roman" w:eastAsia="宋体" w:cs="Times New Roman"/>
                      <w:b w:val="0"/>
                      <w:bCs/>
                      <w:color w:val="auto"/>
                      <w:sz w:val="21"/>
                      <w:szCs w:val="21"/>
                      <w:highlight w:val="none"/>
                    </w:rPr>
                  </w:pPr>
                  <w:r>
                    <w:rPr>
                      <w:rFonts w:hint="default" w:ascii="Times New Roman" w:hAnsi="Times New Roman" w:cs="Times New Roman"/>
                      <w:color w:val="auto"/>
                      <w:sz w:val="21"/>
                      <w:szCs w:val="21"/>
                    </w:rPr>
                    <w:t>年平均质量浓度（µg</w:t>
                  </w:r>
                  <w:r>
                    <w:rPr>
                      <w:rFonts w:hint="default" w:ascii="Times New Roman" w:hAnsi="Times New Roman" w:cs="Times New Roman"/>
                      <w:bCs/>
                      <w:snapToGrid w:val="0"/>
                      <w:color w:val="auto"/>
                      <w:sz w:val="21"/>
                      <w:szCs w:val="21"/>
                    </w:rPr>
                    <w:t>/m</w:t>
                  </w:r>
                  <w:r>
                    <w:rPr>
                      <w:rFonts w:hint="default" w:ascii="Times New Roman" w:hAnsi="Times New Roman" w:cs="Times New Roman"/>
                      <w:bCs/>
                      <w:snapToGrid w:val="0"/>
                      <w:color w:val="auto"/>
                      <w:sz w:val="21"/>
                      <w:szCs w:val="21"/>
                      <w:vertAlign w:val="superscript"/>
                    </w:rPr>
                    <w:t>3</w:t>
                  </w:r>
                  <w:r>
                    <w:rPr>
                      <w:rFonts w:hint="default" w:ascii="Times New Roman" w:hAnsi="Times New Roman" w:cs="Times New Roman"/>
                      <w:color w:val="auto"/>
                      <w:sz w:val="21"/>
                      <w:szCs w:val="21"/>
                    </w:rPr>
                    <w:t>）</w:t>
                  </w:r>
                </w:p>
              </w:tc>
              <w:tc>
                <w:tcPr>
                  <w:tcW w:w="1097" w:type="dxa"/>
                  <w:noWrap w:val="0"/>
                  <w:vAlign w:val="center"/>
                </w:tcPr>
                <w:p w14:paraId="4CFEF2DE">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14</w:t>
                  </w:r>
                </w:p>
              </w:tc>
              <w:tc>
                <w:tcPr>
                  <w:tcW w:w="912" w:type="dxa"/>
                  <w:noWrap w:val="0"/>
                  <w:vAlign w:val="center"/>
                </w:tcPr>
                <w:p w14:paraId="0328C04B">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40</w:t>
                  </w:r>
                </w:p>
              </w:tc>
              <w:tc>
                <w:tcPr>
                  <w:tcW w:w="1335" w:type="dxa"/>
                  <w:noWrap w:val="0"/>
                  <w:vAlign w:val="center"/>
                </w:tcPr>
                <w:p w14:paraId="511E288A">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35.00</w:t>
                  </w:r>
                </w:p>
              </w:tc>
              <w:tc>
                <w:tcPr>
                  <w:tcW w:w="1155" w:type="dxa"/>
                  <w:noWrap w:val="0"/>
                  <w:vAlign w:val="center"/>
                </w:tcPr>
                <w:p w14:paraId="2CED13E4">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达标</w:t>
                  </w:r>
                </w:p>
              </w:tc>
            </w:tr>
            <w:tr w14:paraId="0B5AC9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030" w:type="dxa"/>
                  <w:noWrap w:val="0"/>
                  <w:vAlign w:val="center"/>
                </w:tcPr>
                <w:p w14:paraId="752561DA">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CO</w:t>
                  </w:r>
                </w:p>
              </w:tc>
              <w:tc>
                <w:tcPr>
                  <w:tcW w:w="2497" w:type="dxa"/>
                  <w:noWrap w:val="0"/>
                  <w:vAlign w:val="center"/>
                </w:tcPr>
                <w:p w14:paraId="786FB67F">
                  <w:pPr>
                    <w:jc w:val="center"/>
                    <w:rPr>
                      <w:rFonts w:hint="default" w:ascii="Times New Roman" w:hAnsi="Times New Roman" w:eastAsia="宋体" w:cs="Times New Roman"/>
                      <w:b w:val="0"/>
                      <w:bCs/>
                      <w:color w:val="auto"/>
                      <w:sz w:val="21"/>
                      <w:szCs w:val="21"/>
                      <w:highlight w:val="none"/>
                    </w:rPr>
                  </w:pPr>
                  <w:r>
                    <w:rPr>
                      <w:rFonts w:hint="default" w:ascii="Times New Roman" w:hAnsi="Times New Roman" w:cs="Times New Roman"/>
                      <w:color w:val="auto"/>
                      <w:sz w:val="21"/>
                      <w:szCs w:val="21"/>
                    </w:rPr>
                    <w:t>第95百分位浓度（mg</w:t>
                  </w:r>
                  <w:r>
                    <w:rPr>
                      <w:rFonts w:hint="default" w:ascii="Times New Roman" w:hAnsi="Times New Roman" w:cs="Times New Roman"/>
                      <w:bCs/>
                      <w:snapToGrid w:val="0"/>
                      <w:color w:val="auto"/>
                      <w:sz w:val="21"/>
                      <w:szCs w:val="21"/>
                    </w:rPr>
                    <w:t>/m</w:t>
                  </w:r>
                  <w:r>
                    <w:rPr>
                      <w:rFonts w:hint="default" w:ascii="Times New Roman" w:hAnsi="Times New Roman" w:cs="Times New Roman"/>
                      <w:bCs/>
                      <w:snapToGrid w:val="0"/>
                      <w:color w:val="auto"/>
                      <w:sz w:val="21"/>
                      <w:szCs w:val="21"/>
                      <w:vertAlign w:val="superscript"/>
                    </w:rPr>
                    <w:t>3</w:t>
                  </w:r>
                  <w:r>
                    <w:rPr>
                      <w:rFonts w:hint="default" w:ascii="Times New Roman" w:hAnsi="Times New Roman" w:cs="Times New Roman"/>
                      <w:color w:val="auto"/>
                      <w:sz w:val="21"/>
                      <w:szCs w:val="21"/>
                    </w:rPr>
                    <w:t>）</w:t>
                  </w:r>
                </w:p>
              </w:tc>
              <w:tc>
                <w:tcPr>
                  <w:tcW w:w="1097" w:type="dxa"/>
                  <w:noWrap w:val="0"/>
                  <w:vAlign w:val="center"/>
                </w:tcPr>
                <w:p w14:paraId="33472CF0">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1.2</w:t>
                  </w:r>
                </w:p>
              </w:tc>
              <w:tc>
                <w:tcPr>
                  <w:tcW w:w="912" w:type="dxa"/>
                  <w:noWrap w:val="0"/>
                  <w:vAlign w:val="center"/>
                </w:tcPr>
                <w:p w14:paraId="6AAF46E4">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4</w:t>
                  </w:r>
                </w:p>
              </w:tc>
              <w:tc>
                <w:tcPr>
                  <w:tcW w:w="1335" w:type="dxa"/>
                  <w:noWrap w:val="0"/>
                  <w:vAlign w:val="center"/>
                </w:tcPr>
                <w:p w14:paraId="612B901E">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30.00</w:t>
                  </w:r>
                </w:p>
              </w:tc>
              <w:tc>
                <w:tcPr>
                  <w:tcW w:w="1155" w:type="dxa"/>
                  <w:noWrap w:val="0"/>
                  <w:vAlign w:val="center"/>
                </w:tcPr>
                <w:p w14:paraId="4FFF5899">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达标</w:t>
                  </w:r>
                </w:p>
              </w:tc>
            </w:tr>
            <w:tr w14:paraId="0AB7ED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1030" w:type="dxa"/>
                  <w:noWrap w:val="0"/>
                  <w:vAlign w:val="center"/>
                </w:tcPr>
                <w:p w14:paraId="4F34C5C9">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O</w:t>
                  </w:r>
                  <w:r>
                    <w:rPr>
                      <w:rFonts w:hint="default" w:ascii="Times New Roman" w:hAnsi="Times New Roman" w:eastAsia="宋体" w:cs="Times New Roman"/>
                      <w:b w:val="0"/>
                      <w:bCs/>
                      <w:color w:val="auto"/>
                      <w:sz w:val="21"/>
                      <w:szCs w:val="21"/>
                      <w:highlight w:val="none"/>
                      <w:vertAlign w:val="subscript"/>
                    </w:rPr>
                    <w:t>3</w:t>
                  </w:r>
                </w:p>
              </w:tc>
              <w:tc>
                <w:tcPr>
                  <w:tcW w:w="2497" w:type="dxa"/>
                  <w:noWrap w:val="0"/>
                  <w:vAlign w:val="center"/>
                </w:tcPr>
                <w:p w14:paraId="7740C928">
                  <w:pPr>
                    <w:jc w:val="center"/>
                    <w:rPr>
                      <w:rFonts w:hint="default" w:ascii="Times New Roman" w:hAnsi="Times New Roman" w:eastAsia="宋体" w:cs="Times New Roman"/>
                      <w:b w:val="0"/>
                      <w:bCs/>
                      <w:color w:val="auto"/>
                      <w:sz w:val="21"/>
                      <w:szCs w:val="21"/>
                      <w:highlight w:val="none"/>
                    </w:rPr>
                  </w:pPr>
                  <w:r>
                    <w:rPr>
                      <w:rFonts w:hint="default" w:ascii="Times New Roman" w:hAnsi="Times New Roman" w:cs="Times New Roman"/>
                      <w:color w:val="auto"/>
                      <w:sz w:val="21"/>
                      <w:szCs w:val="21"/>
                    </w:rPr>
                    <w:t>第90百分位浓度（µg</w:t>
                  </w:r>
                  <w:r>
                    <w:rPr>
                      <w:rFonts w:hint="default" w:ascii="Times New Roman" w:hAnsi="Times New Roman" w:cs="Times New Roman"/>
                      <w:bCs/>
                      <w:snapToGrid w:val="0"/>
                      <w:color w:val="auto"/>
                      <w:sz w:val="21"/>
                      <w:szCs w:val="21"/>
                    </w:rPr>
                    <w:t>/m</w:t>
                  </w:r>
                  <w:r>
                    <w:rPr>
                      <w:rFonts w:hint="default" w:ascii="Times New Roman" w:hAnsi="Times New Roman" w:cs="Times New Roman"/>
                      <w:bCs/>
                      <w:snapToGrid w:val="0"/>
                      <w:color w:val="auto"/>
                      <w:sz w:val="21"/>
                      <w:szCs w:val="21"/>
                      <w:vertAlign w:val="superscript"/>
                    </w:rPr>
                    <w:t>3</w:t>
                  </w:r>
                  <w:r>
                    <w:rPr>
                      <w:rFonts w:hint="default" w:ascii="Times New Roman" w:hAnsi="Times New Roman" w:cs="Times New Roman"/>
                      <w:color w:val="auto"/>
                      <w:sz w:val="21"/>
                      <w:szCs w:val="21"/>
                    </w:rPr>
                    <w:t>）</w:t>
                  </w:r>
                </w:p>
              </w:tc>
              <w:tc>
                <w:tcPr>
                  <w:tcW w:w="1097" w:type="dxa"/>
                  <w:noWrap w:val="0"/>
                  <w:vAlign w:val="center"/>
                </w:tcPr>
                <w:p w14:paraId="280FC360">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120</w:t>
                  </w:r>
                </w:p>
              </w:tc>
              <w:tc>
                <w:tcPr>
                  <w:tcW w:w="912" w:type="dxa"/>
                  <w:noWrap w:val="0"/>
                  <w:vAlign w:val="center"/>
                </w:tcPr>
                <w:p w14:paraId="452C1096">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160</w:t>
                  </w:r>
                </w:p>
              </w:tc>
              <w:tc>
                <w:tcPr>
                  <w:tcW w:w="1335" w:type="dxa"/>
                  <w:noWrap w:val="0"/>
                  <w:vAlign w:val="center"/>
                </w:tcPr>
                <w:p w14:paraId="66D95DA6">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75.00</w:t>
                  </w:r>
                </w:p>
              </w:tc>
              <w:tc>
                <w:tcPr>
                  <w:tcW w:w="1155" w:type="dxa"/>
                  <w:noWrap w:val="0"/>
                  <w:vAlign w:val="center"/>
                </w:tcPr>
                <w:p w14:paraId="7E4B7822">
                  <w:pPr>
                    <w:pStyle w:val="36"/>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达标</w:t>
                  </w:r>
                </w:p>
              </w:tc>
            </w:tr>
          </w:tbl>
          <w:p w14:paraId="2735ACFE">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由上表可知，工程所在区域大气污染物中PM</w:t>
            </w:r>
            <w:r>
              <w:rPr>
                <w:rFonts w:hint="eastAsia" w:ascii="Times New Roman" w:hAnsi="Times New Roman" w:eastAsia="宋体" w:cs="Times New Roman"/>
                <w:color w:val="auto"/>
                <w:sz w:val="24"/>
                <w:szCs w:val="24"/>
                <w:highlight w:val="none"/>
                <w:vertAlign w:val="subscript"/>
                <w:lang w:val="en-US" w:eastAsia="zh-CN"/>
              </w:rPr>
              <w:t>10</w:t>
            </w:r>
            <w:r>
              <w:rPr>
                <w:rFonts w:hint="eastAsia" w:ascii="Times New Roman" w:hAnsi="Times New Roman" w:eastAsia="宋体" w:cs="Times New Roman"/>
                <w:color w:val="auto"/>
                <w:sz w:val="24"/>
                <w:szCs w:val="24"/>
                <w:highlight w:val="none"/>
                <w:lang w:val="en-US" w:eastAsia="zh-CN"/>
              </w:rPr>
              <w:t>年平均质量浓度、PM</w:t>
            </w:r>
            <w:r>
              <w:rPr>
                <w:rFonts w:hint="eastAsia" w:ascii="Times New Roman" w:hAnsi="Times New Roman" w:eastAsia="宋体" w:cs="Times New Roman"/>
                <w:color w:val="auto"/>
                <w:sz w:val="24"/>
                <w:szCs w:val="24"/>
                <w:highlight w:val="none"/>
                <w:vertAlign w:val="subscript"/>
                <w:lang w:val="en-US" w:eastAsia="zh-CN"/>
              </w:rPr>
              <w:t>2.5</w:t>
            </w:r>
            <w:r>
              <w:rPr>
                <w:rFonts w:hint="eastAsia" w:ascii="Times New Roman" w:hAnsi="Times New Roman" w:eastAsia="宋体" w:cs="Times New Roman"/>
                <w:color w:val="auto"/>
                <w:sz w:val="24"/>
                <w:szCs w:val="24"/>
                <w:highlight w:val="none"/>
                <w:lang w:val="en-US" w:eastAsia="zh-CN"/>
              </w:rPr>
              <w:t>年平均质量浓度、SO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年平均质量浓度、NO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年平均质量浓度、CO第95百分位浓度、O</w:t>
            </w:r>
            <w:r>
              <w:rPr>
                <w:rFonts w:hint="eastAsia" w:ascii="Times New Roman" w:hAnsi="Times New Roman" w:eastAsia="宋体" w:cs="Times New Roman"/>
                <w:color w:val="auto"/>
                <w:sz w:val="24"/>
                <w:szCs w:val="24"/>
                <w:highlight w:val="none"/>
                <w:vertAlign w:val="subscript"/>
                <w:lang w:val="en-US" w:eastAsia="zh-CN"/>
              </w:rPr>
              <w:t>3</w:t>
            </w:r>
            <w:r>
              <w:rPr>
                <w:rFonts w:hint="eastAsia" w:ascii="Times New Roman" w:hAnsi="Times New Roman" w:eastAsia="宋体" w:cs="Times New Roman"/>
                <w:color w:val="auto"/>
                <w:sz w:val="24"/>
                <w:szCs w:val="24"/>
                <w:highlight w:val="none"/>
                <w:lang w:val="en-US" w:eastAsia="zh-CN"/>
              </w:rPr>
              <w:t>第90百分位浓度均满足《环境空气质量标准》（GB3095-20</w:t>
            </w:r>
            <w:r>
              <w:rPr>
                <w:rFonts w:hint="eastAsia" w:cs="Times New Roman"/>
                <w:color w:val="auto"/>
                <w:sz w:val="24"/>
                <w:szCs w:val="24"/>
                <w:highlight w:val="none"/>
                <w:lang w:val="en-US" w:eastAsia="zh-CN"/>
              </w:rPr>
              <w:t>26</w:t>
            </w:r>
            <w:r>
              <w:rPr>
                <w:rFonts w:hint="eastAsia" w:ascii="Times New Roman" w:hAnsi="Times New Roman" w:eastAsia="宋体" w:cs="Times New Roman"/>
                <w:color w:val="auto"/>
                <w:sz w:val="24"/>
                <w:szCs w:val="24"/>
                <w:highlight w:val="none"/>
                <w:lang w:val="en-US" w:eastAsia="zh-CN"/>
              </w:rPr>
              <w:t>）中</w:t>
            </w:r>
            <w:r>
              <w:rPr>
                <w:rFonts w:hint="eastAsia" w:cs="Times New Roman"/>
                <w:color w:val="auto"/>
                <w:sz w:val="24"/>
                <w:szCs w:val="24"/>
                <w:highlight w:val="none"/>
                <w:lang w:val="en-US" w:eastAsia="zh-CN"/>
              </w:rPr>
              <w:t>过渡阶段</w:t>
            </w:r>
            <w:r>
              <w:rPr>
                <w:rFonts w:hint="eastAsia" w:ascii="Times New Roman" w:hAnsi="Times New Roman" w:eastAsia="宋体" w:cs="Times New Roman"/>
                <w:color w:val="auto"/>
                <w:sz w:val="24"/>
                <w:szCs w:val="24"/>
                <w:highlight w:val="none"/>
                <w:lang w:val="en-US" w:eastAsia="zh-CN"/>
              </w:rPr>
              <w:t>二级标准限值要求。因此，本工程所在评价区域属于达标区</w:t>
            </w:r>
            <w:r>
              <w:rPr>
                <w:rFonts w:hint="default" w:ascii="Times New Roman" w:hAnsi="Times New Roman" w:eastAsia="宋体" w:cs="Times New Roman"/>
                <w:color w:val="auto"/>
                <w:sz w:val="24"/>
                <w:szCs w:val="24"/>
                <w:highlight w:val="none"/>
                <w:lang w:val="en-US" w:eastAsia="zh-CN"/>
              </w:rPr>
              <w:t>。</w:t>
            </w:r>
          </w:p>
          <w:bookmarkEnd w:id="3"/>
          <w:p w14:paraId="0E529704">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（2）地表水环境质量现状</w:t>
            </w:r>
          </w:p>
          <w:p w14:paraId="31EEA79F">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工程所在区域地表水为</w:t>
            </w:r>
            <w:r>
              <w:rPr>
                <w:rFonts w:hint="eastAsia" w:cs="Times New Roman"/>
                <w:color w:val="auto"/>
                <w:sz w:val="24"/>
                <w:szCs w:val="24"/>
                <w:highlight w:val="none"/>
                <w:lang w:val="en-US" w:eastAsia="zh-CN"/>
              </w:rPr>
              <w:t>汉江</w:t>
            </w:r>
            <w:r>
              <w:rPr>
                <w:rFonts w:hint="eastAsia" w:ascii="Times New Roman" w:hAnsi="Times New Roman" w:eastAsia="宋体" w:cs="Times New Roman"/>
                <w:color w:val="auto"/>
                <w:sz w:val="24"/>
                <w:szCs w:val="24"/>
                <w:highlight w:val="none"/>
                <w:lang w:val="en-US" w:eastAsia="zh-CN"/>
              </w:rPr>
              <w:t>，环境区划</w:t>
            </w:r>
            <w:r>
              <w:rPr>
                <w:rFonts w:hint="default" w:ascii="Times New Roman" w:hAnsi="Times New Roman" w:eastAsia="宋体" w:cs="Times New Roman"/>
                <w:color w:val="auto"/>
                <w:sz w:val="24"/>
                <w:szCs w:val="24"/>
                <w:highlight w:val="none"/>
                <w:lang w:val="en-US" w:eastAsia="zh-CN"/>
              </w:rPr>
              <w:t>为</w:t>
            </w:r>
            <w:r>
              <w:rPr>
                <w:rFonts w:ascii="Times New Roman" w:hAnsi="Times New Roman" w:eastAsia="Times New Roman" w:cs="Times New Roman"/>
                <w:spacing w:val="-1"/>
                <w:sz w:val="24"/>
                <w:szCs w:val="24"/>
              </w:rPr>
              <w:t>Ⅱ</w:t>
            </w:r>
            <w:r>
              <w:rPr>
                <w:rFonts w:hint="eastAsia" w:ascii="Times New Roman" w:hAnsi="Times New Roman" w:eastAsia="宋体" w:cs="Times New Roman"/>
                <w:color w:val="auto"/>
                <w:sz w:val="24"/>
                <w:szCs w:val="24"/>
                <w:highlight w:val="none"/>
                <w:lang w:val="en-US" w:eastAsia="zh-CN"/>
              </w:rPr>
              <w:t>类</w:t>
            </w:r>
            <w:r>
              <w:rPr>
                <w:rFonts w:hint="default" w:ascii="Times New Roman" w:hAnsi="Times New Roman" w:eastAsia="宋体" w:cs="Times New Roman"/>
                <w:color w:val="auto"/>
                <w:sz w:val="24"/>
                <w:szCs w:val="24"/>
                <w:highlight w:val="none"/>
                <w:lang w:val="en-US" w:eastAsia="zh-CN"/>
              </w:rPr>
              <w:t>功</w:t>
            </w:r>
            <w:r>
              <w:rPr>
                <w:rFonts w:hint="eastAsia" w:ascii="Times New Roman" w:hAnsi="Times New Roman" w:eastAsia="宋体" w:cs="Times New Roman"/>
                <w:color w:val="auto"/>
                <w:sz w:val="24"/>
                <w:szCs w:val="24"/>
                <w:highlight w:val="none"/>
                <w:lang w:val="en-US" w:eastAsia="zh-CN"/>
              </w:rPr>
              <w:t>能区，执行《地表水环境质量》（GB3838-2002）中的</w:t>
            </w:r>
            <w:r>
              <w:rPr>
                <w:rFonts w:ascii="Times New Roman" w:hAnsi="Times New Roman" w:eastAsia="Times New Roman" w:cs="Times New Roman"/>
                <w:spacing w:val="-1"/>
                <w:sz w:val="24"/>
                <w:szCs w:val="24"/>
              </w:rPr>
              <w:t>Ⅱ</w:t>
            </w:r>
            <w:r>
              <w:rPr>
                <w:rFonts w:hint="eastAsia" w:ascii="Times New Roman" w:hAnsi="Times New Roman" w:eastAsia="宋体" w:cs="Times New Roman"/>
                <w:color w:val="auto"/>
                <w:sz w:val="24"/>
                <w:szCs w:val="24"/>
                <w:highlight w:val="none"/>
                <w:lang w:val="en-US" w:eastAsia="zh-CN"/>
              </w:rPr>
              <w:t>类区标准要求</w:t>
            </w:r>
            <w:r>
              <w:rPr>
                <w:rFonts w:hint="default" w:ascii="Times New Roman" w:hAnsi="Times New Roman" w:eastAsia="宋体" w:cs="Times New Roman"/>
                <w:color w:val="auto"/>
                <w:sz w:val="24"/>
                <w:szCs w:val="24"/>
                <w:highlight w:val="none"/>
                <w:lang w:val="en-US" w:eastAsia="zh-CN"/>
              </w:rPr>
              <w:t>。为了解</w:t>
            </w:r>
            <w:r>
              <w:rPr>
                <w:rFonts w:hint="eastAsia" w:ascii="Times New Roman" w:hAnsi="Times New Roman" w:eastAsia="宋体" w:cs="Times New Roman"/>
                <w:color w:val="auto"/>
                <w:sz w:val="24"/>
                <w:szCs w:val="24"/>
                <w:highlight w:val="none"/>
                <w:lang w:val="en-US" w:eastAsia="zh-CN"/>
              </w:rPr>
              <w:t>工程</w:t>
            </w:r>
            <w:r>
              <w:rPr>
                <w:rFonts w:hint="default" w:ascii="Times New Roman" w:hAnsi="Times New Roman" w:eastAsia="宋体" w:cs="Times New Roman"/>
                <w:color w:val="auto"/>
                <w:sz w:val="24"/>
                <w:szCs w:val="24"/>
                <w:highlight w:val="none"/>
                <w:lang w:val="en-US" w:eastAsia="zh-CN"/>
              </w:rPr>
              <w:t>沿线河流水质现状，本次评价</w:t>
            </w:r>
            <w:r>
              <w:rPr>
                <w:rFonts w:hint="eastAsia" w:ascii="Times New Roman" w:hAnsi="Times New Roman" w:eastAsia="宋体" w:cs="Times New Roman"/>
                <w:color w:val="auto"/>
                <w:sz w:val="24"/>
                <w:szCs w:val="24"/>
                <w:highlight w:val="none"/>
                <w:lang w:val="en-US" w:eastAsia="zh-CN"/>
              </w:rPr>
              <w:t>委托陕西</w:t>
            </w:r>
            <w:r>
              <w:rPr>
                <w:rFonts w:hint="eastAsia" w:cs="Times New Roman"/>
                <w:color w:val="auto"/>
                <w:sz w:val="24"/>
                <w:szCs w:val="24"/>
                <w:highlight w:val="none"/>
                <w:lang w:val="en-US" w:eastAsia="zh-CN"/>
              </w:rPr>
              <w:t>国华质安检测技术</w:t>
            </w:r>
            <w:r>
              <w:rPr>
                <w:rFonts w:hint="eastAsia" w:ascii="Times New Roman" w:hAnsi="Times New Roman" w:eastAsia="宋体" w:cs="Times New Roman"/>
                <w:color w:val="auto"/>
                <w:sz w:val="24"/>
                <w:szCs w:val="24"/>
                <w:highlight w:val="none"/>
                <w:lang w:val="en-US" w:eastAsia="zh-CN"/>
              </w:rPr>
              <w:t>有限</w:t>
            </w:r>
            <w:r>
              <w:rPr>
                <w:rFonts w:hint="eastAsia" w:cs="Times New Roman"/>
                <w:color w:val="auto"/>
                <w:sz w:val="24"/>
                <w:szCs w:val="24"/>
                <w:highlight w:val="none"/>
                <w:lang w:val="en-US" w:eastAsia="zh-CN"/>
              </w:rPr>
              <w:t>责任</w:t>
            </w:r>
            <w:r>
              <w:rPr>
                <w:rFonts w:hint="eastAsia" w:ascii="Times New Roman" w:hAnsi="Times New Roman" w:eastAsia="宋体" w:cs="Times New Roman"/>
                <w:color w:val="auto"/>
                <w:sz w:val="24"/>
                <w:szCs w:val="24"/>
                <w:highlight w:val="none"/>
                <w:lang w:val="en-US" w:eastAsia="zh-CN"/>
              </w:rPr>
              <w:t>公司于2026年4月</w:t>
            </w:r>
            <w:r>
              <w:rPr>
                <w:rFonts w:hint="eastAsia" w:cs="Times New Roman"/>
                <w:color w:val="auto"/>
                <w:sz w:val="24"/>
                <w:szCs w:val="24"/>
                <w:highlight w:val="none"/>
                <w:lang w:val="en-US" w:eastAsia="zh-CN"/>
              </w:rPr>
              <w:t>28</w:t>
            </w:r>
            <w:r>
              <w:rPr>
                <w:rFonts w:hint="eastAsia" w:ascii="Times New Roman" w:hAnsi="Times New Roman" w:eastAsia="宋体" w:cs="Times New Roman"/>
                <w:color w:val="auto"/>
                <w:sz w:val="24"/>
                <w:szCs w:val="24"/>
                <w:highlight w:val="none"/>
                <w:lang w:val="en-US" w:eastAsia="zh-CN"/>
              </w:rPr>
              <w:t>日</w:t>
            </w:r>
            <w:r>
              <w:rPr>
                <w:rFonts w:hint="eastAsia" w:cs="Times New Roman"/>
                <w:color w:val="auto"/>
                <w:sz w:val="24"/>
                <w:szCs w:val="24"/>
                <w:highlight w:val="none"/>
                <w:lang w:val="en-US" w:eastAsia="zh-CN"/>
              </w:rPr>
              <w:t>和29日</w:t>
            </w:r>
            <w:r>
              <w:rPr>
                <w:rFonts w:hint="eastAsia" w:ascii="Times New Roman" w:hAnsi="Times New Roman" w:eastAsia="宋体" w:cs="Times New Roman"/>
                <w:color w:val="auto"/>
                <w:sz w:val="24"/>
                <w:szCs w:val="24"/>
                <w:highlight w:val="none"/>
                <w:lang w:val="en-US" w:eastAsia="zh-CN"/>
              </w:rPr>
              <w:t>对工程区</w:t>
            </w:r>
            <w:r>
              <w:rPr>
                <w:rFonts w:hint="eastAsia" w:cs="Times New Roman"/>
                <w:color w:val="auto"/>
                <w:sz w:val="24"/>
                <w:szCs w:val="24"/>
                <w:highlight w:val="none"/>
                <w:lang w:val="en-US" w:eastAsia="zh-CN"/>
              </w:rPr>
              <w:t>汉江</w:t>
            </w:r>
            <w:r>
              <w:rPr>
                <w:rFonts w:hint="eastAsia" w:ascii="Times New Roman" w:hAnsi="Times New Roman" w:eastAsia="宋体" w:cs="Times New Roman"/>
                <w:color w:val="auto"/>
                <w:sz w:val="24"/>
                <w:szCs w:val="24"/>
                <w:highlight w:val="none"/>
                <w:lang w:val="en-US" w:eastAsia="zh-CN"/>
              </w:rPr>
              <w:t>水质进行了监测。监测情况见表3-</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和附图</w:t>
            </w: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w:t>
            </w:r>
          </w:p>
          <w:p w14:paraId="5649C5C1">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w:t>
            </w:r>
            <w:r>
              <w:rPr>
                <w:rFonts w:hint="eastAsia" w:ascii="Times New Roman" w:hAnsi="Times New Roman" w:eastAsia="宋体" w:cs="Times New Roman"/>
                <w:color w:val="auto"/>
                <w:sz w:val="24"/>
                <w:szCs w:val="24"/>
                <w:highlight w:val="none"/>
                <w:lang w:val="en-US" w:eastAsia="zh-CN"/>
              </w:rPr>
              <w:t>监测断面</w:t>
            </w:r>
          </w:p>
          <w:p w14:paraId="06A61CE2">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表3-2  地表水监测断面布设情况表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808"/>
              <w:gridCol w:w="1185"/>
              <w:gridCol w:w="1590"/>
              <w:gridCol w:w="2774"/>
            </w:tblGrid>
            <w:tr w14:paraId="118C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14:paraId="650FB9B0">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序号</w:t>
                  </w:r>
                </w:p>
              </w:tc>
              <w:tc>
                <w:tcPr>
                  <w:tcW w:w="1808" w:type="dxa"/>
                  <w:noWrap w:val="0"/>
                  <w:vAlign w:val="center"/>
                </w:tcPr>
                <w:p w14:paraId="0C950B44">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监测断面</w:t>
                  </w:r>
                </w:p>
              </w:tc>
              <w:tc>
                <w:tcPr>
                  <w:tcW w:w="1185" w:type="dxa"/>
                  <w:noWrap w:val="0"/>
                  <w:vAlign w:val="center"/>
                </w:tcPr>
                <w:p w14:paraId="5B7D211D">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监测河流</w:t>
                  </w:r>
                </w:p>
              </w:tc>
              <w:tc>
                <w:tcPr>
                  <w:tcW w:w="1590" w:type="dxa"/>
                  <w:noWrap w:val="0"/>
                  <w:vAlign w:val="center"/>
                </w:tcPr>
                <w:p w14:paraId="779568F1">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水域功能类别</w:t>
                  </w:r>
                </w:p>
              </w:tc>
              <w:tc>
                <w:tcPr>
                  <w:tcW w:w="2774" w:type="dxa"/>
                  <w:noWrap w:val="0"/>
                  <w:vAlign w:val="center"/>
                </w:tcPr>
                <w:p w14:paraId="5FCEB01B">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监测项目</w:t>
                  </w:r>
                </w:p>
              </w:tc>
            </w:tr>
            <w:tr w14:paraId="1A1C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70" w:type="dxa"/>
                  <w:noWrap w:val="0"/>
                  <w:vAlign w:val="center"/>
                </w:tcPr>
                <w:p w14:paraId="1DB68944">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1</w:t>
                  </w:r>
                </w:p>
              </w:tc>
              <w:tc>
                <w:tcPr>
                  <w:tcW w:w="1808" w:type="dxa"/>
                  <w:noWrap w:val="0"/>
                  <w:vAlign w:val="center"/>
                </w:tcPr>
                <w:p w14:paraId="0CA828FC">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工程区下游500m</w:t>
                  </w:r>
                </w:p>
              </w:tc>
              <w:tc>
                <w:tcPr>
                  <w:tcW w:w="1185" w:type="dxa"/>
                  <w:noWrap w:val="0"/>
                  <w:vAlign w:val="center"/>
                </w:tcPr>
                <w:p w14:paraId="2C362BA7">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汉江</w:t>
                  </w:r>
                </w:p>
              </w:tc>
              <w:tc>
                <w:tcPr>
                  <w:tcW w:w="1590" w:type="dxa"/>
                  <w:noWrap w:val="0"/>
                  <w:vAlign w:val="center"/>
                </w:tcPr>
                <w:p w14:paraId="04154D59">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ascii="Times New Roman" w:hAnsi="Times New Roman" w:eastAsia="Times New Roman" w:cs="Times New Roman"/>
                      <w:spacing w:val="-1"/>
                      <w:sz w:val="24"/>
                      <w:szCs w:val="24"/>
                    </w:rPr>
                    <w:t>Ⅱ</w:t>
                  </w:r>
                  <w:r>
                    <w:rPr>
                      <w:rFonts w:hint="eastAsia" w:ascii="Times New Roman" w:hAnsi="Times New Roman" w:eastAsia="宋体" w:cs="Times New Roman"/>
                      <w:color w:val="auto"/>
                      <w:sz w:val="21"/>
                      <w:szCs w:val="21"/>
                      <w:highlight w:val="none"/>
                      <w:lang w:val="en-US" w:eastAsia="zh-CN"/>
                    </w:rPr>
                    <w:t>类</w:t>
                  </w:r>
                </w:p>
              </w:tc>
              <w:tc>
                <w:tcPr>
                  <w:tcW w:w="2774" w:type="dxa"/>
                  <w:noWrap w:val="0"/>
                  <w:vAlign w:val="center"/>
                </w:tcPr>
                <w:p w14:paraId="18545DEF">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pH值、溶解氧、高锰酸盐指数、COD、BOD</w:t>
                  </w:r>
                  <w:r>
                    <w:rPr>
                      <w:rFonts w:hint="default" w:ascii="Times New Roman" w:hAnsi="Times New Roman" w:eastAsia="宋体" w:cs="Times New Roman"/>
                      <w:color w:val="auto"/>
                      <w:sz w:val="21"/>
                      <w:szCs w:val="21"/>
                      <w:vertAlign w:val="subscript"/>
                      <w:lang w:val="en-US" w:eastAsia="zh-CN"/>
                    </w:rPr>
                    <w:t>5</w:t>
                  </w:r>
                  <w:r>
                    <w:rPr>
                      <w:rFonts w:hint="default" w:ascii="Times New Roman" w:hAnsi="Times New Roman" w:eastAsia="宋体" w:cs="Times New Roman"/>
                      <w:color w:val="auto"/>
                      <w:sz w:val="21"/>
                      <w:szCs w:val="21"/>
                      <w:vertAlign w:val="baseline"/>
                      <w:lang w:val="en-US" w:eastAsia="zh-CN"/>
                    </w:rPr>
                    <w:t>、氨氮、总磷、悬浮物、石油类</w:t>
                  </w:r>
                </w:p>
              </w:tc>
            </w:tr>
          </w:tbl>
          <w:p w14:paraId="7E99054F">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②监</w:t>
            </w:r>
            <w:r>
              <w:rPr>
                <w:rFonts w:hint="eastAsia" w:ascii="Times New Roman" w:hAnsi="Times New Roman" w:eastAsia="宋体" w:cs="Times New Roman"/>
                <w:color w:val="auto"/>
                <w:sz w:val="24"/>
                <w:szCs w:val="24"/>
                <w:highlight w:val="none"/>
                <w:lang w:val="en-US" w:eastAsia="zh-CN"/>
              </w:rPr>
              <w:t>测项目</w:t>
            </w:r>
          </w:p>
          <w:p w14:paraId="05B8938E">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pH值、高锰酸盐指数、COD、BOD</w:t>
            </w:r>
            <w:r>
              <w:rPr>
                <w:rFonts w:hint="eastAsia" w:ascii="Times New Roman" w:hAnsi="Times New Roman" w:eastAsia="宋体" w:cs="Times New Roman"/>
                <w:color w:val="auto"/>
                <w:sz w:val="24"/>
                <w:szCs w:val="24"/>
                <w:highlight w:val="none"/>
                <w:vertAlign w:val="subscript"/>
                <w:lang w:val="en-US" w:eastAsia="zh-CN"/>
              </w:rPr>
              <w:t>5</w:t>
            </w:r>
            <w:r>
              <w:rPr>
                <w:rFonts w:hint="eastAsia" w:ascii="Times New Roman" w:hAnsi="Times New Roman" w:eastAsia="宋体" w:cs="Times New Roman"/>
                <w:color w:val="auto"/>
                <w:sz w:val="24"/>
                <w:szCs w:val="24"/>
                <w:highlight w:val="none"/>
                <w:lang w:val="en-US" w:eastAsia="zh-CN"/>
              </w:rPr>
              <w:t>、氨氮、总磷、悬浮物、石油类。</w:t>
            </w:r>
          </w:p>
          <w:p w14:paraId="196F5A4C">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③采样时间</w:t>
            </w:r>
            <w:r>
              <w:rPr>
                <w:rFonts w:hint="eastAsia" w:ascii="Times New Roman" w:hAnsi="Times New Roman" w:eastAsia="宋体" w:cs="Times New Roman"/>
                <w:color w:val="auto"/>
                <w:sz w:val="24"/>
                <w:szCs w:val="24"/>
                <w:highlight w:val="none"/>
                <w:lang w:val="en-US" w:eastAsia="zh-CN"/>
              </w:rPr>
              <w:t>及频次</w:t>
            </w:r>
          </w:p>
          <w:p w14:paraId="699E87D6">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采样时间为202</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28</w:t>
            </w:r>
            <w:r>
              <w:rPr>
                <w:rFonts w:hint="default" w:ascii="Times New Roman" w:hAnsi="Times New Roman" w:eastAsia="宋体" w:cs="Times New Roman"/>
                <w:color w:val="auto"/>
                <w:sz w:val="24"/>
                <w:szCs w:val="24"/>
                <w:highlight w:val="none"/>
                <w:lang w:val="en-US" w:eastAsia="zh-CN"/>
              </w:rPr>
              <w:t>日</w:t>
            </w:r>
            <w:r>
              <w:rPr>
                <w:rFonts w:hint="eastAsia" w:cs="Times New Roman"/>
                <w:color w:val="auto"/>
                <w:sz w:val="24"/>
                <w:szCs w:val="24"/>
                <w:highlight w:val="none"/>
                <w:lang w:val="en-US" w:eastAsia="zh-CN"/>
              </w:rPr>
              <w:t>、29日</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监测两天</w:t>
            </w:r>
            <w:r>
              <w:rPr>
                <w:rFonts w:hint="default" w:ascii="Times New Roman" w:hAnsi="Times New Roman" w:eastAsia="宋体" w:cs="Times New Roman"/>
                <w:color w:val="auto"/>
                <w:sz w:val="24"/>
                <w:szCs w:val="24"/>
                <w:highlight w:val="none"/>
                <w:lang w:val="en-US" w:eastAsia="zh-CN"/>
              </w:rPr>
              <w:t>。</w:t>
            </w:r>
          </w:p>
          <w:p w14:paraId="618A80BF">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微软雅黑"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lang w:val="en-US" w:eastAsia="zh-CN"/>
              </w:rPr>
              <w:t>监测分</w:t>
            </w:r>
            <w:r>
              <w:rPr>
                <w:rFonts w:hint="eastAsia" w:ascii="Times New Roman" w:hAnsi="Times New Roman" w:eastAsia="宋体" w:cs="Times New Roman"/>
                <w:color w:val="auto"/>
                <w:sz w:val="24"/>
                <w:szCs w:val="24"/>
                <w:highlight w:val="none"/>
                <w:lang w:val="en-US" w:eastAsia="zh-CN"/>
              </w:rPr>
              <w:t>析方法</w:t>
            </w:r>
          </w:p>
          <w:p w14:paraId="3B4E9F84">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地表水监测项目及分析方法见表3-</w:t>
            </w:r>
            <w:r>
              <w:rPr>
                <w:rFonts w:hint="eastAsia"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w:t>
            </w:r>
          </w:p>
          <w:p w14:paraId="5CB146A3">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422" w:firstLineChars="20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表3-</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1"/>
                <w:szCs w:val="21"/>
                <w:lang w:val="en-US" w:eastAsia="zh-CN"/>
              </w:rPr>
              <w:t xml:space="preserve"> 地表水监测项目及分析方法</w:t>
            </w:r>
          </w:p>
          <w:tbl>
            <w:tblPr>
              <w:tblStyle w:val="39"/>
              <w:tblW w:w="8004" w:type="dxa"/>
              <w:jc w:val="right"/>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1167"/>
              <w:gridCol w:w="2614"/>
              <w:gridCol w:w="2409"/>
              <w:gridCol w:w="1164"/>
            </w:tblGrid>
            <w:tr w14:paraId="7B5F1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right"/>
              </w:trPr>
              <w:tc>
                <w:tcPr>
                  <w:tcW w:w="650" w:type="dxa"/>
                  <w:noWrap w:val="0"/>
                  <w:vAlign w:val="center"/>
                </w:tcPr>
                <w:p w14:paraId="12EF01C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b/>
                      <w:bCs/>
                      <w:sz w:val="21"/>
                      <w:szCs w:val="21"/>
                    </w:rPr>
                  </w:pPr>
                  <w:r>
                    <w:rPr>
                      <w:rFonts w:ascii="Times New Roman" w:hAnsi="Times New Roman" w:eastAsia="宋体"/>
                      <w:b/>
                      <w:bCs/>
                      <w:spacing w:val="-5"/>
                      <w:sz w:val="21"/>
                      <w:szCs w:val="21"/>
                    </w:rPr>
                    <w:t>序号</w:t>
                  </w:r>
                </w:p>
              </w:tc>
              <w:tc>
                <w:tcPr>
                  <w:tcW w:w="1167" w:type="dxa"/>
                  <w:noWrap w:val="0"/>
                  <w:vAlign w:val="center"/>
                </w:tcPr>
                <w:p w14:paraId="6F5E39A2">
                  <w:pPr>
                    <w:pStyle w:val="38"/>
                    <w:keepNext w:val="0"/>
                    <w:keepLines w:val="0"/>
                    <w:pageBreakBefore w:val="0"/>
                    <w:widowControl w:val="0"/>
                    <w:kinsoku/>
                    <w:wordWrap/>
                    <w:overflowPunct/>
                    <w:topLinePunct w:val="0"/>
                    <w:autoSpaceDE/>
                    <w:autoSpaceDN/>
                    <w:bidi w:val="0"/>
                    <w:adjustRightInd/>
                    <w:snapToGrid/>
                    <w:spacing w:line="240" w:lineRule="auto"/>
                    <w:ind w:left="137"/>
                    <w:jc w:val="center"/>
                    <w:textAlignment w:val="auto"/>
                    <w:rPr>
                      <w:rFonts w:ascii="Times New Roman" w:hAnsi="Times New Roman" w:eastAsia="宋体"/>
                      <w:b/>
                      <w:bCs/>
                      <w:sz w:val="21"/>
                      <w:szCs w:val="21"/>
                    </w:rPr>
                  </w:pPr>
                  <w:r>
                    <w:rPr>
                      <w:rFonts w:ascii="Times New Roman" w:hAnsi="Times New Roman" w:eastAsia="宋体"/>
                      <w:b/>
                      <w:bCs/>
                      <w:spacing w:val="-3"/>
                      <w:sz w:val="21"/>
                      <w:szCs w:val="21"/>
                    </w:rPr>
                    <w:t>检测项目</w:t>
                  </w:r>
                </w:p>
              </w:tc>
              <w:tc>
                <w:tcPr>
                  <w:tcW w:w="2614" w:type="dxa"/>
                  <w:noWrap w:val="0"/>
                  <w:vAlign w:val="center"/>
                </w:tcPr>
                <w:p w14:paraId="383F3BB2">
                  <w:pPr>
                    <w:pStyle w:val="38"/>
                    <w:keepNext w:val="0"/>
                    <w:keepLines w:val="0"/>
                    <w:pageBreakBefore w:val="0"/>
                    <w:widowControl w:val="0"/>
                    <w:kinsoku/>
                    <w:wordWrap/>
                    <w:overflowPunct/>
                    <w:topLinePunct w:val="0"/>
                    <w:autoSpaceDE/>
                    <w:autoSpaceDN/>
                    <w:bidi w:val="0"/>
                    <w:adjustRightInd/>
                    <w:snapToGrid/>
                    <w:spacing w:line="240" w:lineRule="auto"/>
                    <w:ind w:left="808"/>
                    <w:jc w:val="center"/>
                    <w:textAlignment w:val="auto"/>
                    <w:rPr>
                      <w:rFonts w:ascii="Times New Roman" w:hAnsi="Times New Roman" w:eastAsia="宋体"/>
                      <w:b/>
                      <w:bCs/>
                      <w:sz w:val="21"/>
                      <w:szCs w:val="21"/>
                    </w:rPr>
                  </w:pPr>
                  <w:r>
                    <w:rPr>
                      <w:rFonts w:ascii="Times New Roman" w:hAnsi="Times New Roman" w:eastAsia="宋体"/>
                      <w:b/>
                      <w:bCs/>
                      <w:spacing w:val="-2"/>
                      <w:sz w:val="21"/>
                      <w:szCs w:val="21"/>
                    </w:rPr>
                    <w:t>检测方法</w:t>
                  </w:r>
                  <w:r>
                    <w:rPr>
                      <w:rFonts w:ascii="Times New Roman" w:hAnsi="Times New Roman" w:eastAsia="宋体" w:cs="Times New Roman"/>
                      <w:b/>
                      <w:bCs/>
                      <w:spacing w:val="-2"/>
                      <w:sz w:val="21"/>
                      <w:szCs w:val="21"/>
                    </w:rPr>
                    <w:t>/</w:t>
                  </w:r>
                  <w:r>
                    <w:rPr>
                      <w:rFonts w:ascii="Times New Roman" w:hAnsi="Times New Roman" w:eastAsia="宋体"/>
                      <w:b/>
                      <w:bCs/>
                      <w:spacing w:val="-2"/>
                      <w:sz w:val="21"/>
                      <w:szCs w:val="21"/>
                    </w:rPr>
                    <w:t>依据</w:t>
                  </w:r>
                </w:p>
              </w:tc>
              <w:tc>
                <w:tcPr>
                  <w:tcW w:w="2409" w:type="dxa"/>
                  <w:noWrap w:val="0"/>
                  <w:vAlign w:val="center"/>
                </w:tcPr>
                <w:p w14:paraId="509A7C2C">
                  <w:pPr>
                    <w:pStyle w:val="38"/>
                    <w:keepNext w:val="0"/>
                    <w:keepLines w:val="0"/>
                    <w:pageBreakBefore w:val="0"/>
                    <w:widowControl w:val="0"/>
                    <w:kinsoku/>
                    <w:wordWrap/>
                    <w:overflowPunct/>
                    <w:topLinePunct w:val="0"/>
                    <w:autoSpaceDE/>
                    <w:autoSpaceDN/>
                    <w:bidi w:val="0"/>
                    <w:adjustRightInd/>
                    <w:snapToGrid/>
                    <w:spacing w:line="240" w:lineRule="auto"/>
                    <w:ind w:left="185"/>
                    <w:jc w:val="center"/>
                    <w:textAlignment w:val="auto"/>
                    <w:rPr>
                      <w:rFonts w:ascii="Times New Roman" w:hAnsi="Times New Roman" w:eastAsia="宋体"/>
                      <w:b/>
                      <w:bCs/>
                      <w:sz w:val="21"/>
                      <w:szCs w:val="21"/>
                    </w:rPr>
                  </w:pPr>
                  <w:r>
                    <w:rPr>
                      <w:rFonts w:ascii="Times New Roman" w:hAnsi="Times New Roman" w:eastAsia="宋体"/>
                      <w:b/>
                      <w:bCs/>
                      <w:spacing w:val="-1"/>
                      <w:sz w:val="21"/>
                      <w:szCs w:val="21"/>
                    </w:rPr>
                    <w:t>仪器型号</w:t>
                  </w:r>
                  <w:r>
                    <w:rPr>
                      <w:rFonts w:ascii="Times New Roman" w:hAnsi="Times New Roman" w:eastAsia="宋体" w:cs="Times New Roman"/>
                      <w:b/>
                      <w:bCs/>
                      <w:spacing w:val="-1"/>
                      <w:sz w:val="21"/>
                      <w:szCs w:val="21"/>
                    </w:rPr>
                    <w:t>/</w:t>
                  </w:r>
                  <w:r>
                    <w:rPr>
                      <w:rFonts w:ascii="Times New Roman" w:hAnsi="Times New Roman" w:eastAsia="宋体"/>
                      <w:b/>
                      <w:bCs/>
                      <w:spacing w:val="-1"/>
                      <w:sz w:val="21"/>
                      <w:szCs w:val="21"/>
                    </w:rPr>
                    <w:t>名称</w:t>
                  </w:r>
                  <w:r>
                    <w:rPr>
                      <w:rFonts w:ascii="Times New Roman" w:hAnsi="Times New Roman" w:eastAsia="宋体" w:cs="Times New Roman"/>
                      <w:b/>
                      <w:bCs/>
                      <w:spacing w:val="-1"/>
                      <w:sz w:val="21"/>
                      <w:szCs w:val="21"/>
                    </w:rPr>
                    <w:t>/</w:t>
                  </w:r>
                  <w:r>
                    <w:rPr>
                      <w:rFonts w:ascii="Times New Roman" w:hAnsi="Times New Roman" w:eastAsia="宋体"/>
                      <w:b/>
                      <w:bCs/>
                      <w:spacing w:val="-1"/>
                      <w:sz w:val="21"/>
                      <w:szCs w:val="21"/>
                    </w:rPr>
                    <w:t>编号</w:t>
                  </w:r>
                </w:p>
              </w:tc>
              <w:tc>
                <w:tcPr>
                  <w:tcW w:w="1164" w:type="dxa"/>
                  <w:noWrap w:val="0"/>
                  <w:vAlign w:val="center"/>
                </w:tcPr>
                <w:p w14:paraId="37CEAAE7">
                  <w:pPr>
                    <w:pStyle w:val="38"/>
                    <w:keepNext w:val="0"/>
                    <w:keepLines w:val="0"/>
                    <w:pageBreakBefore w:val="0"/>
                    <w:widowControl w:val="0"/>
                    <w:kinsoku/>
                    <w:wordWrap/>
                    <w:overflowPunct/>
                    <w:topLinePunct w:val="0"/>
                    <w:autoSpaceDE/>
                    <w:autoSpaceDN/>
                    <w:bidi w:val="0"/>
                    <w:adjustRightInd/>
                    <w:snapToGrid/>
                    <w:spacing w:line="240" w:lineRule="auto"/>
                    <w:ind w:left="230"/>
                    <w:jc w:val="center"/>
                    <w:textAlignment w:val="auto"/>
                    <w:rPr>
                      <w:rFonts w:ascii="Times New Roman" w:hAnsi="Times New Roman" w:eastAsia="宋体"/>
                      <w:b/>
                      <w:bCs/>
                      <w:sz w:val="21"/>
                      <w:szCs w:val="21"/>
                    </w:rPr>
                  </w:pPr>
                  <w:r>
                    <w:rPr>
                      <w:rFonts w:ascii="Times New Roman" w:hAnsi="Times New Roman" w:eastAsia="宋体"/>
                      <w:b/>
                      <w:bCs/>
                      <w:spacing w:val="-4"/>
                      <w:sz w:val="21"/>
                      <w:szCs w:val="21"/>
                    </w:rPr>
                    <w:t>检出限</w:t>
                  </w:r>
                </w:p>
              </w:tc>
            </w:tr>
            <w:tr w14:paraId="78057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right"/>
              </w:trPr>
              <w:tc>
                <w:tcPr>
                  <w:tcW w:w="650" w:type="dxa"/>
                  <w:noWrap w:val="0"/>
                  <w:vAlign w:val="center"/>
                </w:tcPr>
                <w:p w14:paraId="2DCCC00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1</w:t>
                  </w:r>
                </w:p>
              </w:tc>
              <w:tc>
                <w:tcPr>
                  <w:tcW w:w="1167" w:type="dxa"/>
                  <w:noWrap w:val="0"/>
                  <w:vAlign w:val="center"/>
                </w:tcPr>
                <w:p w14:paraId="7145941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pH 值</w:t>
                  </w:r>
                </w:p>
              </w:tc>
              <w:tc>
                <w:tcPr>
                  <w:tcW w:w="2614" w:type="dxa"/>
                  <w:noWrap w:val="0"/>
                  <w:vAlign w:val="center"/>
                </w:tcPr>
                <w:p w14:paraId="233170C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pH 值的测定电极法 HJ 1147-2020</w:t>
                  </w:r>
                </w:p>
              </w:tc>
              <w:tc>
                <w:tcPr>
                  <w:tcW w:w="2409" w:type="dxa"/>
                  <w:noWrap w:val="0"/>
                  <w:vAlign w:val="center"/>
                </w:tcPr>
                <w:p w14:paraId="129979A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DZB-712 型便携式酸度计/GHT-CY-007</w:t>
                  </w:r>
                </w:p>
              </w:tc>
              <w:tc>
                <w:tcPr>
                  <w:tcW w:w="1164" w:type="dxa"/>
                  <w:noWrap w:val="0"/>
                  <w:vAlign w:val="center"/>
                </w:tcPr>
                <w:p w14:paraId="1E44949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w:t>
                  </w:r>
                </w:p>
              </w:tc>
            </w:tr>
            <w:tr w14:paraId="57111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right"/>
              </w:trPr>
              <w:tc>
                <w:tcPr>
                  <w:tcW w:w="650" w:type="dxa"/>
                  <w:noWrap w:val="0"/>
                  <w:vAlign w:val="center"/>
                </w:tcPr>
                <w:p w14:paraId="1D73E6F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2</w:t>
                  </w:r>
                </w:p>
              </w:tc>
              <w:tc>
                <w:tcPr>
                  <w:tcW w:w="1167" w:type="dxa"/>
                  <w:noWrap w:val="0"/>
                  <w:vAlign w:val="center"/>
                </w:tcPr>
                <w:p w14:paraId="005DF1E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流量</w:t>
                  </w:r>
                </w:p>
              </w:tc>
              <w:tc>
                <w:tcPr>
                  <w:tcW w:w="2614" w:type="dxa"/>
                  <w:noWrap w:val="0"/>
                  <w:vAlign w:val="center"/>
                </w:tcPr>
                <w:p w14:paraId="28B6938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河流流量测验规范</w:t>
                  </w:r>
                </w:p>
                <w:p w14:paraId="5EBAE05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GB 50179-2015（附录 B  流速仪法）</w:t>
                  </w:r>
                </w:p>
              </w:tc>
              <w:tc>
                <w:tcPr>
                  <w:tcW w:w="2409" w:type="dxa"/>
                  <w:noWrap w:val="0"/>
                  <w:vAlign w:val="center"/>
                </w:tcPr>
                <w:p w14:paraId="50E14CF8">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JC-HS-2 型便携式流速流量计/GHT-CY-005</w:t>
                  </w:r>
                </w:p>
              </w:tc>
              <w:tc>
                <w:tcPr>
                  <w:tcW w:w="1164" w:type="dxa"/>
                  <w:noWrap w:val="0"/>
                  <w:vAlign w:val="center"/>
                </w:tcPr>
                <w:p w14:paraId="01FFBBA3">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w:t>
                  </w:r>
                </w:p>
              </w:tc>
            </w:tr>
            <w:tr w14:paraId="14FF8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right"/>
              </w:trPr>
              <w:tc>
                <w:tcPr>
                  <w:tcW w:w="650" w:type="dxa"/>
                  <w:noWrap w:val="0"/>
                  <w:vAlign w:val="center"/>
                </w:tcPr>
                <w:p w14:paraId="2035825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3</w:t>
                  </w:r>
                </w:p>
              </w:tc>
              <w:tc>
                <w:tcPr>
                  <w:tcW w:w="1167" w:type="dxa"/>
                  <w:noWrap w:val="0"/>
                  <w:vAlign w:val="center"/>
                </w:tcPr>
                <w:p w14:paraId="5AD2F61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溶解氧</w:t>
                  </w:r>
                </w:p>
              </w:tc>
              <w:tc>
                <w:tcPr>
                  <w:tcW w:w="2614" w:type="dxa"/>
                  <w:noWrap w:val="0"/>
                  <w:vAlign w:val="center"/>
                </w:tcPr>
                <w:p w14:paraId="38DE86B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溶解氧的测定 电化学探头法 HJ 506-2009</w:t>
                  </w:r>
                </w:p>
              </w:tc>
              <w:tc>
                <w:tcPr>
                  <w:tcW w:w="2409" w:type="dxa"/>
                  <w:vMerge w:val="restart"/>
                  <w:tcBorders>
                    <w:bottom w:val="nil"/>
                  </w:tcBorders>
                  <w:noWrap w:val="0"/>
                  <w:vAlign w:val="center"/>
                </w:tcPr>
                <w:p w14:paraId="662BE1B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DZB-712 型便携式多参数分析仪/GHT-CY-007</w:t>
                  </w:r>
                </w:p>
              </w:tc>
              <w:tc>
                <w:tcPr>
                  <w:tcW w:w="1164" w:type="dxa"/>
                  <w:noWrap w:val="0"/>
                  <w:vAlign w:val="center"/>
                </w:tcPr>
                <w:p w14:paraId="3DDE9B3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w:t>
                  </w:r>
                </w:p>
              </w:tc>
            </w:tr>
            <w:tr w14:paraId="60E4F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right"/>
              </w:trPr>
              <w:tc>
                <w:tcPr>
                  <w:tcW w:w="650" w:type="dxa"/>
                  <w:noWrap w:val="0"/>
                  <w:vAlign w:val="center"/>
                </w:tcPr>
                <w:p w14:paraId="103BF7E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4</w:t>
                  </w:r>
                </w:p>
              </w:tc>
              <w:tc>
                <w:tcPr>
                  <w:tcW w:w="1167" w:type="dxa"/>
                  <w:noWrap w:val="0"/>
                  <w:vAlign w:val="center"/>
                </w:tcPr>
                <w:p w14:paraId="3083397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水温</w:t>
                  </w:r>
                </w:p>
              </w:tc>
              <w:tc>
                <w:tcPr>
                  <w:tcW w:w="2614" w:type="dxa"/>
                  <w:noWrap w:val="0"/>
                  <w:vAlign w:val="center"/>
                </w:tcPr>
                <w:p w14:paraId="5FC9D83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水温的测定 传感器法</w:t>
                  </w:r>
                </w:p>
                <w:p w14:paraId="3869C89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HJ 1396-2024</w:t>
                  </w:r>
                </w:p>
              </w:tc>
              <w:tc>
                <w:tcPr>
                  <w:tcW w:w="2409" w:type="dxa"/>
                  <w:vMerge w:val="continue"/>
                  <w:tcBorders>
                    <w:top w:val="nil"/>
                  </w:tcBorders>
                  <w:noWrap w:val="0"/>
                  <w:vAlign w:val="center"/>
                </w:tcPr>
                <w:p w14:paraId="6C63BD9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p>
              </w:tc>
              <w:tc>
                <w:tcPr>
                  <w:tcW w:w="1164" w:type="dxa"/>
                  <w:noWrap w:val="0"/>
                  <w:vAlign w:val="center"/>
                </w:tcPr>
                <w:p w14:paraId="42F0EEF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w:t>
                  </w:r>
                </w:p>
              </w:tc>
            </w:tr>
            <w:tr w14:paraId="3B3DF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8" w:hRule="atLeast"/>
                <w:jc w:val="right"/>
              </w:trPr>
              <w:tc>
                <w:tcPr>
                  <w:tcW w:w="650" w:type="dxa"/>
                  <w:noWrap w:val="0"/>
                  <w:vAlign w:val="center"/>
                </w:tcPr>
                <w:p w14:paraId="34FC107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5</w:t>
                  </w:r>
                </w:p>
              </w:tc>
              <w:tc>
                <w:tcPr>
                  <w:tcW w:w="1167" w:type="dxa"/>
                  <w:noWrap w:val="0"/>
                  <w:vAlign w:val="center"/>
                </w:tcPr>
                <w:p w14:paraId="4803D0B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悬浮物</w:t>
                  </w:r>
                </w:p>
              </w:tc>
              <w:tc>
                <w:tcPr>
                  <w:tcW w:w="2614" w:type="dxa"/>
                  <w:noWrap w:val="0"/>
                  <w:vAlign w:val="center"/>
                </w:tcPr>
                <w:p w14:paraId="4D85826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悬浮物的测定 重量法</w:t>
                  </w:r>
                </w:p>
                <w:p w14:paraId="6B2DCA7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GB 11901-89</w:t>
                  </w:r>
                </w:p>
              </w:tc>
              <w:tc>
                <w:tcPr>
                  <w:tcW w:w="2409" w:type="dxa"/>
                  <w:noWrap w:val="0"/>
                  <w:vAlign w:val="center"/>
                </w:tcPr>
                <w:p w14:paraId="2BD06EA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101-00 型电热鼓风恒</w:t>
                  </w:r>
                </w:p>
                <w:p w14:paraId="57F6634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温干燥箱/</w:t>
                  </w:r>
                </w:p>
                <w:p w14:paraId="5E985ED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GHT-FX-018/</w:t>
                  </w:r>
                </w:p>
                <w:p w14:paraId="00D15AB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BSA224S-CW 型电子</w:t>
                  </w:r>
                </w:p>
                <w:p w14:paraId="792D909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天平（万分之一）</w:t>
                  </w:r>
                </w:p>
                <w:p w14:paraId="54328B99">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/GHT-FX-020</w:t>
                  </w:r>
                </w:p>
              </w:tc>
              <w:tc>
                <w:tcPr>
                  <w:tcW w:w="1164" w:type="dxa"/>
                  <w:noWrap w:val="0"/>
                  <w:vAlign w:val="center"/>
                </w:tcPr>
                <w:p w14:paraId="085B338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w:t>
                  </w:r>
                </w:p>
              </w:tc>
            </w:tr>
            <w:tr w14:paraId="11DBC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right"/>
              </w:trPr>
              <w:tc>
                <w:tcPr>
                  <w:tcW w:w="650" w:type="dxa"/>
                  <w:noWrap w:val="0"/>
                  <w:vAlign w:val="center"/>
                </w:tcPr>
                <w:p w14:paraId="3365DD3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6</w:t>
                  </w:r>
                </w:p>
              </w:tc>
              <w:tc>
                <w:tcPr>
                  <w:tcW w:w="1167" w:type="dxa"/>
                  <w:noWrap w:val="0"/>
                  <w:vAlign w:val="center"/>
                </w:tcPr>
                <w:p w14:paraId="220DD71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五日生化需氧量</w:t>
                  </w:r>
                </w:p>
              </w:tc>
              <w:tc>
                <w:tcPr>
                  <w:tcW w:w="2614" w:type="dxa"/>
                  <w:noWrap w:val="0"/>
                  <w:vAlign w:val="center"/>
                </w:tcPr>
                <w:p w14:paraId="240C2B2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五日生化需氧量</w:t>
                  </w:r>
                </w:p>
                <w:p w14:paraId="1B14736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（BOD5）的测定 稀释与接</w:t>
                  </w:r>
                </w:p>
                <w:p w14:paraId="1C404FF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种法 HJ 505-2009</w:t>
                  </w:r>
                </w:p>
              </w:tc>
              <w:tc>
                <w:tcPr>
                  <w:tcW w:w="2409" w:type="dxa"/>
                  <w:noWrap w:val="0"/>
                  <w:vAlign w:val="center"/>
                </w:tcPr>
                <w:p w14:paraId="4075F8E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JPSJ-605F 型溶解氧测定仪/GHT-FX-013 HS-80B 型恒温恒湿培养箱/GHT-FX-017</w:t>
                  </w:r>
                </w:p>
              </w:tc>
              <w:tc>
                <w:tcPr>
                  <w:tcW w:w="1164" w:type="dxa"/>
                  <w:noWrap w:val="0"/>
                  <w:vAlign w:val="center"/>
                </w:tcPr>
                <w:p w14:paraId="15C8F380">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0.5</w:t>
                  </w:r>
                </w:p>
                <w:p w14:paraId="1B0AEA5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mg/L</w:t>
                  </w:r>
                </w:p>
              </w:tc>
            </w:tr>
            <w:tr w14:paraId="4F0D3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right"/>
              </w:trPr>
              <w:tc>
                <w:tcPr>
                  <w:tcW w:w="650" w:type="dxa"/>
                  <w:noWrap w:val="0"/>
                  <w:vAlign w:val="center"/>
                </w:tcPr>
                <w:p w14:paraId="735334E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7</w:t>
                  </w:r>
                </w:p>
              </w:tc>
              <w:tc>
                <w:tcPr>
                  <w:tcW w:w="1167" w:type="dxa"/>
                  <w:noWrap w:val="0"/>
                  <w:vAlign w:val="center"/>
                </w:tcPr>
                <w:p w14:paraId="2455CF6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氨氮</w:t>
                  </w:r>
                </w:p>
              </w:tc>
              <w:tc>
                <w:tcPr>
                  <w:tcW w:w="2614" w:type="dxa"/>
                  <w:noWrap w:val="0"/>
                  <w:vAlign w:val="center"/>
                </w:tcPr>
                <w:p w14:paraId="5A334CC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氨氮的测定</w:t>
                  </w:r>
                </w:p>
                <w:p w14:paraId="6845CD97">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纳氏试剂分光光度法</w:t>
                  </w:r>
                </w:p>
                <w:p w14:paraId="510FFB7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HJ 535-2009</w:t>
                  </w:r>
                </w:p>
              </w:tc>
              <w:tc>
                <w:tcPr>
                  <w:tcW w:w="2409" w:type="dxa"/>
                  <w:vMerge w:val="restart"/>
                  <w:tcBorders>
                    <w:bottom w:val="nil"/>
                  </w:tcBorders>
                  <w:noWrap w:val="0"/>
                  <w:vAlign w:val="center"/>
                </w:tcPr>
                <w:p w14:paraId="14ABC21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UV5110 型紫外可见分光光度计/</w:t>
                  </w:r>
                </w:p>
                <w:p w14:paraId="627777A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GHT-FX-035</w:t>
                  </w:r>
                </w:p>
              </w:tc>
              <w:tc>
                <w:tcPr>
                  <w:tcW w:w="1164" w:type="dxa"/>
                  <w:noWrap w:val="0"/>
                  <w:vAlign w:val="center"/>
                </w:tcPr>
                <w:p w14:paraId="52290A4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0.025</w:t>
                  </w:r>
                </w:p>
                <w:p w14:paraId="7E8D5D3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mg/L</w:t>
                  </w:r>
                </w:p>
              </w:tc>
            </w:tr>
            <w:tr w14:paraId="4D2E2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right"/>
              </w:trPr>
              <w:tc>
                <w:tcPr>
                  <w:tcW w:w="650" w:type="dxa"/>
                  <w:noWrap w:val="0"/>
                  <w:vAlign w:val="center"/>
                </w:tcPr>
                <w:p w14:paraId="22B6689C">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8</w:t>
                  </w:r>
                </w:p>
              </w:tc>
              <w:tc>
                <w:tcPr>
                  <w:tcW w:w="1167" w:type="dxa"/>
                  <w:noWrap w:val="0"/>
                  <w:vAlign w:val="center"/>
                </w:tcPr>
                <w:p w14:paraId="11D1E09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石油类</w:t>
                  </w:r>
                </w:p>
              </w:tc>
              <w:tc>
                <w:tcPr>
                  <w:tcW w:w="2614" w:type="dxa"/>
                  <w:noWrap w:val="0"/>
                  <w:vAlign w:val="center"/>
                </w:tcPr>
                <w:p w14:paraId="7F48A98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石油类的测定 紫外分</w:t>
                  </w:r>
                </w:p>
                <w:p w14:paraId="71FC2164">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光光度法（试行）</w:t>
                  </w:r>
                </w:p>
                <w:p w14:paraId="56DC403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HJ 970-2018</w:t>
                  </w:r>
                </w:p>
              </w:tc>
              <w:tc>
                <w:tcPr>
                  <w:tcW w:w="2409" w:type="dxa"/>
                  <w:vMerge w:val="continue"/>
                  <w:tcBorders>
                    <w:top w:val="nil"/>
                  </w:tcBorders>
                  <w:noWrap w:val="0"/>
                  <w:vAlign w:val="center"/>
                </w:tcPr>
                <w:p w14:paraId="41558822">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p>
              </w:tc>
              <w:tc>
                <w:tcPr>
                  <w:tcW w:w="1164" w:type="dxa"/>
                  <w:noWrap w:val="0"/>
                  <w:vAlign w:val="center"/>
                </w:tcPr>
                <w:p w14:paraId="1E6E6C0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0.01mg/L</w:t>
                  </w:r>
                </w:p>
              </w:tc>
            </w:tr>
            <w:tr w14:paraId="3C5AB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7" w:hRule="atLeast"/>
                <w:jc w:val="right"/>
              </w:trPr>
              <w:tc>
                <w:tcPr>
                  <w:tcW w:w="650" w:type="dxa"/>
                  <w:noWrap w:val="0"/>
                  <w:vAlign w:val="center"/>
                </w:tcPr>
                <w:p w14:paraId="30235E5A">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9</w:t>
                  </w:r>
                </w:p>
              </w:tc>
              <w:tc>
                <w:tcPr>
                  <w:tcW w:w="1167" w:type="dxa"/>
                  <w:noWrap w:val="0"/>
                  <w:vAlign w:val="center"/>
                </w:tcPr>
                <w:p w14:paraId="040DE56E">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化学需氧量</w:t>
                  </w:r>
                </w:p>
              </w:tc>
              <w:tc>
                <w:tcPr>
                  <w:tcW w:w="2614" w:type="dxa"/>
                  <w:noWrap w:val="0"/>
                  <w:vAlign w:val="center"/>
                </w:tcPr>
                <w:p w14:paraId="4DEF8BBD">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水质 化学需氧量的测定重铬酸盐法 HJ 828-2017</w:t>
                  </w:r>
                </w:p>
              </w:tc>
              <w:tc>
                <w:tcPr>
                  <w:tcW w:w="2409" w:type="dxa"/>
                  <w:noWrap w:val="0"/>
                  <w:vAlign w:val="center"/>
                </w:tcPr>
                <w:p w14:paraId="3152A6FF">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JC- 102 型 COD 标准</w:t>
                  </w:r>
                </w:p>
                <w:p w14:paraId="4709B1C5">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消解器/GHT-FX-005</w:t>
                  </w:r>
                </w:p>
                <w:p w14:paraId="37602851">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酸式滴定管/</w:t>
                  </w:r>
                </w:p>
                <w:p w14:paraId="481B046B">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GHT-FX-065</w:t>
                  </w:r>
                </w:p>
              </w:tc>
              <w:tc>
                <w:tcPr>
                  <w:tcW w:w="1164" w:type="dxa"/>
                  <w:noWrap w:val="0"/>
                  <w:vAlign w:val="center"/>
                </w:tcPr>
                <w:p w14:paraId="6EFB9676">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宋体"/>
                      <w:spacing w:val="-5"/>
                      <w:sz w:val="21"/>
                      <w:szCs w:val="21"/>
                    </w:rPr>
                  </w:pPr>
                  <w:r>
                    <w:rPr>
                      <w:rFonts w:ascii="Times New Roman" w:hAnsi="Times New Roman" w:eastAsia="宋体" w:cs="宋体"/>
                      <w:spacing w:val="-5"/>
                      <w:sz w:val="21"/>
                      <w:szCs w:val="21"/>
                    </w:rPr>
                    <w:t>4mg/L</w:t>
                  </w:r>
                </w:p>
              </w:tc>
            </w:tr>
          </w:tbl>
          <w:p w14:paraId="29A0EA19">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⑤评价方法</w:t>
            </w:r>
          </w:p>
          <w:p w14:paraId="68835D46">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采用水质指数法评价，一般性水质因子的指数计算公式如下：</w:t>
            </w:r>
          </w:p>
          <w:p w14:paraId="0960DE0F">
            <w:pPr>
              <w:keepNext w:val="0"/>
              <w:keepLines w:val="0"/>
              <w:pageBreakBefore w:val="0"/>
              <w:widowControl w:val="0"/>
              <w:kinsoku/>
              <w:wordWrap/>
              <w:overflowPunct w:val="0"/>
              <w:topLinePunct w:val="0"/>
              <w:autoSpaceDE/>
              <w:autoSpaceDN/>
              <w:bidi w:val="0"/>
              <w:adjustRightInd/>
              <w:snapToGrid/>
              <w:spacing w:line="360" w:lineRule="auto"/>
              <w:ind w:firstLine="0" w:firstLineChars="0"/>
              <w:contextualSpacing/>
              <w:jc w:val="center"/>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S</w:t>
            </w:r>
            <w:r>
              <w:rPr>
                <w:rFonts w:hint="default" w:ascii="Times New Roman" w:hAnsi="Times New Roman" w:eastAsia="宋体" w:cs="Times New Roman"/>
                <w:color w:val="auto"/>
                <w:sz w:val="24"/>
                <w:szCs w:val="24"/>
                <w:highlight w:val="none"/>
                <w:vertAlign w:val="subscript"/>
                <w:lang w:val="en-US" w:eastAsia="zh-CN"/>
              </w:rPr>
              <w:t>i</w:t>
            </w:r>
            <w:r>
              <w:rPr>
                <w:rFonts w:hint="eastAsia" w:ascii="Times New Roman" w:hAnsi="Times New Roman" w:eastAsia="宋体" w:cs="Times New Roman"/>
                <w:color w:val="auto"/>
                <w:sz w:val="24"/>
                <w:szCs w:val="24"/>
                <w:highlight w:val="none"/>
                <w:vertAlign w:val="subscript"/>
                <w:lang w:val="en-US" w:eastAsia="zh-CN"/>
              </w:rPr>
              <w:t>，</w:t>
            </w:r>
            <w:r>
              <w:rPr>
                <w:rFonts w:hint="default" w:ascii="Times New Roman" w:hAnsi="Times New Roman" w:eastAsia="宋体" w:cs="Times New Roman"/>
                <w:color w:val="auto"/>
                <w:sz w:val="24"/>
                <w:szCs w:val="24"/>
                <w:highlight w:val="none"/>
                <w:vertAlign w:val="subscript"/>
                <w:lang w:val="en-US" w:eastAsia="zh-CN"/>
              </w:rPr>
              <w:t>j</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vertAlign w:val="subscript"/>
                <w:lang w:val="en-US" w:eastAsia="zh-CN"/>
              </w:rPr>
              <w:t>i</w:t>
            </w:r>
            <w:r>
              <w:rPr>
                <w:rFonts w:hint="eastAsia" w:ascii="Times New Roman" w:hAnsi="Times New Roman" w:eastAsia="宋体" w:cs="Times New Roman"/>
                <w:color w:val="auto"/>
                <w:sz w:val="24"/>
                <w:szCs w:val="24"/>
                <w:highlight w:val="none"/>
                <w:vertAlign w:val="subscript"/>
                <w:lang w:val="en-US" w:eastAsia="zh-CN"/>
              </w:rPr>
              <w:t>，</w:t>
            </w:r>
            <w:r>
              <w:rPr>
                <w:rFonts w:hint="default" w:ascii="Times New Roman" w:hAnsi="Times New Roman" w:eastAsia="宋体" w:cs="Times New Roman"/>
                <w:color w:val="auto"/>
                <w:sz w:val="24"/>
                <w:szCs w:val="24"/>
                <w:highlight w:val="none"/>
                <w:vertAlign w:val="subscript"/>
                <w:lang w:val="en-US" w:eastAsia="zh-CN"/>
              </w:rPr>
              <w:t>j</w:t>
            </w:r>
            <w:r>
              <w:rPr>
                <w:rFonts w:hint="default" w:ascii="Times New Roman" w:hAnsi="Times New Roman" w:eastAsia="宋体"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vertAlign w:val="subscript"/>
                <w:lang w:val="en-US" w:eastAsia="zh-CN"/>
              </w:rPr>
              <w:t>si</w:t>
            </w:r>
          </w:p>
          <w:p w14:paraId="2C63AE15">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式中：</w:t>
            </w:r>
            <w:r>
              <w:rPr>
                <w:rFonts w:hint="default" w:ascii="Times New Roman" w:hAnsi="Times New Roman" w:eastAsia="宋体" w:cs="Times New Roman"/>
                <w:color w:val="auto"/>
                <w:sz w:val="24"/>
                <w:szCs w:val="24"/>
                <w:highlight w:val="none"/>
                <w:lang w:val="en-US" w:eastAsia="zh-CN"/>
              </w:rPr>
              <w:t>S</w:t>
            </w:r>
            <w:r>
              <w:rPr>
                <w:rFonts w:hint="default" w:ascii="Times New Roman" w:hAnsi="Times New Roman" w:eastAsia="宋体" w:cs="Times New Roman"/>
                <w:color w:val="auto"/>
                <w:sz w:val="24"/>
                <w:szCs w:val="24"/>
                <w:highlight w:val="none"/>
                <w:vertAlign w:val="subscript"/>
                <w:lang w:val="en-US" w:eastAsia="zh-CN"/>
              </w:rPr>
              <w:t>i</w:t>
            </w:r>
            <w:r>
              <w:rPr>
                <w:rFonts w:hint="eastAsia" w:ascii="Times New Roman" w:hAnsi="Times New Roman" w:eastAsia="宋体" w:cs="Times New Roman"/>
                <w:color w:val="auto"/>
                <w:sz w:val="24"/>
                <w:szCs w:val="24"/>
                <w:highlight w:val="none"/>
                <w:vertAlign w:val="subscript"/>
                <w:lang w:val="en-US" w:eastAsia="zh-CN"/>
              </w:rPr>
              <w:t>，</w:t>
            </w:r>
            <w:r>
              <w:rPr>
                <w:rFonts w:hint="default" w:ascii="Times New Roman" w:hAnsi="Times New Roman" w:eastAsia="宋体" w:cs="Times New Roman"/>
                <w:color w:val="auto"/>
                <w:sz w:val="24"/>
                <w:szCs w:val="24"/>
                <w:highlight w:val="none"/>
                <w:vertAlign w:val="subscript"/>
                <w:lang w:val="en-US" w:eastAsia="zh-CN"/>
              </w:rPr>
              <w:t>j</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评价因子</w:t>
            </w:r>
            <w:r>
              <w:rPr>
                <w:rFonts w:hint="default" w:ascii="Times New Roman" w:hAnsi="Times New Roman" w:eastAsia="宋体" w:cs="Times New Roman"/>
                <w:color w:val="auto"/>
                <w:sz w:val="24"/>
                <w:szCs w:val="24"/>
                <w:highlight w:val="none"/>
                <w:lang w:val="en-US" w:eastAsia="zh-CN"/>
              </w:rPr>
              <w:t>i</w:t>
            </w:r>
            <w:r>
              <w:rPr>
                <w:rFonts w:hint="eastAsia" w:ascii="Times New Roman" w:hAnsi="Times New Roman" w:eastAsia="宋体" w:cs="Times New Roman"/>
                <w:color w:val="auto"/>
                <w:sz w:val="24"/>
                <w:szCs w:val="24"/>
                <w:highlight w:val="none"/>
                <w:lang w:val="en-US" w:eastAsia="zh-CN"/>
              </w:rPr>
              <w:t>的水质指数，大于</w:t>
            </w:r>
            <w:r>
              <w:rPr>
                <w:rFonts w:hint="default"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表明该水质因子超标；</w:t>
            </w:r>
          </w:p>
          <w:p w14:paraId="7C591BFC">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vertAlign w:val="subscript"/>
                <w:lang w:val="en-US" w:eastAsia="zh-CN"/>
              </w:rPr>
              <w:t>i</w:t>
            </w:r>
            <w:r>
              <w:rPr>
                <w:rFonts w:hint="eastAsia" w:ascii="Times New Roman" w:hAnsi="Times New Roman" w:eastAsia="宋体" w:cs="Times New Roman"/>
                <w:color w:val="auto"/>
                <w:sz w:val="24"/>
                <w:szCs w:val="24"/>
                <w:highlight w:val="none"/>
                <w:vertAlign w:val="subscript"/>
                <w:lang w:val="en-US" w:eastAsia="zh-CN"/>
              </w:rPr>
              <w:t>，</w:t>
            </w:r>
            <w:r>
              <w:rPr>
                <w:rFonts w:hint="default" w:ascii="Times New Roman" w:hAnsi="Times New Roman" w:eastAsia="宋体" w:cs="Times New Roman"/>
                <w:color w:val="auto"/>
                <w:sz w:val="24"/>
                <w:szCs w:val="24"/>
                <w:highlight w:val="none"/>
                <w:vertAlign w:val="subscript"/>
                <w:lang w:val="en-US" w:eastAsia="zh-CN"/>
              </w:rPr>
              <w:t>j</w:t>
            </w:r>
            <w:r>
              <w:rPr>
                <w:rFonts w:hint="default" w:ascii="Times New Roman" w:hAnsi="Times New Roman" w:eastAsia="宋体" w:cs="Times New Roman"/>
                <w:color w:val="auto"/>
                <w:sz w:val="24"/>
                <w:szCs w:val="24"/>
                <w:highlight w:val="none"/>
                <w:lang w:val="en-US" w:eastAsia="zh-CN"/>
              </w:rPr>
              <w:t>—评价因子i在j点的实测统计代表值，mg/L；</w:t>
            </w:r>
          </w:p>
          <w:p w14:paraId="648BAE2D">
            <w:pPr>
              <w:keepNext w:val="0"/>
              <w:keepLines w:val="0"/>
              <w:pageBreakBefore w:val="0"/>
              <w:widowControl w:val="0"/>
              <w:kinsoku/>
              <w:wordWrap/>
              <w:overflowPunct w:val="0"/>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vertAlign w:val="subscript"/>
                <w:lang w:val="en-US" w:eastAsia="zh-CN"/>
              </w:rPr>
              <w:t>si</w:t>
            </w:r>
            <w:r>
              <w:rPr>
                <w:rFonts w:hint="default" w:ascii="Times New Roman" w:hAnsi="Times New Roman" w:eastAsia="宋体" w:cs="Times New Roman"/>
                <w:color w:val="auto"/>
                <w:sz w:val="24"/>
                <w:szCs w:val="24"/>
                <w:highlight w:val="none"/>
                <w:lang w:val="en-US" w:eastAsia="zh-CN"/>
              </w:rPr>
              <w:t>—评价因子i的水质评价标准限值，mg/L。</w:t>
            </w:r>
          </w:p>
          <w:p w14:paraId="0338FFB8">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溶解氧（DO）的标准指数计算公式如下：</w:t>
            </w:r>
          </w:p>
          <w:p w14:paraId="1728E4E7">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sz w:val="24"/>
                <w:szCs w:val="24"/>
                <w:lang w:val="en-US" w:eastAsia="zh-CN"/>
              </w:rPr>
            </w:pPr>
            <w:r>
              <w:rPr>
                <w:color w:val="auto"/>
              </w:rPr>
              <w:drawing>
                <wp:anchor distT="0" distB="0" distL="114300" distR="114300" simplePos="0" relativeHeight="251667456" behindDoc="0" locked="0" layoutInCell="1" allowOverlap="1">
                  <wp:simplePos x="0" y="0"/>
                  <wp:positionH relativeFrom="column">
                    <wp:posOffset>1524000</wp:posOffset>
                  </wp:positionH>
                  <wp:positionV relativeFrom="paragraph">
                    <wp:posOffset>37465</wp:posOffset>
                  </wp:positionV>
                  <wp:extent cx="2259330" cy="742315"/>
                  <wp:effectExtent l="0" t="0" r="7620" b="635"/>
                  <wp:wrapTopAndBottom/>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15"/>
                          <a:stretch>
                            <a:fillRect/>
                          </a:stretch>
                        </pic:blipFill>
                        <pic:spPr>
                          <a:xfrm>
                            <a:off x="0" y="0"/>
                            <a:ext cx="2259330" cy="742315"/>
                          </a:xfrm>
                          <a:prstGeom prst="rect">
                            <a:avLst/>
                          </a:prstGeom>
                          <a:noFill/>
                          <a:ln>
                            <a:noFill/>
                          </a:ln>
                        </pic:spPr>
                      </pic:pic>
                    </a:graphicData>
                  </a:graphic>
                </wp:anchor>
              </w:drawing>
            </w:r>
            <w:r>
              <w:rPr>
                <w:rFonts w:hint="eastAsia" w:cs="Times New Roman"/>
                <w:color w:val="auto"/>
                <w:sz w:val="24"/>
                <w:szCs w:val="24"/>
                <w:lang w:val="en-US" w:eastAsia="zh-CN"/>
              </w:rPr>
              <w:t>式中：S</w:t>
            </w:r>
            <w:r>
              <w:rPr>
                <w:rFonts w:hint="eastAsia" w:cs="Times New Roman"/>
                <w:color w:val="auto"/>
                <w:sz w:val="24"/>
                <w:szCs w:val="24"/>
                <w:vertAlign w:val="subscript"/>
                <w:lang w:val="en-US" w:eastAsia="zh-CN"/>
              </w:rPr>
              <w:t>DO，j</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溶解氧的标准指数，大于1表明该水质因子超标；</w:t>
            </w:r>
          </w:p>
          <w:p w14:paraId="4FA0CBCE">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DO</w:t>
            </w:r>
            <w:r>
              <w:rPr>
                <w:rFonts w:hint="eastAsia" w:cs="Times New Roman"/>
                <w:color w:val="auto"/>
                <w:sz w:val="24"/>
                <w:szCs w:val="24"/>
                <w:vertAlign w:val="subscript"/>
                <w:lang w:val="en-US" w:eastAsia="zh-CN"/>
              </w:rPr>
              <w:t>j</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溶解氧在j点的实测统计代表值，mg/L；</w:t>
            </w:r>
          </w:p>
          <w:p w14:paraId="3836DAA5">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DO</w:t>
            </w:r>
            <w:r>
              <w:rPr>
                <w:rFonts w:hint="eastAsia" w:ascii="Times New Roman" w:hAnsi="Times New Roman" w:cs="Times New Roman"/>
                <w:color w:val="auto"/>
                <w:vertAlign w:val="subscript"/>
                <w:lang w:val="en-US" w:eastAsia="zh-CN"/>
              </w:rPr>
              <w:t>s</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溶解氧的水质评价标准限值，mg/L；</w:t>
            </w:r>
          </w:p>
          <w:p w14:paraId="3911AD99">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default" w:ascii="Times New Roman" w:hAnsi="Times New Roman" w:cs="Times New Roman"/>
                <w:color w:val="auto"/>
                <w:vertAlign w:val="baseline"/>
                <w:lang w:val="en-US" w:eastAsia="zh-CN"/>
              </w:rPr>
            </w:pPr>
            <w:r>
              <w:rPr>
                <w:rFonts w:hint="eastAsia" w:ascii="Times New Roman" w:hAnsi="Times New Roman" w:cs="Times New Roman"/>
                <w:color w:val="auto"/>
                <w:lang w:val="en-US" w:eastAsia="zh-CN"/>
              </w:rPr>
              <w:t>DO</w:t>
            </w:r>
            <w:r>
              <w:rPr>
                <w:rFonts w:hint="eastAsia" w:ascii="Times New Roman" w:hAnsi="Times New Roman" w:cs="Times New Roman"/>
                <w:color w:val="auto"/>
                <w:vertAlign w:val="subscript"/>
                <w:lang w:val="en-US" w:eastAsia="zh-CN"/>
              </w:rPr>
              <w:t>f</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溶解氧浓度，mg/L，对于河流</w:t>
            </w:r>
            <w:r>
              <w:rPr>
                <w:rFonts w:hint="eastAsia" w:ascii="Times New Roman" w:hAnsi="Times New Roman" w:cs="Times New Roman"/>
                <w:color w:val="auto"/>
                <w:lang w:val="en-US" w:eastAsia="zh-CN"/>
              </w:rPr>
              <w:t>DO</w:t>
            </w:r>
            <w:r>
              <w:rPr>
                <w:rFonts w:hint="eastAsia" w:ascii="Times New Roman" w:hAnsi="Times New Roman" w:cs="Times New Roman"/>
                <w:color w:val="auto"/>
                <w:vertAlign w:val="subscript"/>
                <w:lang w:val="en-US" w:eastAsia="zh-CN"/>
              </w:rPr>
              <w:t>f</w:t>
            </w:r>
            <w:r>
              <w:rPr>
                <w:rFonts w:hint="eastAsia" w:ascii="Times New Roman" w:hAnsi="Times New Roman" w:cs="Times New Roman"/>
                <w:color w:val="auto"/>
                <w:vertAlign w:val="baseline"/>
                <w:lang w:val="en-US" w:eastAsia="zh-CN"/>
              </w:rPr>
              <w:t>=468/（31.6+T）；</w:t>
            </w:r>
          </w:p>
          <w:p w14:paraId="0B710294">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T</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水温，</w:t>
            </w:r>
            <w:r>
              <w:rPr>
                <w:rFonts w:hint="default" w:ascii="Times New Roman" w:hAnsi="Times New Roman" w:cs="Times New Roman"/>
                <w:color w:val="auto"/>
                <w:sz w:val="24"/>
                <w:szCs w:val="24"/>
                <w:highlight w:val="none"/>
                <w:lang w:val="en-US" w:eastAsia="zh-CN"/>
              </w:rPr>
              <w:t>℃</w:t>
            </w:r>
          </w:p>
          <w:p w14:paraId="4476D65F">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pH值的指数计算公式：</w:t>
            </w:r>
          </w:p>
          <w:p w14:paraId="738FA611">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sz w:val="24"/>
                <w:szCs w:val="24"/>
                <w:lang w:val="en-US" w:eastAsia="zh-CN"/>
              </w:rPr>
            </w:pPr>
            <w:r>
              <w:rPr>
                <w:color w:val="auto"/>
              </w:rPr>
              <w:drawing>
                <wp:anchor distT="0" distB="0" distL="114300" distR="114300" simplePos="0" relativeHeight="251668480" behindDoc="0" locked="0" layoutInCell="1" allowOverlap="1">
                  <wp:simplePos x="0" y="0"/>
                  <wp:positionH relativeFrom="column">
                    <wp:posOffset>1438275</wp:posOffset>
                  </wp:positionH>
                  <wp:positionV relativeFrom="paragraph">
                    <wp:posOffset>55880</wp:posOffset>
                  </wp:positionV>
                  <wp:extent cx="2295525" cy="845185"/>
                  <wp:effectExtent l="0" t="0" r="9525" b="12065"/>
                  <wp:wrapTopAndBottom/>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6"/>
                          <a:stretch>
                            <a:fillRect/>
                          </a:stretch>
                        </pic:blipFill>
                        <pic:spPr>
                          <a:xfrm>
                            <a:off x="0" y="0"/>
                            <a:ext cx="2295525" cy="845185"/>
                          </a:xfrm>
                          <a:prstGeom prst="rect">
                            <a:avLst/>
                          </a:prstGeom>
                          <a:noFill/>
                          <a:ln>
                            <a:noFill/>
                          </a:ln>
                        </pic:spPr>
                      </pic:pic>
                    </a:graphicData>
                  </a:graphic>
                </wp:anchor>
              </w:drawing>
            </w:r>
            <w:r>
              <w:rPr>
                <w:rFonts w:hint="default" w:ascii="Times New Roman" w:hAnsi="Times New Roman" w:eastAsia="宋体" w:cs="Times New Roman"/>
                <w:color w:val="auto"/>
                <w:sz w:val="24"/>
                <w:szCs w:val="24"/>
                <w:lang w:val="en-US" w:eastAsia="zh-CN"/>
              </w:rPr>
              <w:t>式中：S</w:t>
            </w:r>
            <w:r>
              <w:rPr>
                <w:rFonts w:hint="default" w:ascii="Times New Roman" w:hAnsi="Times New Roman" w:eastAsia="宋体" w:cs="Times New Roman"/>
                <w:color w:val="auto"/>
                <w:sz w:val="24"/>
                <w:szCs w:val="24"/>
                <w:vertAlign w:val="subscript"/>
                <w:lang w:val="en-US" w:eastAsia="zh-CN"/>
              </w:rPr>
              <w:t>pH</w:t>
            </w:r>
            <w:r>
              <w:rPr>
                <w:rFonts w:hint="eastAsia" w:cs="Times New Roman"/>
                <w:color w:val="auto"/>
                <w:sz w:val="24"/>
                <w:szCs w:val="24"/>
                <w:vertAlign w:val="subscript"/>
                <w:lang w:val="en-US" w:eastAsia="zh-CN"/>
              </w:rPr>
              <w:t>，</w:t>
            </w:r>
            <w:r>
              <w:rPr>
                <w:rFonts w:hint="default" w:ascii="Times New Roman" w:hAnsi="Times New Roman" w:eastAsia="宋体" w:cs="Times New Roman"/>
                <w:color w:val="auto"/>
                <w:sz w:val="24"/>
                <w:szCs w:val="24"/>
                <w:vertAlign w:val="subscript"/>
                <w:lang w:val="en-US" w:eastAsia="zh-CN"/>
              </w:rPr>
              <w:t>j</w:t>
            </w:r>
            <w:r>
              <w:rPr>
                <w:rFonts w:hint="default" w:ascii="Times New Roman" w:hAnsi="Times New Roman" w:eastAsia="宋体" w:cs="Times New Roman"/>
                <w:color w:val="auto"/>
                <w:sz w:val="24"/>
                <w:szCs w:val="24"/>
                <w:lang w:val="en-US" w:eastAsia="zh-CN"/>
              </w:rPr>
              <w:t>—pH值的指数，大于1表明该水质因子超标；</w:t>
            </w:r>
          </w:p>
          <w:p w14:paraId="30A81A73">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pH</w:t>
            </w:r>
            <w:r>
              <w:rPr>
                <w:rFonts w:hint="default" w:ascii="Times New Roman" w:hAnsi="Times New Roman" w:eastAsia="宋体" w:cs="Times New Roman"/>
                <w:color w:val="auto"/>
                <w:sz w:val="24"/>
                <w:szCs w:val="24"/>
                <w:vertAlign w:val="subscript"/>
                <w:lang w:val="en-US" w:eastAsia="zh-CN"/>
              </w:rPr>
              <w:t>j</w:t>
            </w:r>
            <w:r>
              <w:rPr>
                <w:rFonts w:hint="default" w:ascii="Times New Roman" w:hAnsi="Times New Roman" w:eastAsia="宋体" w:cs="Times New Roman"/>
                <w:color w:val="auto"/>
                <w:sz w:val="24"/>
                <w:szCs w:val="24"/>
                <w:lang w:val="en-US" w:eastAsia="zh-CN"/>
              </w:rPr>
              <w:t>—pH值实测统计代表值</w:t>
            </w:r>
            <w:r>
              <w:rPr>
                <w:rFonts w:hint="eastAsia" w:cs="Times New Roman"/>
                <w:color w:val="auto"/>
                <w:sz w:val="24"/>
                <w:szCs w:val="24"/>
                <w:lang w:val="en-US" w:eastAsia="zh-CN"/>
              </w:rPr>
              <w:t>；</w:t>
            </w:r>
          </w:p>
          <w:p w14:paraId="6448AB0D">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pH</w:t>
            </w:r>
            <w:r>
              <w:rPr>
                <w:rFonts w:hint="default" w:ascii="Times New Roman" w:hAnsi="Times New Roman" w:eastAsia="宋体" w:cs="Times New Roman"/>
                <w:color w:val="auto"/>
                <w:sz w:val="24"/>
                <w:szCs w:val="24"/>
                <w:vertAlign w:val="subscript"/>
                <w:lang w:val="en-US" w:eastAsia="zh-CN"/>
              </w:rPr>
              <w:t>sd</w:t>
            </w:r>
            <w:r>
              <w:rPr>
                <w:rFonts w:hint="default" w:ascii="Times New Roman" w:hAnsi="Times New Roman" w:eastAsia="宋体" w:cs="Times New Roman"/>
                <w:color w:val="auto"/>
                <w:sz w:val="24"/>
                <w:szCs w:val="24"/>
                <w:lang w:val="en-US" w:eastAsia="zh-CN"/>
              </w:rPr>
              <w:t>—评价标准中pH值的下限值；</w:t>
            </w:r>
          </w:p>
          <w:p w14:paraId="1CB2A01A">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pH</w:t>
            </w:r>
            <w:r>
              <w:rPr>
                <w:rFonts w:hint="default" w:ascii="Times New Roman" w:hAnsi="Times New Roman" w:eastAsia="宋体" w:cs="Times New Roman"/>
                <w:color w:val="auto"/>
                <w:sz w:val="24"/>
                <w:szCs w:val="24"/>
                <w:vertAlign w:val="subscript"/>
                <w:lang w:val="en-US" w:eastAsia="zh-CN"/>
              </w:rPr>
              <w:t>su</w:t>
            </w:r>
            <w:r>
              <w:rPr>
                <w:rFonts w:hint="default" w:ascii="Times New Roman" w:hAnsi="Times New Roman" w:eastAsia="宋体" w:cs="Times New Roman"/>
                <w:color w:val="auto"/>
                <w:sz w:val="24"/>
                <w:szCs w:val="24"/>
                <w:lang w:val="en-US" w:eastAsia="zh-CN"/>
              </w:rPr>
              <w:t>—评价标准中pH值的上限值</w:t>
            </w:r>
            <w:r>
              <w:rPr>
                <w:rFonts w:hint="eastAsia" w:cs="Times New Roman"/>
                <w:color w:val="auto"/>
                <w:sz w:val="24"/>
                <w:szCs w:val="24"/>
                <w:lang w:val="en-US" w:eastAsia="zh-CN"/>
              </w:rPr>
              <w:t>。</w:t>
            </w:r>
          </w:p>
          <w:p w14:paraId="2FCDB763">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⑥</w:t>
            </w:r>
            <w:r>
              <w:rPr>
                <w:rFonts w:hint="eastAsia" w:ascii="Times New Roman" w:hAnsi="Times New Roman" w:eastAsia="宋体" w:cs="Times New Roman"/>
                <w:color w:val="auto"/>
                <w:sz w:val="24"/>
                <w:szCs w:val="24"/>
                <w:lang w:val="en-US" w:eastAsia="zh-CN"/>
              </w:rPr>
              <w:t>监测结果及评价</w:t>
            </w:r>
          </w:p>
          <w:p w14:paraId="55261D70">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地表水环境质量现状监测及评价结果统计见表3-4。</w:t>
            </w:r>
          </w:p>
          <w:p w14:paraId="51A7C769">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jc w:val="center"/>
              <w:textAlignment w:val="baseline"/>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b/>
                <w:bCs/>
                <w:color w:val="auto"/>
                <w:sz w:val="21"/>
                <w:szCs w:val="21"/>
                <w:highlight w:val="none"/>
                <w:lang w:val="en-US" w:eastAsia="zh-CN"/>
              </w:rPr>
              <w:t>表3-4  地表水水质监测及评价结果   单位：mg/L（pH值为无量纲）</w:t>
            </w:r>
          </w:p>
          <w:tbl>
            <w:tblPr>
              <w:tblStyle w:val="20"/>
              <w:tblW w:w="8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383"/>
              <w:gridCol w:w="1367"/>
              <w:gridCol w:w="1633"/>
              <w:gridCol w:w="1267"/>
              <w:gridCol w:w="882"/>
            </w:tblGrid>
            <w:tr w14:paraId="29C4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1500" w:type="dxa"/>
                  <w:vMerge w:val="restart"/>
                  <w:vAlign w:val="center"/>
                </w:tcPr>
                <w:p w14:paraId="3BA01355">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监测项目</w:t>
                  </w:r>
                </w:p>
              </w:tc>
              <w:tc>
                <w:tcPr>
                  <w:tcW w:w="2750" w:type="dxa"/>
                  <w:gridSpan w:val="2"/>
                  <w:vAlign w:val="center"/>
                </w:tcPr>
                <w:p w14:paraId="79B06052">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监测结果</w:t>
                  </w:r>
                </w:p>
              </w:tc>
              <w:tc>
                <w:tcPr>
                  <w:tcW w:w="1633" w:type="dxa"/>
                  <w:vMerge w:val="restart"/>
                  <w:vAlign w:val="center"/>
                </w:tcPr>
                <w:p w14:paraId="3D53782D">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宋体" w:hAnsi="宋体" w:eastAsia="宋体" w:cs="宋体"/>
                      <w:b/>
                      <w:bCs/>
                      <w:color w:val="auto"/>
                      <w:sz w:val="21"/>
                      <w:szCs w:val="21"/>
                      <w:highlight w:val="none"/>
                      <w:vertAlign w:val="baseline"/>
                      <w:lang w:val="en-US" w:eastAsia="zh-CN"/>
                    </w:rPr>
                  </w:pPr>
                  <w:r>
                    <w:rPr>
                      <w:rFonts w:ascii="Times New Roman" w:hAnsi="Times New Roman" w:eastAsia="Times New Roman" w:cs="Times New Roman"/>
                      <w:color w:val="auto"/>
                      <w:spacing w:val="-1"/>
                      <w:sz w:val="21"/>
                      <w:szCs w:val="21"/>
                    </w:rPr>
                    <w:t>Ⅱ</w:t>
                  </w:r>
                  <w:r>
                    <w:rPr>
                      <w:rFonts w:hint="eastAsia" w:cs="宋体"/>
                      <w:b/>
                      <w:bCs/>
                      <w:color w:val="auto"/>
                      <w:sz w:val="21"/>
                      <w:szCs w:val="21"/>
                      <w:highlight w:val="none"/>
                      <w:vertAlign w:val="baseline"/>
                      <w:lang w:val="en-US" w:eastAsia="zh-CN"/>
                    </w:rPr>
                    <w:t>类标准限值</w:t>
                  </w:r>
                </w:p>
              </w:tc>
              <w:tc>
                <w:tcPr>
                  <w:tcW w:w="1267" w:type="dxa"/>
                  <w:vMerge w:val="restart"/>
                  <w:vAlign w:val="center"/>
                </w:tcPr>
                <w:p w14:paraId="30F94C5E">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最大标准</w:t>
                  </w:r>
                </w:p>
                <w:p w14:paraId="4423E644">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指数</w:t>
                  </w:r>
                </w:p>
              </w:tc>
              <w:tc>
                <w:tcPr>
                  <w:tcW w:w="882" w:type="dxa"/>
                  <w:vMerge w:val="restart"/>
                  <w:vAlign w:val="center"/>
                </w:tcPr>
                <w:p w14:paraId="6C048159">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eastAsia"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达标</w:t>
                  </w:r>
                </w:p>
                <w:p w14:paraId="6804A6F4">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情况</w:t>
                  </w:r>
                </w:p>
              </w:tc>
            </w:tr>
            <w:tr w14:paraId="59FF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1500" w:type="dxa"/>
                  <w:vMerge w:val="continue"/>
                  <w:vAlign w:val="center"/>
                </w:tcPr>
                <w:p w14:paraId="07FAD795">
                  <w:pPr>
                    <w:pStyle w:val="23"/>
                    <w:keepNext w:val="0"/>
                    <w:keepLines w:val="0"/>
                    <w:pageBreakBefore w:val="0"/>
                    <w:widowControl w:val="0"/>
                    <w:kinsoku/>
                    <w:wordWrap/>
                    <w:overflowPunct/>
                    <w:topLinePunct w:val="0"/>
                    <w:autoSpaceDE/>
                    <w:autoSpaceDN/>
                    <w:bidi w:val="0"/>
                    <w:adjustRightInd/>
                    <w:snapToGrid/>
                    <w:spacing w:line="240" w:lineRule="auto"/>
                    <w:jc w:val="center"/>
                    <w:textAlignment w:val="baseline"/>
                    <w:rPr>
                      <w:color w:val="auto"/>
                    </w:rPr>
                  </w:pPr>
                </w:p>
              </w:tc>
              <w:tc>
                <w:tcPr>
                  <w:tcW w:w="1383" w:type="dxa"/>
                  <w:vAlign w:val="center"/>
                </w:tcPr>
                <w:p w14:paraId="40C2B449">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4月28日</w:t>
                  </w:r>
                </w:p>
              </w:tc>
              <w:tc>
                <w:tcPr>
                  <w:tcW w:w="1367" w:type="dxa"/>
                  <w:vAlign w:val="center"/>
                </w:tcPr>
                <w:p w14:paraId="48B659B3">
                  <w:pPr>
                    <w:pStyle w:val="23"/>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b/>
                      <w:bCs/>
                      <w:color w:val="auto"/>
                      <w:sz w:val="21"/>
                      <w:szCs w:val="21"/>
                      <w:highlight w:val="none"/>
                      <w:vertAlign w:val="baseline"/>
                      <w:lang w:val="en-US" w:eastAsia="zh-CN"/>
                    </w:rPr>
                  </w:pPr>
                  <w:r>
                    <w:rPr>
                      <w:rFonts w:hint="eastAsia" w:ascii="Times New Roman" w:hAnsi="Times New Roman" w:cs="Times New Roman"/>
                      <w:b/>
                      <w:bCs/>
                      <w:color w:val="auto"/>
                      <w:sz w:val="21"/>
                      <w:szCs w:val="21"/>
                      <w:highlight w:val="none"/>
                      <w:vertAlign w:val="baseline"/>
                      <w:lang w:val="en-US" w:eastAsia="zh-CN"/>
                    </w:rPr>
                    <w:t>4月29日</w:t>
                  </w:r>
                </w:p>
              </w:tc>
              <w:tc>
                <w:tcPr>
                  <w:tcW w:w="1633" w:type="dxa"/>
                  <w:vMerge w:val="continue"/>
                  <w:vAlign w:val="center"/>
                </w:tcPr>
                <w:p w14:paraId="1432D389">
                  <w:pPr>
                    <w:pStyle w:val="23"/>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eastAsia" w:ascii="Times New Roman" w:hAnsi="Times New Roman" w:cs="Times New Roman"/>
                      <w:b/>
                      <w:bCs/>
                      <w:color w:val="auto"/>
                      <w:sz w:val="21"/>
                      <w:szCs w:val="21"/>
                      <w:highlight w:val="none"/>
                      <w:vertAlign w:val="baseline"/>
                      <w:lang w:val="en-US" w:eastAsia="zh-CN"/>
                    </w:rPr>
                  </w:pPr>
                </w:p>
              </w:tc>
              <w:tc>
                <w:tcPr>
                  <w:tcW w:w="1267" w:type="dxa"/>
                  <w:vMerge w:val="continue"/>
                  <w:vAlign w:val="center"/>
                </w:tcPr>
                <w:p w14:paraId="5B410F10">
                  <w:pPr>
                    <w:pStyle w:val="23"/>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eastAsia" w:ascii="Times New Roman" w:hAnsi="Times New Roman" w:cs="Times New Roman"/>
                      <w:b/>
                      <w:bCs/>
                      <w:color w:val="auto"/>
                      <w:sz w:val="21"/>
                      <w:szCs w:val="21"/>
                      <w:highlight w:val="none"/>
                      <w:vertAlign w:val="baseline"/>
                      <w:lang w:val="en-US" w:eastAsia="zh-CN"/>
                    </w:rPr>
                  </w:pPr>
                </w:p>
              </w:tc>
              <w:tc>
                <w:tcPr>
                  <w:tcW w:w="882" w:type="dxa"/>
                  <w:vMerge w:val="continue"/>
                  <w:vAlign w:val="center"/>
                </w:tcPr>
                <w:p w14:paraId="0176A0A6">
                  <w:pPr>
                    <w:pStyle w:val="23"/>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eastAsia" w:ascii="Times New Roman" w:hAnsi="Times New Roman" w:cs="Times New Roman"/>
                      <w:b/>
                      <w:bCs/>
                      <w:color w:val="auto"/>
                      <w:sz w:val="21"/>
                      <w:szCs w:val="21"/>
                      <w:highlight w:val="none"/>
                      <w:vertAlign w:val="baseline"/>
                      <w:lang w:val="en-US" w:eastAsia="zh-CN"/>
                    </w:rPr>
                  </w:pPr>
                </w:p>
              </w:tc>
            </w:tr>
            <w:tr w14:paraId="502A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75343EF6">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pH值</w:t>
                  </w:r>
                </w:p>
              </w:tc>
              <w:tc>
                <w:tcPr>
                  <w:tcW w:w="1383" w:type="dxa"/>
                  <w:vAlign w:val="center"/>
                </w:tcPr>
                <w:p w14:paraId="5025ECFB">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7.8</w:t>
                  </w:r>
                </w:p>
              </w:tc>
              <w:tc>
                <w:tcPr>
                  <w:tcW w:w="1367" w:type="dxa"/>
                  <w:vAlign w:val="center"/>
                </w:tcPr>
                <w:p w14:paraId="279E0673">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7.8</w:t>
                  </w:r>
                </w:p>
              </w:tc>
              <w:tc>
                <w:tcPr>
                  <w:tcW w:w="1633" w:type="dxa"/>
                  <w:vAlign w:val="center"/>
                </w:tcPr>
                <w:p w14:paraId="7EF22B44">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6-9</w:t>
                  </w:r>
                </w:p>
              </w:tc>
              <w:tc>
                <w:tcPr>
                  <w:tcW w:w="1267" w:type="dxa"/>
                  <w:vAlign w:val="center"/>
                </w:tcPr>
                <w:p w14:paraId="013F1E95">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0.4</w:t>
                  </w:r>
                </w:p>
              </w:tc>
              <w:tc>
                <w:tcPr>
                  <w:tcW w:w="882" w:type="dxa"/>
                  <w:vAlign w:val="center"/>
                </w:tcPr>
                <w:p w14:paraId="4F1650BF">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达标</w:t>
                  </w:r>
                </w:p>
              </w:tc>
            </w:tr>
            <w:tr w14:paraId="0773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5D88A54C">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COD</w:t>
                  </w:r>
                </w:p>
              </w:tc>
              <w:tc>
                <w:tcPr>
                  <w:tcW w:w="1383" w:type="dxa"/>
                  <w:vAlign w:val="center"/>
                </w:tcPr>
                <w:p w14:paraId="5400E813">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8</w:t>
                  </w:r>
                </w:p>
              </w:tc>
              <w:tc>
                <w:tcPr>
                  <w:tcW w:w="1367" w:type="dxa"/>
                  <w:vAlign w:val="center"/>
                </w:tcPr>
                <w:p w14:paraId="76479DAA">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11</w:t>
                  </w:r>
                </w:p>
              </w:tc>
              <w:tc>
                <w:tcPr>
                  <w:tcW w:w="1633" w:type="dxa"/>
                  <w:vAlign w:val="center"/>
                </w:tcPr>
                <w:p w14:paraId="3E7D167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15</w:t>
                  </w:r>
                </w:p>
              </w:tc>
              <w:tc>
                <w:tcPr>
                  <w:tcW w:w="1267" w:type="dxa"/>
                  <w:vAlign w:val="center"/>
                </w:tcPr>
                <w:p w14:paraId="5755C2E2">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0.73</w:t>
                  </w:r>
                </w:p>
              </w:tc>
              <w:tc>
                <w:tcPr>
                  <w:tcW w:w="882" w:type="dxa"/>
                  <w:vAlign w:val="center"/>
                </w:tcPr>
                <w:p w14:paraId="6A779EB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达标</w:t>
                  </w:r>
                </w:p>
              </w:tc>
            </w:tr>
            <w:tr w14:paraId="77AC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1E646D24">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氨氮</w:t>
                  </w:r>
                </w:p>
              </w:tc>
              <w:tc>
                <w:tcPr>
                  <w:tcW w:w="1383" w:type="dxa"/>
                  <w:vAlign w:val="center"/>
                </w:tcPr>
                <w:p w14:paraId="18152FEE">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0.44</w:t>
                  </w:r>
                </w:p>
              </w:tc>
              <w:tc>
                <w:tcPr>
                  <w:tcW w:w="1367" w:type="dxa"/>
                  <w:vAlign w:val="center"/>
                </w:tcPr>
                <w:p w14:paraId="0BA16BA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0.456</w:t>
                  </w:r>
                </w:p>
              </w:tc>
              <w:tc>
                <w:tcPr>
                  <w:tcW w:w="1633" w:type="dxa"/>
                  <w:vAlign w:val="center"/>
                </w:tcPr>
                <w:p w14:paraId="4834257E">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0.5</w:t>
                  </w:r>
                </w:p>
              </w:tc>
              <w:tc>
                <w:tcPr>
                  <w:tcW w:w="1267" w:type="dxa"/>
                  <w:vAlign w:val="center"/>
                </w:tcPr>
                <w:p w14:paraId="571916D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0.91</w:t>
                  </w:r>
                </w:p>
              </w:tc>
              <w:tc>
                <w:tcPr>
                  <w:tcW w:w="882" w:type="dxa"/>
                  <w:vAlign w:val="center"/>
                </w:tcPr>
                <w:p w14:paraId="5DFE02A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达标</w:t>
                  </w:r>
                </w:p>
              </w:tc>
            </w:tr>
            <w:tr w14:paraId="1229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7ADBD635">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BOD</w:t>
                  </w:r>
                  <w:r>
                    <w:rPr>
                      <w:rFonts w:hint="default" w:ascii="Times New Roman" w:hAnsi="Times New Roman" w:eastAsia="宋体" w:cs="Times New Roman"/>
                      <w:color w:val="auto"/>
                      <w:sz w:val="21"/>
                      <w:szCs w:val="21"/>
                      <w:highlight w:val="none"/>
                      <w:vertAlign w:val="subscript"/>
                      <w:lang w:val="en-US" w:eastAsia="zh-CN"/>
                    </w:rPr>
                    <w:t>5</w:t>
                  </w:r>
                </w:p>
              </w:tc>
              <w:tc>
                <w:tcPr>
                  <w:tcW w:w="1383" w:type="dxa"/>
                  <w:vAlign w:val="center"/>
                </w:tcPr>
                <w:p w14:paraId="54266FCD">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2.1</w:t>
                  </w:r>
                </w:p>
              </w:tc>
              <w:tc>
                <w:tcPr>
                  <w:tcW w:w="1367" w:type="dxa"/>
                  <w:vAlign w:val="center"/>
                </w:tcPr>
                <w:p w14:paraId="78C4B6F7">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2.6</w:t>
                  </w:r>
                </w:p>
              </w:tc>
              <w:tc>
                <w:tcPr>
                  <w:tcW w:w="1633" w:type="dxa"/>
                  <w:vAlign w:val="center"/>
                </w:tcPr>
                <w:p w14:paraId="6F04E00F">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3</w:t>
                  </w:r>
                </w:p>
              </w:tc>
              <w:tc>
                <w:tcPr>
                  <w:tcW w:w="1267" w:type="dxa"/>
                  <w:vAlign w:val="center"/>
                </w:tcPr>
                <w:p w14:paraId="26A3CBDC">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0.87</w:t>
                  </w:r>
                </w:p>
              </w:tc>
              <w:tc>
                <w:tcPr>
                  <w:tcW w:w="882" w:type="dxa"/>
                  <w:vAlign w:val="center"/>
                </w:tcPr>
                <w:p w14:paraId="62562F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达标</w:t>
                  </w:r>
                </w:p>
              </w:tc>
            </w:tr>
            <w:tr w14:paraId="1D42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61F30FBF">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石油类</w:t>
                  </w:r>
                </w:p>
              </w:tc>
              <w:tc>
                <w:tcPr>
                  <w:tcW w:w="1383" w:type="dxa"/>
                  <w:vAlign w:val="center"/>
                </w:tcPr>
                <w:p w14:paraId="03964FDC">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0.01L</w:t>
                  </w:r>
                </w:p>
              </w:tc>
              <w:tc>
                <w:tcPr>
                  <w:tcW w:w="1367" w:type="dxa"/>
                  <w:vAlign w:val="center"/>
                </w:tcPr>
                <w:p w14:paraId="4A7FB6E0">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0.01L</w:t>
                  </w:r>
                </w:p>
              </w:tc>
              <w:tc>
                <w:tcPr>
                  <w:tcW w:w="1633" w:type="dxa"/>
                  <w:vAlign w:val="center"/>
                </w:tcPr>
                <w:p w14:paraId="2C30224A">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0.05</w:t>
                  </w:r>
                </w:p>
              </w:tc>
              <w:tc>
                <w:tcPr>
                  <w:tcW w:w="1267" w:type="dxa"/>
                  <w:vAlign w:val="center"/>
                </w:tcPr>
                <w:p w14:paraId="6399A3BA">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0.2</w:t>
                  </w:r>
                </w:p>
              </w:tc>
              <w:tc>
                <w:tcPr>
                  <w:tcW w:w="882" w:type="dxa"/>
                  <w:vAlign w:val="center"/>
                </w:tcPr>
                <w:p w14:paraId="7B3BA9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达标</w:t>
                  </w:r>
                </w:p>
              </w:tc>
            </w:tr>
            <w:tr w14:paraId="4B06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12CB2DA5">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悬浮物</w:t>
                  </w:r>
                </w:p>
              </w:tc>
              <w:tc>
                <w:tcPr>
                  <w:tcW w:w="1383" w:type="dxa"/>
                  <w:vAlign w:val="center"/>
                </w:tcPr>
                <w:p w14:paraId="5EB79214">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17</w:t>
                  </w:r>
                </w:p>
              </w:tc>
              <w:tc>
                <w:tcPr>
                  <w:tcW w:w="1367" w:type="dxa"/>
                  <w:vAlign w:val="center"/>
                </w:tcPr>
                <w:p w14:paraId="7369475C">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11</w:t>
                  </w:r>
                </w:p>
              </w:tc>
              <w:tc>
                <w:tcPr>
                  <w:tcW w:w="1633" w:type="dxa"/>
                  <w:vAlign w:val="center"/>
                </w:tcPr>
                <w:p w14:paraId="7BB512A5">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w:t>
                  </w:r>
                </w:p>
              </w:tc>
              <w:tc>
                <w:tcPr>
                  <w:tcW w:w="1267" w:type="dxa"/>
                  <w:vAlign w:val="center"/>
                </w:tcPr>
                <w:p w14:paraId="6F94D15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w:t>
                  </w:r>
                </w:p>
              </w:tc>
              <w:tc>
                <w:tcPr>
                  <w:tcW w:w="882" w:type="dxa"/>
                  <w:vAlign w:val="center"/>
                </w:tcPr>
                <w:p w14:paraId="713FAF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w:t>
                  </w:r>
                </w:p>
              </w:tc>
            </w:tr>
            <w:tr w14:paraId="1AD4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1500" w:type="dxa"/>
                  <w:vAlign w:val="center"/>
                </w:tcPr>
                <w:p w14:paraId="5E85DAE3">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溶解氧</w:t>
                  </w:r>
                </w:p>
              </w:tc>
              <w:tc>
                <w:tcPr>
                  <w:tcW w:w="1383" w:type="dxa"/>
                  <w:vAlign w:val="center"/>
                </w:tcPr>
                <w:p w14:paraId="6A0D826B">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6.8</w:t>
                  </w:r>
                </w:p>
              </w:tc>
              <w:tc>
                <w:tcPr>
                  <w:tcW w:w="1367" w:type="dxa"/>
                  <w:vAlign w:val="center"/>
                </w:tcPr>
                <w:p w14:paraId="66E4D9AD">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6.6</w:t>
                  </w:r>
                </w:p>
              </w:tc>
              <w:tc>
                <w:tcPr>
                  <w:tcW w:w="1633" w:type="dxa"/>
                  <w:vAlign w:val="center"/>
                </w:tcPr>
                <w:p w14:paraId="0575B076">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r>
                    <w:rPr>
                      <w:rFonts w:hint="eastAsia" w:ascii="Times New Roman" w:hAnsi="Times New Roman" w:cs="Times New Roman"/>
                      <w:color w:val="auto"/>
                      <w:sz w:val="21"/>
                      <w:szCs w:val="21"/>
                      <w:highlight w:val="none"/>
                      <w:vertAlign w:val="baseline"/>
                      <w:lang w:val="en-US" w:eastAsia="zh-CN"/>
                    </w:rPr>
                    <w:t>6</w:t>
                  </w:r>
                </w:p>
              </w:tc>
              <w:tc>
                <w:tcPr>
                  <w:tcW w:w="1267" w:type="dxa"/>
                  <w:vAlign w:val="center"/>
                </w:tcPr>
                <w:p w14:paraId="3BAE5CE2">
                  <w:pPr>
                    <w:pStyle w:val="23"/>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0.91</w:t>
                  </w:r>
                </w:p>
              </w:tc>
              <w:tc>
                <w:tcPr>
                  <w:tcW w:w="882" w:type="dxa"/>
                  <w:vAlign w:val="center"/>
                </w:tcPr>
                <w:p w14:paraId="429579F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达标</w:t>
                  </w:r>
                </w:p>
              </w:tc>
            </w:tr>
            <w:tr w14:paraId="4BBD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8032" w:type="dxa"/>
                  <w:gridSpan w:val="6"/>
                  <w:vAlign w:val="center"/>
                </w:tcPr>
                <w:p w14:paraId="28E21CB6">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baseline"/>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1"/>
                      <w:szCs w:val="21"/>
                      <w:highlight w:val="none"/>
                      <w:vertAlign w:val="baseline"/>
                      <w:lang w:val="en-US" w:eastAsia="zh-CN"/>
                    </w:rPr>
                    <w:t>注：监测结果中“L”表示低于该方法检出限。</w:t>
                  </w:r>
                </w:p>
                <w:p w14:paraId="06A5255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baseline"/>
                    <w:rPr>
                      <w:rFonts w:hint="eastAsia" w:ascii="Times New Roman" w:hAnsi="Times New Roman" w:cs="Times New Roman"/>
                      <w:color w:val="auto"/>
                      <w:sz w:val="21"/>
                      <w:szCs w:val="21"/>
                      <w:highlight w:val="none"/>
                      <w:vertAlign w:val="baseline"/>
                      <w:lang w:val="en-US" w:eastAsia="zh-CN"/>
                    </w:rPr>
                  </w:pPr>
                </w:p>
              </w:tc>
            </w:tr>
          </w:tbl>
          <w:p w14:paraId="102C7DF3">
            <w:pPr>
              <w:pStyle w:val="23"/>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Chars="0" w:firstLine="480" w:firstLineChars="200"/>
              <w:textAlignment w:val="baseline"/>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由</w:t>
            </w:r>
            <w:r>
              <w:rPr>
                <w:rFonts w:hint="eastAsia" w:ascii="Times New Roman" w:hAnsi="Times New Roman" w:cs="Times New Roman"/>
                <w:color w:val="auto"/>
                <w:sz w:val="24"/>
                <w:szCs w:val="24"/>
                <w:highlight w:val="none"/>
                <w:lang w:val="en-US" w:eastAsia="zh-CN"/>
              </w:rPr>
              <w:t>上表</w:t>
            </w:r>
            <w:r>
              <w:rPr>
                <w:rFonts w:hint="default" w:ascii="Times New Roman" w:hAnsi="Times New Roman" w:cs="Times New Roman"/>
                <w:color w:val="auto"/>
                <w:sz w:val="24"/>
                <w:szCs w:val="24"/>
                <w:highlight w:val="none"/>
                <w:lang w:val="en-US" w:eastAsia="zh-CN"/>
              </w:rPr>
              <w:t>可知，评价区地表水监测断面各项水质监测指标均满足《地表水环境质量标准》（GB3838-2002）</w:t>
            </w:r>
            <w:r>
              <w:rPr>
                <w:rFonts w:ascii="Times New Roman" w:hAnsi="Times New Roman" w:eastAsia="Times New Roman" w:cs="Times New Roman"/>
                <w:spacing w:val="-1"/>
                <w:sz w:val="24"/>
                <w:szCs w:val="24"/>
              </w:rPr>
              <w:t>Ⅱ</w:t>
            </w:r>
            <w:r>
              <w:rPr>
                <w:rFonts w:hint="default" w:ascii="Times New Roman" w:hAnsi="Times New Roman" w:cs="Times New Roman"/>
                <w:color w:val="auto"/>
                <w:sz w:val="24"/>
                <w:szCs w:val="24"/>
                <w:highlight w:val="none"/>
                <w:lang w:val="en-US" w:eastAsia="zh-CN"/>
              </w:rPr>
              <w:t>类标准要求，区域地表水水质较好</w:t>
            </w:r>
            <w:r>
              <w:rPr>
                <w:rFonts w:hint="eastAsia" w:ascii="Times New Roman" w:hAnsi="Times New Roman" w:cs="Times New Roman"/>
                <w:color w:val="auto"/>
                <w:sz w:val="24"/>
                <w:szCs w:val="24"/>
                <w:highlight w:val="none"/>
                <w:lang w:val="en-US" w:eastAsia="zh-CN"/>
              </w:rPr>
              <w:t>。</w:t>
            </w:r>
          </w:p>
          <w:p w14:paraId="00FC0158">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（3）声环境质量现状</w:t>
            </w:r>
          </w:p>
          <w:p w14:paraId="21EE3C09">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default"/>
                <w:color w:val="auto"/>
                <w:lang w:val="en-US" w:eastAsia="zh-CN"/>
              </w:rPr>
            </w:pPr>
            <w:r>
              <w:rPr>
                <w:rFonts w:hint="default" w:ascii="Times New Roman" w:hAnsi="Times New Roman" w:cs="Times New Roman"/>
                <w:color w:val="auto"/>
                <w:lang w:val="en-US" w:eastAsia="zh-CN"/>
              </w:rPr>
              <w:t>根据现场调查，</w:t>
            </w:r>
            <w:r>
              <w:rPr>
                <w:rFonts w:hint="eastAsia" w:ascii="Times New Roman" w:hAnsi="Times New Roman" w:cs="Times New Roman"/>
                <w:color w:val="auto"/>
                <w:lang w:val="en-US" w:eastAsia="zh-CN"/>
              </w:rPr>
              <w:t>本工程周边50m范围内无声环境敏感点，根据</w:t>
            </w:r>
            <w:r>
              <w:rPr>
                <w:rFonts w:hint="default" w:ascii="Times New Roman" w:hAnsi="Times New Roman" w:eastAsia="宋体" w:cs="Times New Roman"/>
                <w:color w:val="000000"/>
                <w:kern w:val="0"/>
                <w:sz w:val="24"/>
                <w:szCs w:val="24"/>
                <w:lang w:val="en-US" w:eastAsia="zh-CN" w:bidi="ar"/>
              </w:rPr>
              <w:t>《建设项目环境影响报告表编制技术指南》（污染影响类）</w:t>
            </w:r>
            <w:r>
              <w:rPr>
                <w:rFonts w:hint="eastAsia" w:ascii="Times New Roman" w:hAnsi="Times New Roman" w:cs="Times New Roman"/>
                <w:color w:val="auto"/>
                <w:lang w:val="en-US" w:eastAsia="zh-CN"/>
              </w:rPr>
              <w:t>，可不进行声环境质量现状调查。</w:t>
            </w:r>
          </w:p>
        </w:tc>
      </w:tr>
      <w:tr w14:paraId="34327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86" w:type="dxa"/>
            <w:noWrap w:val="0"/>
            <w:vAlign w:val="center"/>
          </w:tcPr>
          <w:p w14:paraId="5EF5EF08">
            <w:pPr>
              <w:adjustRightInd w:val="0"/>
              <w:snapToGrid w:val="0"/>
              <w:jc w:val="center"/>
              <w:rPr>
                <w:rFonts w:hint="eastAsia" w:ascii="宋体" w:hAnsi="宋体" w:cs="宋体"/>
                <w:color w:val="auto"/>
                <w:kern w:val="0"/>
                <w:sz w:val="24"/>
                <w:lang w:val="en-US" w:eastAsia="zh-CN"/>
              </w:rPr>
            </w:pPr>
            <w:r>
              <w:rPr>
                <w:rFonts w:hint="eastAsia" w:ascii="宋体" w:hAnsi="宋体" w:eastAsia="宋体" w:cs="宋体"/>
                <w:color w:val="auto"/>
                <w:kern w:val="0"/>
                <w:sz w:val="24"/>
                <w:lang w:val="en-US" w:eastAsia="zh-CN"/>
              </w:rPr>
              <w:t>与项目有关的原有环境污染和生态破坏问题</w:t>
            </w:r>
          </w:p>
        </w:tc>
        <w:tc>
          <w:tcPr>
            <w:tcW w:w="8253" w:type="dxa"/>
            <w:noWrap w:val="0"/>
            <w:vAlign w:val="center"/>
          </w:tcPr>
          <w:p w14:paraId="16DBC57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color w:val="auto"/>
                <w:lang w:val="en-US" w:eastAsia="zh-CN"/>
              </w:rPr>
            </w:pPr>
            <w:r>
              <w:rPr>
                <w:rFonts w:hint="eastAsia"/>
                <w:color w:val="auto"/>
                <w:sz w:val="24"/>
                <w:szCs w:val="24"/>
                <w:lang w:val="en-US" w:eastAsia="zh-CN"/>
              </w:rPr>
              <w:t>本工程仅包括3号桥基础加固建设内容，根据现场调查，项目区现状为人工或自然植被，本工程区域未发现明显环境污染，不存在与本项目有关的原有环境污染问题。</w:t>
            </w:r>
          </w:p>
        </w:tc>
      </w:tr>
      <w:tr w14:paraId="67BAB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noWrap w:val="0"/>
            <w:vAlign w:val="center"/>
          </w:tcPr>
          <w:p w14:paraId="7986F148">
            <w:pPr>
              <w:adjustRightInd w:val="0"/>
              <w:snapToGrid w:val="0"/>
              <w:jc w:val="center"/>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生态环境保护目标</w:t>
            </w:r>
          </w:p>
        </w:tc>
        <w:tc>
          <w:tcPr>
            <w:tcW w:w="8253" w:type="dxa"/>
            <w:noWrap w:val="0"/>
            <w:vAlign w:val="center"/>
          </w:tcPr>
          <w:p w14:paraId="378FC0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根据现场调查，工程不涉及自然保护区、森林公园、风景名胜区、珍稀濒危动植物保护区等敏感区域。</w:t>
            </w:r>
          </w:p>
          <w:p w14:paraId="00DB68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工程沿线分布的保护目标具体如下：</w:t>
            </w:r>
          </w:p>
          <w:p w14:paraId="063BD0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①大气环境：主要为工程沿线500m</w:t>
            </w:r>
            <w:r>
              <w:rPr>
                <w:rFonts w:hint="eastAsia" w:cs="Times New Roman"/>
                <w:color w:val="auto"/>
                <w:sz w:val="24"/>
                <w:szCs w:val="24"/>
                <w:lang w:val="en-US" w:eastAsia="zh-CN"/>
              </w:rPr>
              <w:t>范围</w:t>
            </w:r>
            <w:r>
              <w:rPr>
                <w:rFonts w:hint="eastAsia" w:ascii="Times New Roman" w:hAnsi="Times New Roman" w:cs="Times New Roman"/>
                <w:color w:val="auto"/>
                <w:sz w:val="24"/>
                <w:szCs w:val="24"/>
                <w:lang w:val="en-US" w:eastAsia="zh-CN"/>
              </w:rPr>
              <w:t>内</w:t>
            </w:r>
            <w:r>
              <w:rPr>
                <w:rFonts w:hint="eastAsia" w:cs="Times New Roman"/>
                <w:color w:val="auto"/>
                <w:sz w:val="24"/>
                <w:szCs w:val="24"/>
                <w:lang w:val="en-US" w:eastAsia="zh-CN"/>
              </w:rPr>
              <w:t>的</w:t>
            </w:r>
            <w:r>
              <w:rPr>
                <w:rFonts w:hint="eastAsia" w:ascii="Times New Roman" w:hAnsi="Times New Roman" w:cs="Times New Roman"/>
                <w:color w:val="auto"/>
                <w:sz w:val="24"/>
                <w:szCs w:val="24"/>
                <w:lang w:val="en-US" w:eastAsia="zh-CN"/>
              </w:rPr>
              <w:t>村庄。</w:t>
            </w:r>
          </w:p>
          <w:p w14:paraId="6A2A4D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②声环境：工程</w:t>
            </w:r>
            <w:r>
              <w:rPr>
                <w:rFonts w:hint="eastAsia" w:cs="Times New Roman"/>
                <w:color w:val="auto"/>
                <w:sz w:val="24"/>
                <w:szCs w:val="24"/>
                <w:lang w:val="en-US" w:eastAsia="zh-CN"/>
              </w:rPr>
              <w:t>施工区</w:t>
            </w:r>
            <w:r>
              <w:rPr>
                <w:rFonts w:hint="eastAsia" w:ascii="Times New Roman" w:hAnsi="Times New Roman" w:cs="Times New Roman"/>
                <w:color w:val="auto"/>
                <w:sz w:val="24"/>
                <w:szCs w:val="24"/>
                <w:lang w:val="en-US" w:eastAsia="zh-CN"/>
              </w:rPr>
              <w:t>50m</w:t>
            </w:r>
            <w:r>
              <w:rPr>
                <w:rFonts w:hint="eastAsia" w:cs="Times New Roman"/>
                <w:color w:val="auto"/>
                <w:sz w:val="24"/>
                <w:szCs w:val="24"/>
                <w:lang w:val="en-US" w:eastAsia="zh-CN"/>
              </w:rPr>
              <w:t>范围</w:t>
            </w:r>
            <w:r>
              <w:rPr>
                <w:rFonts w:hint="eastAsia" w:ascii="Times New Roman" w:hAnsi="Times New Roman" w:cs="Times New Roman"/>
                <w:color w:val="auto"/>
                <w:sz w:val="24"/>
                <w:szCs w:val="24"/>
                <w:lang w:val="en-US" w:eastAsia="zh-CN"/>
              </w:rPr>
              <w:t>内</w:t>
            </w:r>
            <w:r>
              <w:rPr>
                <w:rFonts w:hint="eastAsia" w:cs="Times New Roman"/>
                <w:color w:val="auto"/>
                <w:sz w:val="24"/>
                <w:szCs w:val="24"/>
                <w:lang w:val="en-US" w:eastAsia="zh-CN"/>
              </w:rPr>
              <w:t>无声环境敏感点</w:t>
            </w:r>
            <w:r>
              <w:rPr>
                <w:rFonts w:hint="eastAsia" w:ascii="Times New Roman" w:hAnsi="Times New Roman" w:cs="Times New Roman"/>
                <w:color w:val="auto"/>
                <w:sz w:val="24"/>
                <w:szCs w:val="24"/>
                <w:lang w:val="en-US" w:eastAsia="zh-CN"/>
              </w:rPr>
              <w:t>。</w:t>
            </w:r>
          </w:p>
          <w:p w14:paraId="6F3755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③生态环境：</w:t>
            </w:r>
            <w:r>
              <w:rPr>
                <w:rFonts w:hint="eastAsia" w:cs="Times New Roman"/>
                <w:color w:val="auto"/>
                <w:sz w:val="24"/>
                <w:szCs w:val="24"/>
                <w:lang w:val="en-US" w:eastAsia="zh-CN"/>
              </w:rPr>
              <w:t>主要为工程范围外延500m范围内</w:t>
            </w:r>
            <w:r>
              <w:rPr>
                <w:rFonts w:hint="eastAsia" w:ascii="Times New Roman" w:hAnsi="Times New Roman" w:cs="Times New Roman"/>
                <w:color w:val="auto"/>
                <w:sz w:val="24"/>
                <w:szCs w:val="24"/>
                <w:lang w:val="en-US" w:eastAsia="zh-CN"/>
              </w:rPr>
              <w:t>陆生动植物</w:t>
            </w:r>
            <w:r>
              <w:rPr>
                <w:rFonts w:hint="eastAsia" w:cs="Times New Roman"/>
                <w:color w:val="auto"/>
                <w:sz w:val="24"/>
                <w:szCs w:val="24"/>
                <w:lang w:val="en-US" w:eastAsia="zh-CN"/>
              </w:rPr>
              <w:t>、土壤、汉江水质及水生生态系统。</w:t>
            </w:r>
          </w:p>
          <w:p w14:paraId="3070ACBC">
            <w:pPr>
              <w:pStyle w:val="32"/>
              <w:ind w:firstLine="480"/>
              <w:rPr>
                <w:rFonts w:hint="eastAsia" w:ascii="Times New Roman" w:hAnsi="宋体" w:eastAsia="宋体" w:cs="宋体"/>
                <w:color w:val="auto"/>
                <w:sz w:val="24"/>
                <w:lang w:val="en-US" w:eastAsia="zh-CN"/>
              </w:rPr>
            </w:pPr>
            <w:r>
              <w:rPr>
                <w:rFonts w:hint="eastAsia" w:ascii="Times New Roman" w:hAnsi="宋体" w:eastAsia="宋体" w:cs="宋体"/>
                <w:color w:val="auto"/>
                <w:sz w:val="24"/>
                <w:lang w:val="en-US" w:eastAsia="zh-CN"/>
              </w:rPr>
              <w:t>本工程主要环境保护目标</w:t>
            </w:r>
            <w:r>
              <w:rPr>
                <w:rFonts w:hint="eastAsia" w:cs="宋体"/>
                <w:color w:val="auto"/>
                <w:sz w:val="24"/>
                <w:lang w:val="en-US" w:eastAsia="zh-CN"/>
              </w:rPr>
              <w:t>详</w:t>
            </w:r>
            <w:r>
              <w:rPr>
                <w:rFonts w:hint="eastAsia" w:ascii="Times New Roman" w:hAnsi="宋体" w:eastAsia="宋体" w:cs="宋体"/>
                <w:color w:val="auto"/>
                <w:sz w:val="24"/>
                <w:lang w:val="en-US" w:eastAsia="zh-CN"/>
              </w:rPr>
              <w:t>见表3-</w:t>
            </w:r>
            <w:r>
              <w:rPr>
                <w:rFonts w:hint="eastAsia" w:cs="宋体"/>
                <w:color w:val="auto"/>
                <w:sz w:val="24"/>
                <w:lang w:val="en-US" w:eastAsia="zh-CN"/>
              </w:rPr>
              <w:t>5，环境保护目标图见附图6</w:t>
            </w:r>
            <w:r>
              <w:rPr>
                <w:rFonts w:hint="eastAsia" w:ascii="Times New Roman" w:hAnsi="宋体" w:eastAsia="宋体" w:cs="宋体"/>
                <w:color w:val="auto"/>
                <w:sz w:val="24"/>
                <w:lang w:val="en-US" w:eastAsia="zh-CN"/>
              </w:rPr>
              <w:t>。</w:t>
            </w:r>
          </w:p>
          <w:p w14:paraId="645CF01B">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16"/>
                <w:lang w:val="en-US" w:eastAsia="zh-CN" w:bidi="ar-SA"/>
              </w:rPr>
            </w:pPr>
            <w:r>
              <w:rPr>
                <w:rFonts w:hint="eastAsia" w:ascii="Times New Roman" w:hAnsi="Times New Roman" w:eastAsia="宋体" w:cs="Times New Roman"/>
                <w:b/>
                <w:bCs/>
                <w:color w:val="auto"/>
                <w:kern w:val="2"/>
                <w:sz w:val="21"/>
                <w:szCs w:val="16"/>
                <w:lang w:val="en-US" w:eastAsia="zh-CN" w:bidi="ar-SA"/>
              </w:rPr>
              <w:t>表3-</w:t>
            </w:r>
            <w:r>
              <w:rPr>
                <w:rFonts w:hint="eastAsia" w:cs="Times New Roman"/>
                <w:b/>
                <w:bCs/>
                <w:color w:val="auto"/>
                <w:kern w:val="2"/>
                <w:sz w:val="21"/>
                <w:szCs w:val="16"/>
                <w:lang w:val="en-US" w:eastAsia="zh-CN" w:bidi="ar-SA"/>
              </w:rPr>
              <w:t>5</w:t>
            </w:r>
            <w:r>
              <w:rPr>
                <w:rFonts w:hint="eastAsia" w:ascii="Times New Roman" w:hAnsi="Times New Roman" w:eastAsia="宋体" w:cs="Times New Roman"/>
                <w:b/>
                <w:bCs/>
                <w:color w:val="auto"/>
                <w:kern w:val="2"/>
                <w:sz w:val="21"/>
                <w:szCs w:val="16"/>
                <w:lang w:val="en-US" w:eastAsia="zh-CN" w:bidi="ar-SA"/>
              </w:rPr>
              <w:t xml:space="preserve">  本工程环境保护目标一览表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885"/>
              <w:gridCol w:w="1215"/>
              <w:gridCol w:w="1169"/>
              <w:gridCol w:w="660"/>
              <w:gridCol w:w="735"/>
              <w:gridCol w:w="1080"/>
              <w:gridCol w:w="675"/>
              <w:gridCol w:w="844"/>
            </w:tblGrid>
            <w:tr w14:paraId="4707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75" w:type="pct"/>
                  <w:vMerge w:val="restart"/>
                  <w:tcBorders>
                    <w:tl2br w:val="nil"/>
                    <w:tr2bl w:val="nil"/>
                  </w:tcBorders>
                  <w:noWrap w:val="0"/>
                  <w:vAlign w:val="center"/>
                </w:tcPr>
                <w:p w14:paraId="41ECEA1B">
                  <w:pPr>
                    <w:jc w:val="center"/>
                    <w:rPr>
                      <w:rFonts w:hint="eastAsia"/>
                      <w:color w:val="auto"/>
                    </w:rPr>
                  </w:pPr>
                  <w:r>
                    <w:rPr>
                      <w:rFonts w:hint="eastAsia"/>
                      <w:color w:val="auto"/>
                    </w:rPr>
                    <w:t>环境</w:t>
                  </w:r>
                </w:p>
                <w:p w14:paraId="4BF5F73D">
                  <w:pPr>
                    <w:jc w:val="center"/>
                    <w:rPr>
                      <w:rFonts w:hint="eastAsia"/>
                      <w:color w:val="auto"/>
                    </w:rPr>
                  </w:pPr>
                  <w:r>
                    <w:rPr>
                      <w:rFonts w:hint="eastAsia"/>
                      <w:color w:val="auto"/>
                    </w:rPr>
                    <w:t>要素</w:t>
                  </w:r>
                </w:p>
              </w:tc>
              <w:tc>
                <w:tcPr>
                  <w:tcW w:w="551" w:type="pct"/>
                  <w:vMerge w:val="restart"/>
                  <w:tcBorders>
                    <w:tl2br w:val="nil"/>
                    <w:tr2bl w:val="nil"/>
                  </w:tcBorders>
                  <w:noWrap w:val="0"/>
                  <w:vAlign w:val="center"/>
                </w:tcPr>
                <w:p w14:paraId="342E578B">
                  <w:pPr>
                    <w:jc w:val="center"/>
                    <w:rPr>
                      <w:color w:val="auto"/>
                    </w:rPr>
                  </w:pPr>
                  <w:r>
                    <w:rPr>
                      <w:rFonts w:hint="eastAsia"/>
                      <w:color w:val="auto"/>
                    </w:rPr>
                    <w:t>环保</w:t>
                  </w:r>
                </w:p>
                <w:p w14:paraId="1931EA1C">
                  <w:pPr>
                    <w:jc w:val="center"/>
                    <w:rPr>
                      <w:rFonts w:hint="eastAsia"/>
                      <w:color w:val="auto"/>
                    </w:rPr>
                  </w:pPr>
                  <w:r>
                    <w:rPr>
                      <w:rFonts w:hint="eastAsia"/>
                      <w:color w:val="auto"/>
                    </w:rPr>
                    <w:t>目标</w:t>
                  </w:r>
                </w:p>
              </w:tc>
              <w:tc>
                <w:tcPr>
                  <w:tcW w:w="1484" w:type="pct"/>
                  <w:gridSpan w:val="2"/>
                  <w:tcBorders>
                    <w:tl2br w:val="nil"/>
                    <w:tr2bl w:val="nil"/>
                  </w:tcBorders>
                  <w:shd w:val="clear" w:color="auto" w:fill="auto"/>
                  <w:noWrap w:val="0"/>
                  <w:vAlign w:val="center"/>
                </w:tcPr>
                <w:p w14:paraId="6EEBF3D2">
                  <w:pPr>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坐标（度）</w:t>
                  </w:r>
                </w:p>
              </w:tc>
              <w:tc>
                <w:tcPr>
                  <w:tcW w:w="868" w:type="pct"/>
                  <w:gridSpan w:val="2"/>
                  <w:tcBorders>
                    <w:tl2br w:val="nil"/>
                    <w:tr2bl w:val="nil"/>
                  </w:tcBorders>
                  <w:noWrap w:val="0"/>
                  <w:vAlign w:val="center"/>
                </w:tcPr>
                <w:p w14:paraId="65DD996E">
                  <w:pPr>
                    <w:jc w:val="center"/>
                    <w:rPr>
                      <w:rFonts w:hint="eastAsia"/>
                      <w:color w:val="auto"/>
                    </w:rPr>
                  </w:pPr>
                  <w:r>
                    <w:rPr>
                      <w:rFonts w:hint="eastAsia"/>
                      <w:color w:val="auto"/>
                    </w:rPr>
                    <w:t>与工程方位、</w:t>
                  </w:r>
                </w:p>
                <w:p w14:paraId="7E7927D4">
                  <w:pPr>
                    <w:jc w:val="center"/>
                    <w:rPr>
                      <w:rFonts w:hint="eastAsia"/>
                      <w:color w:val="auto"/>
                    </w:rPr>
                  </w:pPr>
                  <w:r>
                    <w:rPr>
                      <w:rFonts w:hint="eastAsia"/>
                      <w:color w:val="auto"/>
                    </w:rPr>
                    <w:t>最近距离</w:t>
                  </w:r>
                </w:p>
              </w:tc>
              <w:tc>
                <w:tcPr>
                  <w:tcW w:w="672" w:type="pct"/>
                  <w:vMerge w:val="restart"/>
                  <w:tcBorders>
                    <w:tl2br w:val="nil"/>
                    <w:tr2bl w:val="nil"/>
                  </w:tcBorders>
                  <w:noWrap w:val="0"/>
                  <w:vAlign w:val="center"/>
                </w:tcPr>
                <w:p w14:paraId="3F324A7E">
                  <w:pPr>
                    <w:jc w:val="center"/>
                    <w:rPr>
                      <w:rFonts w:hint="eastAsia"/>
                      <w:color w:val="auto"/>
                    </w:rPr>
                  </w:pPr>
                  <w:r>
                    <w:rPr>
                      <w:rFonts w:hint="eastAsia"/>
                      <w:color w:val="auto"/>
                    </w:rPr>
                    <w:t>规模</w:t>
                  </w:r>
                </w:p>
              </w:tc>
              <w:tc>
                <w:tcPr>
                  <w:tcW w:w="420" w:type="pct"/>
                  <w:vMerge w:val="restart"/>
                  <w:tcBorders>
                    <w:tl2br w:val="nil"/>
                    <w:tr2bl w:val="nil"/>
                  </w:tcBorders>
                  <w:noWrap w:val="0"/>
                  <w:vAlign w:val="center"/>
                </w:tcPr>
                <w:p w14:paraId="12F80872">
                  <w:pPr>
                    <w:jc w:val="center"/>
                    <w:rPr>
                      <w:rFonts w:hint="eastAsia"/>
                      <w:color w:val="auto"/>
                    </w:rPr>
                  </w:pPr>
                  <w:r>
                    <w:rPr>
                      <w:rFonts w:hint="eastAsia"/>
                      <w:color w:val="auto"/>
                    </w:rPr>
                    <w:t>保护对象</w:t>
                  </w:r>
                </w:p>
              </w:tc>
              <w:tc>
                <w:tcPr>
                  <w:tcW w:w="525" w:type="pct"/>
                  <w:vMerge w:val="restart"/>
                  <w:tcBorders>
                    <w:tl2br w:val="nil"/>
                    <w:tr2bl w:val="nil"/>
                  </w:tcBorders>
                  <w:noWrap w:val="0"/>
                  <w:vAlign w:val="center"/>
                </w:tcPr>
                <w:p w14:paraId="2902C047">
                  <w:pPr>
                    <w:jc w:val="center"/>
                    <w:rPr>
                      <w:rFonts w:hint="eastAsia"/>
                      <w:color w:val="auto"/>
                    </w:rPr>
                  </w:pPr>
                  <w:r>
                    <w:rPr>
                      <w:rFonts w:hint="eastAsia"/>
                      <w:color w:val="auto"/>
                    </w:rPr>
                    <w:t>功能</w:t>
                  </w:r>
                </w:p>
                <w:p w14:paraId="217E3D60">
                  <w:pPr>
                    <w:jc w:val="center"/>
                    <w:rPr>
                      <w:rFonts w:hint="eastAsia"/>
                      <w:color w:val="auto"/>
                    </w:rPr>
                  </w:pPr>
                  <w:r>
                    <w:rPr>
                      <w:rFonts w:hint="eastAsia"/>
                      <w:color w:val="auto"/>
                    </w:rPr>
                    <w:t>分区</w:t>
                  </w:r>
                </w:p>
              </w:tc>
            </w:tr>
            <w:tr w14:paraId="2130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75" w:type="pct"/>
                  <w:vMerge w:val="continue"/>
                  <w:tcBorders>
                    <w:tl2br w:val="nil"/>
                    <w:tr2bl w:val="nil"/>
                  </w:tcBorders>
                  <w:noWrap w:val="0"/>
                  <w:vAlign w:val="center"/>
                </w:tcPr>
                <w:p w14:paraId="273B7EDE">
                  <w:pPr>
                    <w:jc w:val="center"/>
                    <w:rPr>
                      <w:rFonts w:hint="eastAsia"/>
                      <w:color w:val="auto"/>
                    </w:rPr>
                  </w:pPr>
                </w:p>
              </w:tc>
              <w:tc>
                <w:tcPr>
                  <w:tcW w:w="551" w:type="pct"/>
                  <w:vMerge w:val="continue"/>
                  <w:tcBorders>
                    <w:tl2br w:val="nil"/>
                    <w:tr2bl w:val="nil"/>
                  </w:tcBorders>
                  <w:noWrap w:val="0"/>
                  <w:vAlign w:val="center"/>
                </w:tcPr>
                <w:p w14:paraId="1248B014">
                  <w:pPr>
                    <w:jc w:val="center"/>
                    <w:rPr>
                      <w:rFonts w:hint="eastAsia"/>
                      <w:color w:val="auto"/>
                    </w:rPr>
                  </w:pPr>
                </w:p>
              </w:tc>
              <w:tc>
                <w:tcPr>
                  <w:tcW w:w="756" w:type="pct"/>
                  <w:tcBorders>
                    <w:tl2br w:val="nil"/>
                    <w:tr2bl w:val="nil"/>
                  </w:tcBorders>
                  <w:shd w:val="clear" w:color="auto" w:fill="auto"/>
                  <w:noWrap w:val="0"/>
                  <w:vAlign w:val="center"/>
                </w:tcPr>
                <w:p w14:paraId="758B6562">
                  <w:pPr>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经度</w:t>
                  </w:r>
                </w:p>
              </w:tc>
              <w:tc>
                <w:tcPr>
                  <w:tcW w:w="728" w:type="pct"/>
                  <w:tcBorders>
                    <w:tl2br w:val="nil"/>
                    <w:tr2bl w:val="nil"/>
                  </w:tcBorders>
                  <w:shd w:val="clear" w:color="auto" w:fill="auto"/>
                  <w:noWrap w:val="0"/>
                  <w:vAlign w:val="center"/>
                </w:tcPr>
                <w:p w14:paraId="7FC4A868">
                  <w:pPr>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维度</w:t>
                  </w:r>
                </w:p>
              </w:tc>
              <w:tc>
                <w:tcPr>
                  <w:tcW w:w="411" w:type="pct"/>
                  <w:tcBorders>
                    <w:tl2br w:val="nil"/>
                    <w:tr2bl w:val="nil"/>
                  </w:tcBorders>
                  <w:noWrap w:val="0"/>
                  <w:vAlign w:val="center"/>
                </w:tcPr>
                <w:p w14:paraId="0AB7193D">
                  <w:pPr>
                    <w:jc w:val="center"/>
                    <w:rPr>
                      <w:rFonts w:hint="eastAsia"/>
                      <w:color w:val="auto"/>
                    </w:rPr>
                  </w:pPr>
                  <w:r>
                    <w:rPr>
                      <w:rFonts w:hint="eastAsia"/>
                      <w:color w:val="auto"/>
                    </w:rPr>
                    <w:t>方位</w:t>
                  </w:r>
                </w:p>
              </w:tc>
              <w:tc>
                <w:tcPr>
                  <w:tcW w:w="457" w:type="pct"/>
                  <w:tcBorders>
                    <w:tl2br w:val="nil"/>
                    <w:tr2bl w:val="nil"/>
                  </w:tcBorders>
                  <w:noWrap w:val="0"/>
                  <w:vAlign w:val="center"/>
                </w:tcPr>
                <w:p w14:paraId="340FC627">
                  <w:pPr>
                    <w:jc w:val="center"/>
                    <w:rPr>
                      <w:rFonts w:hint="eastAsia"/>
                      <w:color w:val="auto"/>
                    </w:rPr>
                  </w:pPr>
                  <w:r>
                    <w:rPr>
                      <w:rFonts w:hint="eastAsia"/>
                      <w:color w:val="auto"/>
                    </w:rPr>
                    <w:t>距离（m）</w:t>
                  </w:r>
                </w:p>
              </w:tc>
              <w:tc>
                <w:tcPr>
                  <w:tcW w:w="672" w:type="pct"/>
                  <w:vMerge w:val="continue"/>
                  <w:tcBorders>
                    <w:tl2br w:val="nil"/>
                    <w:tr2bl w:val="nil"/>
                  </w:tcBorders>
                  <w:noWrap w:val="0"/>
                  <w:vAlign w:val="center"/>
                </w:tcPr>
                <w:p w14:paraId="0BA5B81D">
                  <w:pPr>
                    <w:jc w:val="center"/>
                    <w:rPr>
                      <w:rFonts w:hint="eastAsia"/>
                      <w:color w:val="auto"/>
                    </w:rPr>
                  </w:pPr>
                </w:p>
              </w:tc>
              <w:tc>
                <w:tcPr>
                  <w:tcW w:w="420" w:type="pct"/>
                  <w:vMerge w:val="continue"/>
                  <w:tcBorders>
                    <w:tl2br w:val="nil"/>
                    <w:tr2bl w:val="nil"/>
                  </w:tcBorders>
                  <w:noWrap w:val="0"/>
                  <w:vAlign w:val="center"/>
                </w:tcPr>
                <w:p w14:paraId="250E4A7D">
                  <w:pPr>
                    <w:jc w:val="center"/>
                    <w:rPr>
                      <w:rFonts w:hint="eastAsia"/>
                      <w:color w:val="auto"/>
                    </w:rPr>
                  </w:pPr>
                </w:p>
              </w:tc>
              <w:tc>
                <w:tcPr>
                  <w:tcW w:w="525" w:type="pct"/>
                  <w:vMerge w:val="continue"/>
                  <w:tcBorders>
                    <w:tl2br w:val="nil"/>
                    <w:tr2bl w:val="nil"/>
                  </w:tcBorders>
                  <w:noWrap w:val="0"/>
                  <w:vAlign w:val="center"/>
                </w:tcPr>
                <w:p w14:paraId="3836018B">
                  <w:pPr>
                    <w:jc w:val="center"/>
                    <w:rPr>
                      <w:rFonts w:hint="eastAsia"/>
                      <w:color w:val="auto"/>
                    </w:rPr>
                  </w:pPr>
                </w:p>
              </w:tc>
            </w:tr>
            <w:tr w14:paraId="629C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475" w:type="pct"/>
                  <w:vMerge w:val="restart"/>
                  <w:tcBorders>
                    <w:tl2br w:val="nil"/>
                    <w:tr2bl w:val="nil"/>
                  </w:tcBorders>
                  <w:noWrap w:val="0"/>
                  <w:vAlign w:val="center"/>
                </w:tcPr>
                <w:p w14:paraId="0053677D">
                  <w:pPr>
                    <w:jc w:val="center"/>
                    <w:rPr>
                      <w:rFonts w:hint="default" w:eastAsia="宋体"/>
                      <w:color w:val="auto"/>
                      <w:lang w:val="en-US" w:eastAsia="zh-CN"/>
                    </w:rPr>
                  </w:pPr>
                  <w:r>
                    <w:rPr>
                      <w:rFonts w:hint="eastAsia"/>
                      <w:color w:val="auto"/>
                    </w:rPr>
                    <w:t>环境空气</w:t>
                  </w:r>
                </w:p>
              </w:tc>
              <w:tc>
                <w:tcPr>
                  <w:tcW w:w="551" w:type="pct"/>
                  <w:tcBorders>
                    <w:tl2br w:val="nil"/>
                    <w:tr2bl w:val="nil"/>
                  </w:tcBorders>
                  <w:noWrap w:val="0"/>
                  <w:vAlign w:val="center"/>
                </w:tcPr>
                <w:p w14:paraId="584BB19D">
                  <w:pPr>
                    <w:jc w:val="center"/>
                    <w:rPr>
                      <w:rFonts w:hint="default" w:eastAsia="宋体"/>
                      <w:color w:val="auto"/>
                      <w:lang w:val="en-US" w:eastAsia="zh-CN"/>
                    </w:rPr>
                  </w:pPr>
                  <w:r>
                    <w:rPr>
                      <w:rFonts w:hint="eastAsia"/>
                      <w:color w:val="auto"/>
                      <w:lang w:val="en-US" w:eastAsia="zh-CN"/>
                    </w:rPr>
                    <w:t>张家村</w:t>
                  </w:r>
                </w:p>
              </w:tc>
              <w:tc>
                <w:tcPr>
                  <w:tcW w:w="756" w:type="pct"/>
                  <w:tcBorders>
                    <w:tl2br w:val="nil"/>
                    <w:tr2bl w:val="nil"/>
                  </w:tcBorders>
                  <w:noWrap w:val="0"/>
                  <w:vAlign w:val="center"/>
                </w:tcPr>
                <w:p w14:paraId="698C2463">
                  <w:pPr>
                    <w:jc w:val="center"/>
                    <w:rPr>
                      <w:rFonts w:hint="default"/>
                      <w:color w:val="auto"/>
                      <w:lang w:val="en-US" w:eastAsia="zh-CN"/>
                    </w:rPr>
                  </w:pPr>
                  <w:r>
                    <w:rPr>
                      <w:rFonts w:hint="eastAsia"/>
                      <w:color w:val="auto"/>
                      <w:lang w:val="en-US" w:eastAsia="zh-CN"/>
                    </w:rPr>
                    <w:t>107.40783</w:t>
                  </w:r>
                </w:p>
              </w:tc>
              <w:tc>
                <w:tcPr>
                  <w:tcW w:w="728" w:type="pct"/>
                  <w:tcBorders>
                    <w:tl2br w:val="nil"/>
                    <w:tr2bl w:val="nil"/>
                  </w:tcBorders>
                  <w:noWrap w:val="0"/>
                  <w:vAlign w:val="center"/>
                </w:tcPr>
                <w:p w14:paraId="4F2E3D0F">
                  <w:pPr>
                    <w:jc w:val="center"/>
                    <w:rPr>
                      <w:rFonts w:hint="default"/>
                      <w:color w:val="auto"/>
                      <w:lang w:val="en-US" w:eastAsia="zh-CN"/>
                    </w:rPr>
                  </w:pPr>
                  <w:r>
                    <w:rPr>
                      <w:rFonts w:hint="eastAsia"/>
                      <w:color w:val="auto"/>
                      <w:lang w:val="en-US" w:eastAsia="zh-CN"/>
                    </w:rPr>
                    <w:t>33.16252</w:t>
                  </w:r>
                </w:p>
              </w:tc>
              <w:tc>
                <w:tcPr>
                  <w:tcW w:w="411" w:type="pct"/>
                  <w:tcBorders>
                    <w:tl2br w:val="nil"/>
                    <w:tr2bl w:val="nil"/>
                  </w:tcBorders>
                  <w:noWrap w:val="0"/>
                  <w:vAlign w:val="center"/>
                </w:tcPr>
                <w:p w14:paraId="1F61B735">
                  <w:pPr>
                    <w:jc w:val="center"/>
                    <w:rPr>
                      <w:rFonts w:hint="default" w:eastAsia="宋体"/>
                      <w:color w:val="auto"/>
                      <w:lang w:val="en-US" w:eastAsia="zh-CN"/>
                    </w:rPr>
                  </w:pPr>
                  <w:r>
                    <w:rPr>
                      <w:rFonts w:hint="eastAsia"/>
                      <w:color w:val="auto"/>
                      <w:lang w:val="en-US" w:eastAsia="zh-CN"/>
                    </w:rPr>
                    <w:t>NW</w:t>
                  </w:r>
                </w:p>
              </w:tc>
              <w:tc>
                <w:tcPr>
                  <w:tcW w:w="457" w:type="pct"/>
                  <w:tcBorders>
                    <w:tl2br w:val="nil"/>
                    <w:tr2bl w:val="nil"/>
                  </w:tcBorders>
                  <w:noWrap w:val="0"/>
                  <w:vAlign w:val="center"/>
                </w:tcPr>
                <w:p w14:paraId="6ADA2A03">
                  <w:pPr>
                    <w:jc w:val="center"/>
                    <w:rPr>
                      <w:rFonts w:hint="default" w:eastAsia="宋体"/>
                      <w:color w:val="auto"/>
                      <w:lang w:val="en-US" w:eastAsia="zh-CN"/>
                    </w:rPr>
                  </w:pPr>
                  <w:r>
                    <w:rPr>
                      <w:rFonts w:hint="eastAsia"/>
                      <w:color w:val="auto"/>
                      <w:lang w:val="en-US" w:eastAsia="zh-CN"/>
                    </w:rPr>
                    <w:t>420</w:t>
                  </w:r>
                </w:p>
              </w:tc>
              <w:tc>
                <w:tcPr>
                  <w:tcW w:w="672" w:type="pct"/>
                  <w:tcBorders>
                    <w:tl2br w:val="nil"/>
                    <w:tr2bl w:val="nil"/>
                  </w:tcBorders>
                  <w:noWrap w:val="0"/>
                  <w:vAlign w:val="center"/>
                </w:tcPr>
                <w:p w14:paraId="611CA2AF">
                  <w:pPr>
                    <w:jc w:val="center"/>
                    <w:rPr>
                      <w:rFonts w:hint="default" w:eastAsia="宋体"/>
                      <w:color w:val="auto"/>
                      <w:lang w:val="en-US" w:eastAsia="zh-CN"/>
                    </w:rPr>
                  </w:pPr>
                  <w:r>
                    <w:rPr>
                      <w:rFonts w:hint="eastAsia"/>
                      <w:color w:val="auto"/>
                    </w:rPr>
                    <w:t>约</w:t>
                  </w:r>
                  <w:r>
                    <w:rPr>
                      <w:rFonts w:hint="eastAsia"/>
                      <w:color w:val="auto"/>
                      <w:lang w:val="en-US" w:eastAsia="zh-CN"/>
                    </w:rPr>
                    <w:t>25</w:t>
                  </w:r>
                  <w:r>
                    <w:rPr>
                      <w:rFonts w:hint="eastAsia"/>
                      <w:color w:val="auto"/>
                    </w:rPr>
                    <w:t>户</w:t>
                  </w:r>
                  <w:r>
                    <w:rPr>
                      <w:rFonts w:hint="eastAsia"/>
                      <w:color w:val="auto"/>
                      <w:lang w:val="en-US" w:eastAsia="zh-CN"/>
                    </w:rPr>
                    <w:t>100人</w:t>
                  </w:r>
                </w:p>
              </w:tc>
              <w:tc>
                <w:tcPr>
                  <w:tcW w:w="420" w:type="pct"/>
                  <w:vMerge w:val="restart"/>
                  <w:tcBorders>
                    <w:tl2br w:val="nil"/>
                    <w:tr2bl w:val="nil"/>
                  </w:tcBorders>
                  <w:noWrap w:val="0"/>
                  <w:vAlign w:val="center"/>
                </w:tcPr>
                <w:p w14:paraId="52195A23">
                  <w:pPr>
                    <w:jc w:val="center"/>
                    <w:rPr>
                      <w:rFonts w:hint="eastAsia"/>
                      <w:color w:val="auto"/>
                    </w:rPr>
                  </w:pPr>
                  <w:r>
                    <w:rPr>
                      <w:rFonts w:hint="eastAsia"/>
                      <w:color w:val="auto"/>
                    </w:rPr>
                    <w:t>环境</w:t>
                  </w:r>
                </w:p>
                <w:p w14:paraId="5D03A420">
                  <w:pPr>
                    <w:jc w:val="center"/>
                    <w:rPr>
                      <w:rFonts w:hint="default" w:eastAsia="宋体"/>
                      <w:color w:val="auto"/>
                      <w:lang w:val="en-US" w:eastAsia="zh-CN"/>
                    </w:rPr>
                  </w:pPr>
                  <w:r>
                    <w:rPr>
                      <w:rFonts w:hint="eastAsia"/>
                      <w:color w:val="auto"/>
                    </w:rPr>
                    <w:t>空气</w:t>
                  </w:r>
                </w:p>
              </w:tc>
              <w:tc>
                <w:tcPr>
                  <w:tcW w:w="525" w:type="pct"/>
                  <w:vMerge w:val="restart"/>
                  <w:tcBorders>
                    <w:tl2br w:val="nil"/>
                    <w:tr2bl w:val="nil"/>
                  </w:tcBorders>
                  <w:noWrap w:val="0"/>
                  <w:vAlign w:val="center"/>
                </w:tcPr>
                <w:p w14:paraId="1ADC623A">
                  <w:pPr>
                    <w:jc w:val="center"/>
                    <w:rPr>
                      <w:rFonts w:hint="eastAsia"/>
                      <w:color w:val="auto"/>
                    </w:rPr>
                  </w:pPr>
                  <w:r>
                    <w:rPr>
                      <w:rFonts w:hint="eastAsia"/>
                      <w:color w:val="auto"/>
                    </w:rPr>
                    <w:t>环境空气二类区</w:t>
                  </w:r>
                </w:p>
              </w:tc>
            </w:tr>
            <w:tr w14:paraId="2316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475" w:type="pct"/>
                  <w:vMerge w:val="continue"/>
                  <w:tcBorders>
                    <w:tl2br w:val="nil"/>
                    <w:tr2bl w:val="nil"/>
                  </w:tcBorders>
                  <w:noWrap w:val="0"/>
                  <w:vAlign w:val="center"/>
                </w:tcPr>
                <w:p w14:paraId="3D8EDA17">
                  <w:pPr>
                    <w:jc w:val="center"/>
                    <w:rPr>
                      <w:rFonts w:hint="default" w:eastAsia="宋体"/>
                      <w:color w:val="auto"/>
                      <w:kern w:val="2"/>
                      <w:sz w:val="21"/>
                      <w:szCs w:val="24"/>
                      <w:lang w:val="en-US" w:eastAsia="zh-CN" w:bidi="ar-SA"/>
                    </w:rPr>
                  </w:pPr>
                </w:p>
              </w:tc>
              <w:tc>
                <w:tcPr>
                  <w:tcW w:w="551" w:type="pct"/>
                  <w:tcBorders>
                    <w:tl2br w:val="nil"/>
                    <w:tr2bl w:val="nil"/>
                  </w:tcBorders>
                  <w:noWrap w:val="0"/>
                  <w:vAlign w:val="center"/>
                </w:tcPr>
                <w:p w14:paraId="06549964">
                  <w:pPr>
                    <w:jc w:val="center"/>
                    <w:rPr>
                      <w:rFonts w:hint="default" w:eastAsia="宋体"/>
                      <w:color w:val="auto"/>
                      <w:kern w:val="2"/>
                      <w:sz w:val="21"/>
                      <w:szCs w:val="24"/>
                      <w:lang w:val="en-US" w:eastAsia="zh-CN" w:bidi="ar-SA"/>
                    </w:rPr>
                  </w:pPr>
                  <w:r>
                    <w:rPr>
                      <w:rFonts w:hint="eastAsia"/>
                      <w:color w:val="auto"/>
                      <w:kern w:val="2"/>
                      <w:sz w:val="21"/>
                      <w:szCs w:val="24"/>
                      <w:lang w:val="en-US" w:eastAsia="zh-CN" w:bidi="ar-SA"/>
                    </w:rPr>
                    <w:t>联合村</w:t>
                  </w:r>
                </w:p>
              </w:tc>
              <w:tc>
                <w:tcPr>
                  <w:tcW w:w="756" w:type="pct"/>
                  <w:tcBorders>
                    <w:tl2br w:val="nil"/>
                    <w:tr2bl w:val="nil"/>
                  </w:tcBorders>
                  <w:noWrap w:val="0"/>
                  <w:vAlign w:val="center"/>
                </w:tcPr>
                <w:p w14:paraId="6A0E80BF">
                  <w:pPr>
                    <w:jc w:val="center"/>
                    <w:rPr>
                      <w:rFonts w:hint="default" w:eastAsia="宋体"/>
                      <w:color w:val="auto"/>
                      <w:kern w:val="2"/>
                      <w:sz w:val="21"/>
                      <w:szCs w:val="24"/>
                      <w:lang w:val="en-US" w:eastAsia="zh-CN" w:bidi="ar-SA"/>
                    </w:rPr>
                  </w:pPr>
                  <w:r>
                    <w:rPr>
                      <w:rFonts w:hint="eastAsia"/>
                      <w:color w:val="auto"/>
                      <w:kern w:val="2"/>
                      <w:sz w:val="21"/>
                      <w:szCs w:val="24"/>
                      <w:lang w:val="en-US" w:eastAsia="zh-CN" w:bidi="ar-SA"/>
                    </w:rPr>
                    <w:t>107.41998</w:t>
                  </w:r>
                </w:p>
              </w:tc>
              <w:tc>
                <w:tcPr>
                  <w:tcW w:w="728" w:type="pct"/>
                  <w:tcBorders>
                    <w:tl2br w:val="nil"/>
                    <w:tr2bl w:val="nil"/>
                  </w:tcBorders>
                  <w:noWrap w:val="0"/>
                  <w:vAlign w:val="center"/>
                </w:tcPr>
                <w:p w14:paraId="20C18304">
                  <w:pPr>
                    <w:jc w:val="center"/>
                    <w:rPr>
                      <w:rFonts w:hint="default" w:eastAsia="宋体"/>
                      <w:color w:val="auto"/>
                      <w:kern w:val="2"/>
                      <w:sz w:val="21"/>
                      <w:szCs w:val="24"/>
                      <w:lang w:val="en-US" w:eastAsia="zh-CN" w:bidi="ar-SA"/>
                    </w:rPr>
                  </w:pPr>
                  <w:r>
                    <w:rPr>
                      <w:rFonts w:hint="eastAsia"/>
                      <w:color w:val="auto"/>
                      <w:kern w:val="2"/>
                      <w:sz w:val="21"/>
                      <w:szCs w:val="24"/>
                      <w:lang w:val="en-US" w:eastAsia="zh-CN" w:bidi="ar-SA"/>
                    </w:rPr>
                    <w:t>33.15779</w:t>
                  </w:r>
                </w:p>
              </w:tc>
              <w:tc>
                <w:tcPr>
                  <w:tcW w:w="411" w:type="pct"/>
                  <w:tcBorders>
                    <w:tl2br w:val="nil"/>
                    <w:tr2bl w:val="nil"/>
                  </w:tcBorders>
                  <w:noWrap w:val="0"/>
                  <w:vAlign w:val="center"/>
                </w:tcPr>
                <w:p w14:paraId="32D1F235">
                  <w:pPr>
                    <w:jc w:val="center"/>
                    <w:rPr>
                      <w:rFonts w:hint="default" w:eastAsia="宋体"/>
                      <w:color w:val="auto"/>
                      <w:kern w:val="2"/>
                      <w:sz w:val="21"/>
                      <w:szCs w:val="24"/>
                      <w:lang w:val="en-US" w:eastAsia="zh-CN" w:bidi="ar-SA"/>
                    </w:rPr>
                  </w:pPr>
                  <w:r>
                    <w:rPr>
                      <w:rFonts w:hint="eastAsia"/>
                      <w:color w:val="auto"/>
                      <w:lang w:val="en-US" w:eastAsia="zh-CN"/>
                    </w:rPr>
                    <w:t>SE</w:t>
                  </w:r>
                </w:p>
              </w:tc>
              <w:tc>
                <w:tcPr>
                  <w:tcW w:w="457" w:type="pct"/>
                  <w:tcBorders>
                    <w:tl2br w:val="nil"/>
                    <w:tr2bl w:val="nil"/>
                  </w:tcBorders>
                  <w:noWrap w:val="0"/>
                  <w:vAlign w:val="center"/>
                </w:tcPr>
                <w:p w14:paraId="7D3C0568">
                  <w:pPr>
                    <w:jc w:val="center"/>
                    <w:rPr>
                      <w:rFonts w:hint="default" w:eastAsia="宋体"/>
                      <w:color w:val="auto"/>
                      <w:kern w:val="2"/>
                      <w:sz w:val="21"/>
                      <w:szCs w:val="24"/>
                      <w:lang w:val="en-US" w:eastAsia="zh-CN" w:bidi="ar-SA"/>
                    </w:rPr>
                  </w:pPr>
                  <w:r>
                    <w:rPr>
                      <w:rFonts w:hint="eastAsia"/>
                      <w:color w:val="auto"/>
                      <w:lang w:val="en-US" w:eastAsia="zh-CN"/>
                    </w:rPr>
                    <w:t>150</w:t>
                  </w:r>
                </w:p>
              </w:tc>
              <w:tc>
                <w:tcPr>
                  <w:tcW w:w="672" w:type="pct"/>
                  <w:tcBorders>
                    <w:tl2br w:val="nil"/>
                    <w:tr2bl w:val="nil"/>
                  </w:tcBorders>
                  <w:noWrap w:val="0"/>
                  <w:vAlign w:val="center"/>
                </w:tcPr>
                <w:p w14:paraId="45CC23DB">
                  <w:pPr>
                    <w:jc w:val="center"/>
                    <w:rPr>
                      <w:rFonts w:hint="eastAsia" w:eastAsia="宋体"/>
                      <w:color w:val="auto"/>
                      <w:kern w:val="2"/>
                      <w:sz w:val="21"/>
                      <w:szCs w:val="24"/>
                      <w:lang w:val="en-US" w:eastAsia="zh-CN" w:bidi="ar-SA"/>
                    </w:rPr>
                  </w:pPr>
                  <w:r>
                    <w:rPr>
                      <w:rFonts w:hint="eastAsia"/>
                      <w:color w:val="auto"/>
                    </w:rPr>
                    <w:t>约</w:t>
                  </w:r>
                  <w:r>
                    <w:rPr>
                      <w:rFonts w:hint="eastAsia"/>
                      <w:color w:val="auto"/>
                      <w:lang w:val="en-US" w:eastAsia="zh-CN"/>
                    </w:rPr>
                    <w:t>30</w:t>
                  </w:r>
                  <w:r>
                    <w:rPr>
                      <w:rFonts w:hint="eastAsia"/>
                      <w:color w:val="auto"/>
                    </w:rPr>
                    <w:t>户</w:t>
                  </w:r>
                  <w:r>
                    <w:rPr>
                      <w:rFonts w:hint="eastAsia"/>
                      <w:color w:val="auto"/>
                      <w:lang w:val="en-US" w:eastAsia="zh-CN"/>
                    </w:rPr>
                    <w:t>120人</w:t>
                  </w:r>
                </w:p>
              </w:tc>
              <w:tc>
                <w:tcPr>
                  <w:tcW w:w="420" w:type="pct"/>
                  <w:vMerge w:val="continue"/>
                  <w:tcBorders>
                    <w:tl2br w:val="nil"/>
                    <w:tr2bl w:val="nil"/>
                  </w:tcBorders>
                  <w:noWrap w:val="0"/>
                  <w:vAlign w:val="center"/>
                </w:tcPr>
                <w:p w14:paraId="4D87852C">
                  <w:pPr>
                    <w:jc w:val="center"/>
                    <w:rPr>
                      <w:rFonts w:hint="eastAsia"/>
                      <w:color w:val="auto"/>
                    </w:rPr>
                  </w:pPr>
                </w:p>
              </w:tc>
              <w:tc>
                <w:tcPr>
                  <w:tcW w:w="525" w:type="pct"/>
                  <w:vMerge w:val="continue"/>
                  <w:tcBorders>
                    <w:tl2br w:val="nil"/>
                    <w:tr2bl w:val="nil"/>
                  </w:tcBorders>
                  <w:noWrap w:val="0"/>
                  <w:vAlign w:val="center"/>
                </w:tcPr>
                <w:p w14:paraId="6BD2BBFD">
                  <w:pPr>
                    <w:jc w:val="center"/>
                    <w:rPr>
                      <w:rFonts w:hint="eastAsia"/>
                      <w:color w:val="auto"/>
                    </w:rPr>
                  </w:pPr>
                </w:p>
              </w:tc>
            </w:tr>
            <w:tr w14:paraId="0DE1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475" w:type="pct"/>
                  <w:tcBorders>
                    <w:tl2br w:val="nil"/>
                    <w:tr2bl w:val="nil"/>
                  </w:tcBorders>
                  <w:noWrap w:val="0"/>
                  <w:vAlign w:val="center"/>
                </w:tcPr>
                <w:p w14:paraId="1A6D6A83">
                  <w:pPr>
                    <w:jc w:val="center"/>
                    <w:rPr>
                      <w:rFonts w:hint="default" w:eastAsia="宋体"/>
                      <w:color w:val="auto"/>
                      <w:kern w:val="2"/>
                      <w:sz w:val="21"/>
                      <w:szCs w:val="24"/>
                      <w:lang w:val="en-US" w:eastAsia="zh-CN" w:bidi="ar-SA"/>
                    </w:rPr>
                  </w:pPr>
                  <w:r>
                    <w:rPr>
                      <w:rFonts w:hint="eastAsia"/>
                      <w:color w:val="auto"/>
                      <w:kern w:val="2"/>
                      <w:sz w:val="21"/>
                      <w:szCs w:val="24"/>
                      <w:lang w:val="en-US" w:eastAsia="zh-CN" w:bidi="ar-SA"/>
                    </w:rPr>
                    <w:t>地表水</w:t>
                  </w:r>
                </w:p>
              </w:tc>
              <w:tc>
                <w:tcPr>
                  <w:tcW w:w="551" w:type="pct"/>
                  <w:tcBorders>
                    <w:tl2br w:val="nil"/>
                    <w:tr2bl w:val="nil"/>
                  </w:tcBorders>
                  <w:noWrap w:val="0"/>
                  <w:vAlign w:val="center"/>
                </w:tcPr>
                <w:p w14:paraId="60CD7C6C">
                  <w:pPr>
                    <w:jc w:val="center"/>
                    <w:rPr>
                      <w:rFonts w:hint="default"/>
                      <w:color w:val="auto"/>
                      <w:kern w:val="2"/>
                      <w:sz w:val="21"/>
                      <w:szCs w:val="24"/>
                      <w:lang w:val="en-US" w:eastAsia="zh-CN" w:bidi="ar-SA"/>
                    </w:rPr>
                  </w:pPr>
                  <w:r>
                    <w:rPr>
                      <w:rFonts w:hint="eastAsia"/>
                      <w:color w:val="auto"/>
                      <w:kern w:val="2"/>
                      <w:sz w:val="21"/>
                      <w:szCs w:val="24"/>
                      <w:lang w:val="en-US" w:eastAsia="zh-CN" w:bidi="ar-SA"/>
                    </w:rPr>
                    <w:t>汉江</w:t>
                  </w:r>
                </w:p>
              </w:tc>
              <w:tc>
                <w:tcPr>
                  <w:tcW w:w="2353" w:type="pct"/>
                  <w:gridSpan w:val="4"/>
                  <w:tcBorders>
                    <w:tl2br w:val="nil"/>
                    <w:tr2bl w:val="nil"/>
                  </w:tcBorders>
                  <w:noWrap w:val="0"/>
                  <w:vAlign w:val="center"/>
                </w:tcPr>
                <w:p w14:paraId="27A8593D">
                  <w:pPr>
                    <w:jc w:val="center"/>
                    <w:rPr>
                      <w:rFonts w:hint="default"/>
                      <w:color w:val="auto"/>
                      <w:lang w:val="en-US" w:eastAsia="zh-CN"/>
                    </w:rPr>
                  </w:pPr>
                  <w:r>
                    <w:rPr>
                      <w:rFonts w:hint="eastAsia"/>
                      <w:color w:val="auto"/>
                      <w:lang w:val="en-US" w:eastAsia="zh-CN"/>
                    </w:rPr>
                    <w:t>跨越</w:t>
                  </w:r>
                </w:p>
              </w:tc>
              <w:tc>
                <w:tcPr>
                  <w:tcW w:w="672" w:type="pct"/>
                  <w:tcBorders>
                    <w:tl2br w:val="nil"/>
                    <w:tr2bl w:val="nil"/>
                  </w:tcBorders>
                  <w:noWrap w:val="0"/>
                  <w:vAlign w:val="center"/>
                </w:tcPr>
                <w:p w14:paraId="566BD29A">
                  <w:pPr>
                    <w:jc w:val="center"/>
                    <w:rPr>
                      <w:rFonts w:hint="eastAsia"/>
                      <w:color w:val="auto"/>
                      <w:lang w:val="en-US" w:eastAsia="zh-CN"/>
                    </w:rPr>
                  </w:pPr>
                  <w:r>
                    <w:rPr>
                      <w:rFonts w:hint="eastAsia"/>
                      <w:color w:val="auto"/>
                      <w:sz w:val="21"/>
                      <w:szCs w:val="28"/>
                      <w:vertAlign w:val="baseline"/>
                      <w:lang w:val="en-US" w:eastAsia="zh-CN"/>
                    </w:rPr>
                    <w:t>/</w:t>
                  </w:r>
                </w:p>
              </w:tc>
              <w:tc>
                <w:tcPr>
                  <w:tcW w:w="420" w:type="pct"/>
                  <w:tcBorders>
                    <w:tl2br w:val="nil"/>
                    <w:tr2bl w:val="nil"/>
                  </w:tcBorders>
                  <w:shd w:val="clear" w:color="auto" w:fill="auto"/>
                  <w:noWrap w:val="0"/>
                  <w:vAlign w:val="center"/>
                </w:tcPr>
                <w:p w14:paraId="4048C51B">
                  <w:pPr>
                    <w:jc w:val="center"/>
                    <w:rPr>
                      <w:rFonts w:hint="eastAsia" w:ascii="Times New Roman" w:hAnsi="Times New Roman" w:eastAsia="宋体" w:cs="Times New Roman"/>
                      <w:color w:val="auto"/>
                      <w:kern w:val="2"/>
                      <w:sz w:val="21"/>
                      <w:szCs w:val="24"/>
                      <w:lang w:val="en-US" w:eastAsia="zh-CN" w:bidi="ar-SA"/>
                    </w:rPr>
                  </w:pPr>
                  <w:r>
                    <w:rPr>
                      <w:rFonts w:hint="eastAsia"/>
                      <w:color w:val="auto"/>
                    </w:rPr>
                    <w:t>水质</w:t>
                  </w:r>
                </w:p>
              </w:tc>
              <w:tc>
                <w:tcPr>
                  <w:tcW w:w="525" w:type="pct"/>
                  <w:tcBorders>
                    <w:tl2br w:val="nil"/>
                    <w:tr2bl w:val="nil"/>
                  </w:tcBorders>
                  <w:shd w:val="clear" w:color="auto" w:fill="auto"/>
                  <w:noWrap w:val="0"/>
                  <w:vAlign w:val="center"/>
                </w:tcPr>
                <w:p w14:paraId="4B165EEB">
                  <w:pPr>
                    <w:jc w:val="center"/>
                    <w:rPr>
                      <w:rFonts w:hint="eastAsia" w:ascii="Times New Roman" w:hAnsi="Times New Roman" w:eastAsia="宋体" w:cs="Times New Roman"/>
                      <w:color w:val="auto"/>
                      <w:kern w:val="2"/>
                      <w:sz w:val="21"/>
                      <w:szCs w:val="24"/>
                      <w:lang w:val="en-US" w:eastAsia="zh-CN" w:bidi="ar-SA"/>
                    </w:rPr>
                  </w:pPr>
                  <w:r>
                    <w:rPr>
                      <w:rFonts w:ascii="Times New Roman" w:hAnsi="Times New Roman" w:eastAsia="Times New Roman" w:cs="Times New Roman"/>
                      <w:spacing w:val="-1"/>
                      <w:sz w:val="21"/>
                      <w:szCs w:val="21"/>
                    </w:rPr>
                    <w:t>Ⅱ</w:t>
                  </w:r>
                  <w:r>
                    <w:rPr>
                      <w:rFonts w:hint="eastAsia"/>
                      <w:color w:val="auto"/>
                    </w:rPr>
                    <w:t>类水域</w:t>
                  </w:r>
                </w:p>
              </w:tc>
            </w:tr>
            <w:tr w14:paraId="396A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75" w:type="pct"/>
                  <w:vMerge w:val="restart"/>
                  <w:tcBorders>
                    <w:tl2br w:val="nil"/>
                    <w:tr2bl w:val="nil"/>
                  </w:tcBorders>
                  <w:noWrap w:val="0"/>
                  <w:vAlign w:val="center"/>
                </w:tcPr>
                <w:p w14:paraId="15943AE6">
                  <w:pPr>
                    <w:jc w:val="center"/>
                    <w:rPr>
                      <w:rFonts w:hint="eastAsia"/>
                      <w:color w:val="auto"/>
                      <w:szCs w:val="21"/>
                    </w:rPr>
                  </w:pPr>
                  <w:r>
                    <w:rPr>
                      <w:rFonts w:hint="eastAsia"/>
                      <w:color w:val="auto"/>
                      <w:szCs w:val="21"/>
                    </w:rPr>
                    <w:t>生态环境</w:t>
                  </w:r>
                </w:p>
              </w:tc>
              <w:tc>
                <w:tcPr>
                  <w:tcW w:w="2036" w:type="pct"/>
                  <w:gridSpan w:val="3"/>
                  <w:tcBorders>
                    <w:tl2br w:val="nil"/>
                    <w:tr2bl w:val="nil"/>
                  </w:tcBorders>
                  <w:noWrap w:val="0"/>
                  <w:vAlign w:val="center"/>
                </w:tcPr>
                <w:p w14:paraId="4C1FDCC2">
                  <w:pPr>
                    <w:jc w:val="center"/>
                    <w:rPr>
                      <w:rFonts w:hint="eastAsia"/>
                      <w:color w:val="auto"/>
                      <w:szCs w:val="21"/>
                    </w:rPr>
                  </w:pPr>
                  <w:r>
                    <w:rPr>
                      <w:rFonts w:hint="default" w:ascii="Times New Roman" w:hAnsi="Times New Roman" w:eastAsia="宋体"/>
                      <w:color w:val="auto"/>
                      <w:sz w:val="21"/>
                      <w:szCs w:val="28"/>
                      <w:vertAlign w:val="baseline"/>
                      <w:lang w:val="en-US" w:eastAsia="zh-CN"/>
                    </w:rPr>
                    <w:t>工程占地和评价范围</w:t>
                  </w:r>
                  <w:r>
                    <w:rPr>
                      <w:rFonts w:hint="eastAsia"/>
                      <w:color w:val="auto"/>
                      <w:sz w:val="21"/>
                      <w:szCs w:val="28"/>
                      <w:vertAlign w:val="baseline"/>
                      <w:lang w:val="en-US" w:eastAsia="zh-CN"/>
                    </w:rPr>
                    <w:t>内</w:t>
                  </w:r>
                  <w:r>
                    <w:rPr>
                      <w:rFonts w:hint="default" w:ascii="Times New Roman" w:hAnsi="Times New Roman" w:eastAsia="宋体"/>
                      <w:color w:val="auto"/>
                      <w:sz w:val="21"/>
                      <w:szCs w:val="28"/>
                      <w:vertAlign w:val="baseline"/>
                      <w:lang w:val="en-US" w:eastAsia="zh-CN"/>
                    </w:rPr>
                    <w:t>植被和野生动物、土地利用、农田等生态系统</w:t>
                  </w:r>
                </w:p>
              </w:tc>
              <w:tc>
                <w:tcPr>
                  <w:tcW w:w="868" w:type="pct"/>
                  <w:gridSpan w:val="2"/>
                  <w:tcBorders>
                    <w:tl2br w:val="nil"/>
                    <w:tr2bl w:val="nil"/>
                  </w:tcBorders>
                  <w:noWrap w:val="0"/>
                  <w:vAlign w:val="center"/>
                </w:tcPr>
                <w:p w14:paraId="07779D06">
                  <w:pPr>
                    <w:jc w:val="center"/>
                    <w:rPr>
                      <w:rFonts w:hint="eastAsia"/>
                      <w:color w:val="auto"/>
                      <w:szCs w:val="21"/>
                    </w:rPr>
                  </w:pPr>
                  <w:r>
                    <w:rPr>
                      <w:rFonts w:hint="eastAsia"/>
                      <w:color w:val="auto"/>
                      <w:szCs w:val="21"/>
                      <w:lang w:val="en-US" w:eastAsia="zh-CN"/>
                    </w:rPr>
                    <w:t>工程占地范围</w:t>
                  </w:r>
                  <w:r>
                    <w:rPr>
                      <w:rFonts w:hint="eastAsia"/>
                      <w:color w:val="auto"/>
                      <w:szCs w:val="21"/>
                    </w:rPr>
                    <w:t>外延</w:t>
                  </w:r>
                  <w:r>
                    <w:rPr>
                      <w:rFonts w:hint="eastAsia"/>
                      <w:color w:val="auto"/>
                      <w:szCs w:val="21"/>
                      <w:lang w:val="en-US" w:eastAsia="zh-CN"/>
                    </w:rPr>
                    <w:t>5</w:t>
                  </w:r>
                  <w:r>
                    <w:rPr>
                      <w:rFonts w:hint="eastAsia"/>
                      <w:color w:val="auto"/>
                      <w:szCs w:val="21"/>
                    </w:rPr>
                    <w:t>00m的区域内</w:t>
                  </w:r>
                </w:p>
              </w:tc>
              <w:tc>
                <w:tcPr>
                  <w:tcW w:w="1618" w:type="pct"/>
                  <w:gridSpan w:val="3"/>
                  <w:tcBorders>
                    <w:tl2br w:val="nil"/>
                    <w:tr2bl w:val="nil"/>
                  </w:tcBorders>
                  <w:noWrap w:val="0"/>
                  <w:vAlign w:val="center"/>
                </w:tcPr>
                <w:p w14:paraId="7D6A0DA7">
                  <w:pPr>
                    <w:jc w:val="center"/>
                    <w:rPr>
                      <w:rFonts w:hint="eastAsia"/>
                      <w:color w:val="auto"/>
                      <w:szCs w:val="21"/>
                    </w:rPr>
                  </w:pPr>
                  <w:r>
                    <w:rPr>
                      <w:rFonts w:hint="eastAsia"/>
                      <w:color w:val="auto"/>
                      <w:szCs w:val="21"/>
                    </w:rPr>
                    <w:t>减少水土流失、保护周边的植被、动植物等不受项目生产过程产生污染物的影响，从保护生态功能角度对工程建设方案提出建议、措施，不破坏评价范围内原有生物的多样性和完整性</w:t>
                  </w:r>
                </w:p>
              </w:tc>
            </w:tr>
            <w:tr w14:paraId="61F7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75" w:type="pct"/>
                  <w:vMerge w:val="continue"/>
                  <w:tcBorders>
                    <w:tl2br w:val="nil"/>
                    <w:tr2bl w:val="nil"/>
                  </w:tcBorders>
                  <w:noWrap w:val="0"/>
                  <w:vAlign w:val="center"/>
                </w:tcPr>
                <w:p w14:paraId="6FE5C232">
                  <w:pPr>
                    <w:jc w:val="center"/>
                    <w:rPr>
                      <w:rFonts w:hint="eastAsia"/>
                      <w:color w:val="auto"/>
                      <w:szCs w:val="21"/>
                    </w:rPr>
                  </w:pPr>
                </w:p>
              </w:tc>
              <w:tc>
                <w:tcPr>
                  <w:tcW w:w="2036" w:type="pct"/>
                  <w:gridSpan w:val="3"/>
                  <w:tcBorders>
                    <w:tl2br w:val="nil"/>
                    <w:tr2bl w:val="nil"/>
                  </w:tcBorders>
                  <w:noWrap w:val="0"/>
                  <w:vAlign w:val="center"/>
                </w:tcPr>
                <w:p w14:paraId="5CEB825B">
                  <w:pPr>
                    <w:jc w:val="center"/>
                    <w:rPr>
                      <w:rFonts w:hint="default" w:ascii="Times New Roman" w:hAnsi="Times New Roman" w:eastAsia="宋体"/>
                      <w:color w:val="auto"/>
                      <w:sz w:val="21"/>
                      <w:szCs w:val="28"/>
                      <w:vertAlign w:val="baseline"/>
                      <w:lang w:val="en-US" w:eastAsia="zh-CN"/>
                    </w:rPr>
                  </w:pPr>
                  <w:r>
                    <w:rPr>
                      <w:rFonts w:hint="default" w:ascii="Times New Roman" w:hAnsi="Times New Roman" w:eastAsia="宋体"/>
                      <w:color w:val="auto"/>
                      <w:sz w:val="21"/>
                      <w:szCs w:val="28"/>
                      <w:vertAlign w:val="baseline"/>
                      <w:lang w:val="en-US" w:eastAsia="zh-CN"/>
                    </w:rPr>
                    <w:t>陕西汉江湿地省级自然保护区</w:t>
                  </w:r>
                </w:p>
                <w:p w14:paraId="021FBB6C">
                  <w:pPr>
                    <w:jc w:val="center"/>
                    <w:rPr>
                      <w:rFonts w:hint="default" w:ascii="Times New Roman" w:hAnsi="Times New Roman" w:eastAsia="宋体"/>
                      <w:color w:val="auto"/>
                      <w:sz w:val="21"/>
                      <w:szCs w:val="28"/>
                      <w:vertAlign w:val="baseline"/>
                      <w:lang w:val="en-US" w:eastAsia="zh-CN"/>
                    </w:rPr>
                  </w:pPr>
                  <w:r>
                    <w:rPr>
                      <w:rFonts w:hint="eastAsia"/>
                      <w:color w:val="auto"/>
                      <w:sz w:val="21"/>
                      <w:szCs w:val="28"/>
                      <w:vertAlign w:val="baseline"/>
                      <w:lang w:val="en-US" w:eastAsia="zh-CN"/>
                    </w:rPr>
                    <w:t>（实验区）</w:t>
                  </w:r>
                </w:p>
              </w:tc>
              <w:tc>
                <w:tcPr>
                  <w:tcW w:w="411" w:type="pct"/>
                  <w:tcBorders>
                    <w:tl2br w:val="nil"/>
                    <w:tr2bl w:val="nil"/>
                  </w:tcBorders>
                  <w:noWrap w:val="0"/>
                  <w:vAlign w:val="center"/>
                </w:tcPr>
                <w:p w14:paraId="5CACC4D9">
                  <w:pPr>
                    <w:jc w:val="center"/>
                    <w:rPr>
                      <w:rFonts w:hint="default"/>
                      <w:color w:val="auto"/>
                      <w:szCs w:val="21"/>
                      <w:lang w:val="en-US" w:eastAsia="zh-CN"/>
                    </w:rPr>
                  </w:pPr>
                  <w:r>
                    <w:rPr>
                      <w:rFonts w:hint="eastAsia"/>
                      <w:color w:val="auto"/>
                      <w:szCs w:val="21"/>
                      <w:lang w:val="en-US" w:eastAsia="zh-CN"/>
                    </w:rPr>
                    <w:t>SW</w:t>
                  </w:r>
                </w:p>
              </w:tc>
              <w:tc>
                <w:tcPr>
                  <w:tcW w:w="457" w:type="pct"/>
                  <w:tcBorders>
                    <w:tl2br w:val="nil"/>
                    <w:tr2bl w:val="nil"/>
                  </w:tcBorders>
                  <w:noWrap w:val="0"/>
                  <w:vAlign w:val="center"/>
                </w:tcPr>
                <w:p w14:paraId="1006B619">
                  <w:pPr>
                    <w:jc w:val="center"/>
                    <w:rPr>
                      <w:rFonts w:hint="default"/>
                      <w:color w:val="auto"/>
                      <w:szCs w:val="21"/>
                      <w:lang w:val="en-US" w:eastAsia="zh-CN"/>
                    </w:rPr>
                  </w:pPr>
                  <w:r>
                    <w:rPr>
                      <w:rFonts w:hint="eastAsia"/>
                      <w:color w:val="auto"/>
                      <w:szCs w:val="21"/>
                      <w:lang w:val="en-US" w:eastAsia="zh-CN"/>
                    </w:rPr>
                    <w:t>900</w:t>
                  </w:r>
                </w:p>
              </w:tc>
              <w:tc>
                <w:tcPr>
                  <w:tcW w:w="1618" w:type="pct"/>
                  <w:gridSpan w:val="3"/>
                  <w:tcBorders>
                    <w:tl2br w:val="nil"/>
                    <w:tr2bl w:val="nil"/>
                  </w:tcBorders>
                  <w:noWrap w:val="0"/>
                  <w:vAlign w:val="center"/>
                </w:tcPr>
                <w:p w14:paraId="59FBE8E5">
                  <w:pPr>
                    <w:jc w:val="center"/>
                    <w:rPr>
                      <w:rFonts w:hint="default" w:eastAsia="宋体"/>
                      <w:color w:val="auto"/>
                      <w:szCs w:val="21"/>
                      <w:lang w:val="en-US" w:eastAsia="zh-CN"/>
                    </w:rPr>
                  </w:pPr>
                  <w:r>
                    <w:rPr>
                      <w:rFonts w:hint="eastAsia"/>
                      <w:color w:val="auto"/>
                      <w:szCs w:val="21"/>
                      <w:lang w:val="en-US" w:eastAsia="zh-CN"/>
                    </w:rPr>
                    <w:t>陕西省重要湿地</w:t>
                  </w:r>
                </w:p>
              </w:tc>
            </w:tr>
            <w:tr w14:paraId="4901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75" w:type="pct"/>
                  <w:vMerge w:val="continue"/>
                  <w:tcBorders>
                    <w:tl2br w:val="nil"/>
                    <w:tr2bl w:val="nil"/>
                  </w:tcBorders>
                  <w:noWrap w:val="0"/>
                  <w:vAlign w:val="center"/>
                </w:tcPr>
                <w:p w14:paraId="1C1D4D33">
                  <w:pPr>
                    <w:jc w:val="center"/>
                    <w:rPr>
                      <w:rFonts w:hint="eastAsia"/>
                      <w:color w:val="auto"/>
                      <w:szCs w:val="21"/>
                    </w:rPr>
                  </w:pPr>
                </w:p>
              </w:tc>
              <w:tc>
                <w:tcPr>
                  <w:tcW w:w="2036" w:type="pct"/>
                  <w:gridSpan w:val="3"/>
                  <w:tcBorders>
                    <w:tl2br w:val="nil"/>
                    <w:tr2bl w:val="nil"/>
                  </w:tcBorders>
                  <w:noWrap w:val="0"/>
                  <w:vAlign w:val="center"/>
                </w:tcPr>
                <w:p w14:paraId="65AF4220">
                  <w:pPr>
                    <w:jc w:val="center"/>
                    <w:rPr>
                      <w:rFonts w:hint="default" w:ascii="Times New Roman" w:hAnsi="Times New Roman" w:eastAsia="宋体"/>
                      <w:color w:val="auto"/>
                      <w:sz w:val="21"/>
                      <w:szCs w:val="28"/>
                      <w:vertAlign w:val="baseline"/>
                      <w:lang w:val="en-US" w:eastAsia="zh-CN"/>
                    </w:rPr>
                  </w:pPr>
                  <w:r>
                    <w:rPr>
                      <w:rFonts w:hint="default" w:ascii="Times New Roman" w:hAnsi="Times New Roman" w:eastAsia="宋体"/>
                      <w:color w:val="auto"/>
                      <w:sz w:val="21"/>
                      <w:szCs w:val="28"/>
                      <w:vertAlign w:val="baseline"/>
                      <w:lang w:val="en-US" w:eastAsia="zh-CN"/>
                    </w:rPr>
                    <w:t>陕西汉中朱鹮国家级自然保护区</w:t>
                  </w:r>
                </w:p>
              </w:tc>
              <w:tc>
                <w:tcPr>
                  <w:tcW w:w="868" w:type="pct"/>
                  <w:gridSpan w:val="2"/>
                  <w:tcBorders>
                    <w:tl2br w:val="nil"/>
                    <w:tr2bl w:val="nil"/>
                  </w:tcBorders>
                  <w:shd w:val="clear" w:color="auto" w:fill="auto"/>
                  <w:noWrap w:val="0"/>
                  <w:vAlign w:val="center"/>
                </w:tcPr>
                <w:p w14:paraId="62218212">
                  <w:pPr>
                    <w:jc w:val="center"/>
                    <w:rPr>
                      <w:rFonts w:hint="default" w:ascii="Times New Roman" w:hAnsi="Times New Roman" w:eastAsia="宋体" w:cs="Times New Roman"/>
                      <w:color w:val="FF0000"/>
                      <w:kern w:val="2"/>
                      <w:sz w:val="21"/>
                      <w:szCs w:val="21"/>
                      <w:lang w:val="en-US" w:eastAsia="zh-CN" w:bidi="ar-SA"/>
                    </w:rPr>
                  </w:pPr>
                  <w:r>
                    <w:rPr>
                      <w:rFonts w:hint="eastAsia"/>
                      <w:color w:val="auto"/>
                      <w:szCs w:val="21"/>
                      <w:lang w:val="en-US" w:eastAsia="zh-CN"/>
                    </w:rPr>
                    <w:t>位于</w:t>
                  </w:r>
                  <w:r>
                    <w:rPr>
                      <w:rFonts w:hint="eastAsia"/>
                      <w:color w:val="auto"/>
                      <w:sz w:val="21"/>
                      <w:szCs w:val="28"/>
                      <w:vertAlign w:val="baseline"/>
                      <w:lang w:val="en-US" w:eastAsia="zh-CN"/>
                    </w:rPr>
                    <w:t>实验区</w:t>
                  </w:r>
                  <w:r>
                    <w:rPr>
                      <w:rFonts w:hint="eastAsia"/>
                      <w:color w:val="auto"/>
                      <w:szCs w:val="21"/>
                      <w:lang w:val="en-US" w:eastAsia="zh-CN"/>
                    </w:rPr>
                    <w:t>范围内</w:t>
                  </w:r>
                </w:p>
              </w:tc>
              <w:tc>
                <w:tcPr>
                  <w:tcW w:w="1618" w:type="pct"/>
                  <w:gridSpan w:val="3"/>
                  <w:tcBorders>
                    <w:tl2br w:val="nil"/>
                    <w:tr2bl w:val="nil"/>
                  </w:tcBorders>
                  <w:noWrap w:val="0"/>
                  <w:vAlign w:val="center"/>
                </w:tcPr>
                <w:p w14:paraId="38B06843">
                  <w:pPr>
                    <w:jc w:val="center"/>
                    <w:rPr>
                      <w:rFonts w:hint="default"/>
                      <w:color w:val="FF0000"/>
                      <w:szCs w:val="21"/>
                      <w:lang w:val="en-US" w:eastAsia="zh-CN"/>
                    </w:rPr>
                  </w:pPr>
                  <w:r>
                    <w:rPr>
                      <w:rFonts w:hint="eastAsia"/>
                      <w:color w:val="auto"/>
                      <w:szCs w:val="21"/>
                      <w:lang w:val="en-US" w:eastAsia="zh-CN"/>
                    </w:rPr>
                    <w:t>国家级</w:t>
                  </w:r>
                </w:p>
              </w:tc>
            </w:tr>
          </w:tbl>
          <w:p w14:paraId="7EA3596F">
            <w:pPr>
              <w:pStyle w:val="23"/>
              <w:jc w:val="both"/>
              <w:rPr>
                <w:rFonts w:hint="default" w:ascii="Times New Roman" w:hAnsi="Times New Roman" w:eastAsia="宋体" w:cs="Times New Roman"/>
                <w:b/>
                <w:bCs/>
                <w:color w:val="auto"/>
                <w:kern w:val="2"/>
                <w:sz w:val="24"/>
                <w:szCs w:val="20"/>
                <w:lang w:val="en-US" w:eastAsia="zh-CN" w:bidi="ar-SA"/>
              </w:rPr>
            </w:pPr>
          </w:p>
        </w:tc>
      </w:tr>
      <w:tr w14:paraId="47DC5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2" w:hRule="atLeast"/>
          <w:jc w:val="center"/>
        </w:trPr>
        <w:tc>
          <w:tcPr>
            <w:tcW w:w="786" w:type="dxa"/>
            <w:noWrap w:val="0"/>
            <w:vAlign w:val="center"/>
          </w:tcPr>
          <w:p w14:paraId="7E458C05">
            <w:pPr>
              <w:adjustRightInd w:val="0"/>
              <w:snapToGrid w:val="0"/>
              <w:jc w:val="center"/>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评价</w:t>
            </w:r>
          </w:p>
          <w:p w14:paraId="5FE05FE0">
            <w:pPr>
              <w:adjustRightInd w:val="0"/>
              <w:snapToGrid w:val="0"/>
              <w:jc w:val="center"/>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标准</w:t>
            </w:r>
          </w:p>
        </w:tc>
        <w:tc>
          <w:tcPr>
            <w:tcW w:w="8253" w:type="dxa"/>
            <w:noWrap w:val="0"/>
            <w:vAlign w:val="center"/>
          </w:tcPr>
          <w:p w14:paraId="6B2A3CA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环境质量标准</w:t>
            </w:r>
          </w:p>
          <w:p w14:paraId="18F9D3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napToGrid w:val="0"/>
                <w:color w:val="auto"/>
                <w:spacing w:val="0"/>
                <w:w w:val="100"/>
                <w:kern w:val="0"/>
                <w:position w:val="0"/>
                <w:sz w:val="24"/>
                <w:szCs w:val="24"/>
                <w:highlight w:val="none"/>
              </w:rPr>
            </w:pPr>
            <w:r>
              <w:rPr>
                <w:rFonts w:hint="eastAsia" w:ascii="Times New Roman" w:hAnsi="Times New Roman" w:cs="Times New Roman"/>
                <w:snapToGrid w:val="0"/>
                <w:color w:val="auto"/>
                <w:spacing w:val="0"/>
                <w:w w:val="100"/>
                <w:kern w:val="0"/>
                <w:position w:val="0"/>
                <w:sz w:val="24"/>
                <w:szCs w:val="24"/>
                <w:highlight w:val="none"/>
                <w:lang w:eastAsia="zh-CN"/>
              </w:rPr>
              <w:t>（</w:t>
            </w:r>
            <w:r>
              <w:rPr>
                <w:rFonts w:hint="eastAsia" w:ascii="Times New Roman" w:hAnsi="Times New Roman" w:cs="Times New Roman"/>
                <w:snapToGrid w:val="0"/>
                <w:color w:val="auto"/>
                <w:spacing w:val="0"/>
                <w:w w:val="100"/>
                <w:kern w:val="0"/>
                <w:position w:val="0"/>
                <w:sz w:val="24"/>
                <w:szCs w:val="24"/>
                <w:highlight w:val="none"/>
                <w:lang w:val="en-US" w:eastAsia="zh-CN"/>
              </w:rPr>
              <w:t>1</w:t>
            </w:r>
            <w:r>
              <w:rPr>
                <w:rFonts w:hint="eastAsia" w:ascii="Times New Roman" w:hAnsi="Times New Roman" w:cs="Times New Roman"/>
                <w:snapToGrid w:val="0"/>
                <w:color w:val="auto"/>
                <w:spacing w:val="0"/>
                <w:w w:val="100"/>
                <w:kern w:val="0"/>
                <w:position w:val="0"/>
                <w:sz w:val="24"/>
                <w:szCs w:val="24"/>
                <w:highlight w:val="none"/>
                <w:lang w:eastAsia="zh-CN"/>
              </w:rPr>
              <w:t>）</w:t>
            </w:r>
            <w:r>
              <w:rPr>
                <w:rFonts w:hint="default" w:ascii="Times New Roman" w:hAnsi="Times New Roman" w:cs="Times New Roman"/>
                <w:snapToGrid w:val="0"/>
                <w:color w:val="auto"/>
                <w:spacing w:val="0"/>
                <w:w w:val="100"/>
                <w:kern w:val="0"/>
                <w:position w:val="0"/>
                <w:sz w:val="24"/>
                <w:szCs w:val="24"/>
                <w:highlight w:val="none"/>
              </w:rPr>
              <w:t>环境空气质量标准</w:t>
            </w:r>
          </w:p>
          <w:p w14:paraId="732D8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snapToGrid w:val="0"/>
                <w:color w:val="auto"/>
                <w:spacing w:val="0"/>
                <w:w w:val="100"/>
                <w:kern w:val="0"/>
                <w:position w:val="0"/>
                <w:sz w:val="24"/>
                <w:szCs w:val="24"/>
                <w:highlight w:val="none"/>
              </w:rPr>
            </w:pPr>
            <w:r>
              <w:rPr>
                <w:rFonts w:hint="eastAsia" w:ascii="Times New Roman" w:hAnsi="Times New Roman" w:cs="Times New Roman"/>
                <w:color w:val="auto"/>
                <w:spacing w:val="0"/>
                <w:w w:val="100"/>
                <w:position w:val="0"/>
                <w:sz w:val="24"/>
                <w:szCs w:val="24"/>
                <w:highlight w:val="none"/>
                <w:lang w:val="en-US" w:eastAsia="zh-CN"/>
              </w:rPr>
              <w:t>评价区域</w:t>
            </w:r>
            <w:r>
              <w:rPr>
                <w:rFonts w:hint="default" w:ascii="Times New Roman" w:hAnsi="Times New Roman" w:cs="Times New Roman"/>
                <w:color w:val="auto"/>
                <w:spacing w:val="0"/>
                <w:w w:val="100"/>
                <w:position w:val="0"/>
                <w:sz w:val="24"/>
                <w:szCs w:val="24"/>
                <w:highlight w:val="none"/>
              </w:rPr>
              <w:t>环境空气质量执行《环境空气质量标准》（GB3095-20</w:t>
            </w:r>
            <w:r>
              <w:rPr>
                <w:rFonts w:hint="eastAsia" w:cs="Times New Roman"/>
                <w:color w:val="auto"/>
                <w:spacing w:val="0"/>
                <w:w w:val="100"/>
                <w:position w:val="0"/>
                <w:sz w:val="24"/>
                <w:szCs w:val="24"/>
                <w:highlight w:val="none"/>
                <w:lang w:val="en-US" w:eastAsia="zh-CN"/>
              </w:rPr>
              <w:t>26</w:t>
            </w:r>
            <w:r>
              <w:rPr>
                <w:rFonts w:hint="default" w:ascii="Times New Roman" w:hAnsi="Times New Roman" w:cs="Times New Roman"/>
                <w:color w:val="auto"/>
                <w:spacing w:val="0"/>
                <w:w w:val="100"/>
                <w:position w:val="0"/>
                <w:sz w:val="24"/>
                <w:szCs w:val="24"/>
                <w:highlight w:val="none"/>
              </w:rPr>
              <w:t>）二级标准</w:t>
            </w:r>
            <w:r>
              <w:rPr>
                <w:rFonts w:hint="eastAsia" w:ascii="Times New Roman" w:hAnsi="Times New Roman" w:cs="Times New Roman"/>
                <w:color w:val="auto"/>
                <w:spacing w:val="0"/>
                <w:w w:val="100"/>
                <w:position w:val="0"/>
                <w:sz w:val="24"/>
                <w:szCs w:val="24"/>
                <w:highlight w:val="none"/>
                <w:lang w:eastAsia="zh-CN"/>
              </w:rPr>
              <w:t>，</w:t>
            </w:r>
            <w:r>
              <w:rPr>
                <w:rFonts w:hint="default" w:ascii="Times New Roman" w:hAnsi="Times New Roman" w:cs="Times New Roman"/>
                <w:snapToGrid w:val="0"/>
                <w:color w:val="auto"/>
                <w:spacing w:val="0"/>
                <w:w w:val="100"/>
                <w:kern w:val="0"/>
                <w:position w:val="0"/>
                <w:sz w:val="24"/>
                <w:szCs w:val="24"/>
                <w:highlight w:val="none"/>
              </w:rPr>
              <w:t>具体</w:t>
            </w:r>
            <w:r>
              <w:rPr>
                <w:rFonts w:hint="eastAsia" w:ascii="Times New Roman" w:hAnsi="Times New Roman" w:cs="Times New Roman"/>
                <w:snapToGrid w:val="0"/>
                <w:color w:val="auto"/>
                <w:spacing w:val="0"/>
                <w:w w:val="100"/>
                <w:kern w:val="0"/>
                <w:position w:val="0"/>
                <w:sz w:val="24"/>
                <w:szCs w:val="24"/>
                <w:highlight w:val="none"/>
                <w:lang w:val="en-US" w:eastAsia="zh-CN"/>
              </w:rPr>
              <w:t>标准限值</w:t>
            </w:r>
            <w:r>
              <w:rPr>
                <w:rFonts w:hint="default" w:ascii="Times New Roman" w:hAnsi="Times New Roman" w:cs="Times New Roman"/>
                <w:snapToGrid w:val="0"/>
                <w:color w:val="auto"/>
                <w:spacing w:val="0"/>
                <w:w w:val="100"/>
                <w:kern w:val="0"/>
                <w:position w:val="0"/>
                <w:sz w:val="24"/>
                <w:szCs w:val="24"/>
                <w:highlight w:val="none"/>
              </w:rPr>
              <w:t>见表</w:t>
            </w:r>
            <w:bookmarkStart w:id="4" w:name="_Ref197944681"/>
            <w:r>
              <w:rPr>
                <w:rFonts w:hint="eastAsia" w:ascii="Times New Roman" w:hAnsi="Times New Roman" w:cs="Times New Roman"/>
                <w:snapToGrid w:val="0"/>
                <w:color w:val="auto"/>
                <w:spacing w:val="0"/>
                <w:w w:val="100"/>
                <w:kern w:val="0"/>
                <w:position w:val="0"/>
                <w:sz w:val="24"/>
                <w:szCs w:val="24"/>
                <w:highlight w:val="none"/>
                <w:lang w:val="en-US" w:eastAsia="zh-CN"/>
              </w:rPr>
              <w:t>3-</w:t>
            </w:r>
            <w:r>
              <w:rPr>
                <w:rFonts w:hint="eastAsia" w:cs="Times New Roman"/>
                <w:snapToGrid w:val="0"/>
                <w:color w:val="auto"/>
                <w:spacing w:val="0"/>
                <w:w w:val="100"/>
                <w:kern w:val="0"/>
                <w:position w:val="0"/>
                <w:sz w:val="24"/>
                <w:szCs w:val="24"/>
                <w:highlight w:val="none"/>
                <w:lang w:val="en-US" w:eastAsia="zh-CN"/>
              </w:rPr>
              <w:t>6</w:t>
            </w:r>
            <w:r>
              <w:rPr>
                <w:rFonts w:hint="default" w:ascii="Times New Roman" w:hAnsi="Times New Roman" w:cs="Times New Roman"/>
                <w:snapToGrid w:val="0"/>
                <w:color w:val="auto"/>
                <w:spacing w:val="0"/>
                <w:w w:val="100"/>
                <w:kern w:val="0"/>
                <w:position w:val="0"/>
                <w:sz w:val="24"/>
                <w:szCs w:val="24"/>
                <w:highlight w:val="none"/>
              </w:rPr>
              <w:t>。</w:t>
            </w:r>
          </w:p>
          <w:bookmarkEnd w:id="4"/>
          <w:p w14:paraId="3590CC4C">
            <w:pPr>
              <w:spacing w:line="240" w:lineRule="auto"/>
              <w:jc w:val="center"/>
              <w:rPr>
                <w:rFonts w:hint="default" w:ascii="Times New Roman" w:hAnsi="Times New Roman" w:cs="Times New Roman"/>
                <w:b/>
                <w:snapToGrid w:val="0"/>
                <w:color w:val="auto"/>
                <w:spacing w:val="0"/>
                <w:w w:val="100"/>
                <w:kern w:val="0"/>
                <w:position w:val="0"/>
                <w:sz w:val="21"/>
                <w:szCs w:val="21"/>
                <w:highlight w:val="none"/>
              </w:rPr>
            </w:pPr>
            <w:r>
              <w:rPr>
                <w:rFonts w:hint="eastAsia" w:ascii="Times New Roman" w:hAnsi="Times New Roman" w:cs="Times New Roman"/>
                <w:b/>
                <w:snapToGrid w:val="0"/>
                <w:color w:val="auto"/>
                <w:spacing w:val="0"/>
                <w:w w:val="100"/>
                <w:kern w:val="0"/>
                <w:position w:val="0"/>
                <w:sz w:val="21"/>
                <w:szCs w:val="21"/>
                <w:highlight w:val="none"/>
                <w:lang w:val="en-US" w:eastAsia="zh-CN"/>
              </w:rPr>
              <w:t>表3-</w:t>
            </w:r>
            <w:r>
              <w:rPr>
                <w:rFonts w:hint="eastAsia" w:cs="Times New Roman"/>
                <w:b/>
                <w:snapToGrid w:val="0"/>
                <w:color w:val="auto"/>
                <w:spacing w:val="0"/>
                <w:w w:val="100"/>
                <w:kern w:val="0"/>
                <w:position w:val="0"/>
                <w:sz w:val="21"/>
                <w:szCs w:val="21"/>
                <w:highlight w:val="none"/>
                <w:lang w:val="en-US" w:eastAsia="zh-CN"/>
              </w:rPr>
              <w:t>6</w:t>
            </w:r>
            <w:r>
              <w:rPr>
                <w:rFonts w:hint="default" w:ascii="Times New Roman" w:hAnsi="Times New Roman" w:cs="Times New Roman"/>
                <w:b/>
                <w:snapToGrid w:val="0"/>
                <w:color w:val="auto"/>
                <w:spacing w:val="0"/>
                <w:w w:val="100"/>
                <w:kern w:val="0"/>
                <w:position w:val="0"/>
                <w:sz w:val="21"/>
                <w:szCs w:val="21"/>
                <w:highlight w:val="none"/>
              </w:rPr>
              <w:t xml:space="preserve">  环境空气质量标准</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4"/>
              <w:gridCol w:w="1881"/>
              <w:gridCol w:w="1072"/>
              <w:gridCol w:w="821"/>
              <w:gridCol w:w="2274"/>
            </w:tblGrid>
            <w:tr w14:paraId="28CC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noWrap w:val="0"/>
                  <w:vAlign w:val="center"/>
                </w:tcPr>
                <w:p w14:paraId="5FBC1570">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序号</w:t>
                  </w:r>
                </w:p>
              </w:tc>
              <w:tc>
                <w:tcPr>
                  <w:tcW w:w="1302" w:type="dxa"/>
                  <w:noWrap w:val="0"/>
                  <w:vAlign w:val="center"/>
                </w:tcPr>
                <w:p w14:paraId="42ADAB68">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污染物项目</w:t>
                  </w:r>
                </w:p>
              </w:tc>
              <w:tc>
                <w:tcPr>
                  <w:tcW w:w="1879" w:type="dxa"/>
                  <w:noWrap w:val="0"/>
                  <w:vAlign w:val="center"/>
                </w:tcPr>
                <w:p w14:paraId="5651E7BC">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eastAsia" w:ascii="Times New Roman" w:hAnsi="Times New Roman" w:cs="Times New Roman"/>
                      <w:b/>
                      <w:bCs w:val="0"/>
                      <w:snapToGrid w:val="0"/>
                      <w:color w:val="auto"/>
                      <w:spacing w:val="0"/>
                      <w:w w:val="100"/>
                      <w:kern w:val="0"/>
                      <w:position w:val="0"/>
                      <w:sz w:val="21"/>
                      <w:szCs w:val="21"/>
                      <w:highlight w:val="none"/>
                      <w:lang w:val="en-US" w:eastAsia="zh-CN"/>
                    </w:rPr>
                    <w:t>平均</w:t>
                  </w:r>
                  <w:r>
                    <w:rPr>
                      <w:rFonts w:hint="default" w:ascii="Times New Roman" w:hAnsi="Times New Roman" w:cs="Times New Roman"/>
                      <w:b/>
                      <w:bCs w:val="0"/>
                      <w:snapToGrid w:val="0"/>
                      <w:color w:val="auto"/>
                      <w:spacing w:val="0"/>
                      <w:w w:val="100"/>
                      <w:kern w:val="0"/>
                      <w:position w:val="0"/>
                      <w:sz w:val="21"/>
                      <w:szCs w:val="21"/>
                      <w:highlight w:val="none"/>
                    </w:rPr>
                    <w:t>时间</w:t>
                  </w:r>
                </w:p>
              </w:tc>
              <w:tc>
                <w:tcPr>
                  <w:tcW w:w="1071" w:type="dxa"/>
                  <w:noWrap w:val="0"/>
                  <w:vAlign w:val="center"/>
                </w:tcPr>
                <w:p w14:paraId="5DFF8820">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二级标准</w:t>
                  </w:r>
                </w:p>
              </w:tc>
              <w:tc>
                <w:tcPr>
                  <w:tcW w:w="820" w:type="dxa"/>
                  <w:noWrap w:val="0"/>
                  <w:vAlign w:val="center"/>
                </w:tcPr>
                <w:p w14:paraId="03CF9BB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单位</w:t>
                  </w:r>
                </w:p>
              </w:tc>
              <w:tc>
                <w:tcPr>
                  <w:tcW w:w="2271" w:type="dxa"/>
                  <w:noWrap w:val="0"/>
                  <w:vAlign w:val="center"/>
                </w:tcPr>
                <w:p w14:paraId="2FB39145">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标准来源</w:t>
                  </w:r>
                </w:p>
              </w:tc>
            </w:tr>
            <w:tr w14:paraId="12DC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restart"/>
                  <w:noWrap w:val="0"/>
                  <w:vAlign w:val="center"/>
                </w:tcPr>
                <w:p w14:paraId="35B6AEA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w:t>
                  </w:r>
                </w:p>
              </w:tc>
              <w:tc>
                <w:tcPr>
                  <w:tcW w:w="1302" w:type="dxa"/>
                  <w:vMerge w:val="restart"/>
                  <w:noWrap w:val="0"/>
                  <w:vAlign w:val="center"/>
                </w:tcPr>
                <w:p w14:paraId="62789E22">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SO</w:t>
                  </w:r>
                  <w:r>
                    <w:rPr>
                      <w:rFonts w:hint="default" w:ascii="Times New Roman" w:hAnsi="Times New Roman" w:cs="Times New Roman"/>
                      <w:bCs/>
                      <w:snapToGrid w:val="0"/>
                      <w:color w:val="auto"/>
                      <w:spacing w:val="0"/>
                      <w:w w:val="100"/>
                      <w:kern w:val="0"/>
                      <w:position w:val="0"/>
                      <w:sz w:val="21"/>
                      <w:szCs w:val="21"/>
                      <w:highlight w:val="none"/>
                      <w:vertAlign w:val="subscript"/>
                    </w:rPr>
                    <w:t>2</w:t>
                  </w:r>
                </w:p>
              </w:tc>
              <w:tc>
                <w:tcPr>
                  <w:tcW w:w="1879" w:type="dxa"/>
                  <w:noWrap w:val="0"/>
                  <w:vAlign w:val="center"/>
                </w:tcPr>
                <w:p w14:paraId="77AD3138">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年平均</w:t>
                  </w:r>
                </w:p>
              </w:tc>
              <w:tc>
                <w:tcPr>
                  <w:tcW w:w="1071" w:type="dxa"/>
                  <w:noWrap w:val="0"/>
                  <w:vAlign w:val="center"/>
                </w:tcPr>
                <w:p w14:paraId="0380950F">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60</w:t>
                  </w:r>
                </w:p>
              </w:tc>
              <w:tc>
                <w:tcPr>
                  <w:tcW w:w="820" w:type="dxa"/>
                  <w:vMerge w:val="restart"/>
                  <w:noWrap w:val="0"/>
                  <w:vAlign w:val="center"/>
                </w:tcPr>
                <w:p w14:paraId="38765CAF">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μg/m</w:t>
                  </w:r>
                  <w:r>
                    <w:rPr>
                      <w:rFonts w:hint="default" w:ascii="Times New Roman" w:hAnsi="Times New Roman" w:cs="Times New Roman"/>
                      <w:bCs/>
                      <w:snapToGrid w:val="0"/>
                      <w:color w:val="auto"/>
                      <w:spacing w:val="0"/>
                      <w:w w:val="100"/>
                      <w:kern w:val="0"/>
                      <w:position w:val="0"/>
                      <w:sz w:val="21"/>
                      <w:szCs w:val="21"/>
                      <w:highlight w:val="none"/>
                      <w:vertAlign w:val="superscript"/>
                    </w:rPr>
                    <w:t>3</w:t>
                  </w:r>
                </w:p>
              </w:tc>
              <w:tc>
                <w:tcPr>
                  <w:tcW w:w="2271" w:type="dxa"/>
                  <w:vMerge w:val="restart"/>
                  <w:noWrap w:val="0"/>
                  <w:vAlign w:val="center"/>
                </w:tcPr>
                <w:p w14:paraId="0305B205">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《环境空气质量标准》</w:t>
                  </w:r>
                </w:p>
                <w:p w14:paraId="591A6AD8">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（GB3095-20</w:t>
                  </w:r>
                  <w:r>
                    <w:rPr>
                      <w:rFonts w:hint="eastAsia" w:cs="Times New Roman"/>
                      <w:bCs/>
                      <w:snapToGrid w:val="0"/>
                      <w:color w:val="auto"/>
                      <w:spacing w:val="0"/>
                      <w:w w:val="100"/>
                      <w:kern w:val="0"/>
                      <w:position w:val="0"/>
                      <w:sz w:val="21"/>
                      <w:szCs w:val="21"/>
                      <w:highlight w:val="none"/>
                      <w:lang w:val="en-US" w:eastAsia="zh-CN"/>
                    </w:rPr>
                    <w:t>26</w:t>
                  </w:r>
                  <w:r>
                    <w:rPr>
                      <w:rFonts w:hint="default" w:ascii="Times New Roman" w:hAnsi="Times New Roman" w:cs="Times New Roman"/>
                      <w:bCs/>
                      <w:snapToGrid w:val="0"/>
                      <w:color w:val="auto"/>
                      <w:spacing w:val="0"/>
                      <w:w w:val="100"/>
                      <w:kern w:val="0"/>
                      <w:position w:val="0"/>
                      <w:sz w:val="21"/>
                      <w:szCs w:val="21"/>
                      <w:highlight w:val="none"/>
                    </w:rPr>
                    <w:t>）</w:t>
                  </w:r>
                </w:p>
                <w:p w14:paraId="3FD47A18">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color w:val="auto"/>
                      <w:spacing w:val="0"/>
                      <w:w w:val="100"/>
                      <w:position w:val="0"/>
                      <w:sz w:val="21"/>
                      <w:szCs w:val="21"/>
                      <w:highlight w:val="none"/>
                    </w:rPr>
                    <w:t>二级</w:t>
                  </w:r>
                  <w:r>
                    <w:rPr>
                      <w:rFonts w:hint="default" w:ascii="Times New Roman" w:hAnsi="Times New Roman" w:cs="Times New Roman"/>
                      <w:bCs/>
                      <w:snapToGrid w:val="0"/>
                      <w:color w:val="auto"/>
                      <w:spacing w:val="0"/>
                      <w:w w:val="100"/>
                      <w:kern w:val="0"/>
                      <w:position w:val="0"/>
                      <w:sz w:val="21"/>
                      <w:szCs w:val="21"/>
                      <w:highlight w:val="none"/>
                    </w:rPr>
                    <w:t>标准</w:t>
                  </w:r>
                </w:p>
              </w:tc>
            </w:tr>
            <w:tr w14:paraId="4E0F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62CC85C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404CE505">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1251F93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24小时平均</w:t>
                  </w:r>
                </w:p>
              </w:tc>
              <w:tc>
                <w:tcPr>
                  <w:tcW w:w="1071" w:type="dxa"/>
                  <w:noWrap w:val="0"/>
                  <w:vAlign w:val="center"/>
                </w:tcPr>
                <w:p w14:paraId="69DC3E3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150</w:t>
                  </w:r>
                </w:p>
              </w:tc>
              <w:tc>
                <w:tcPr>
                  <w:tcW w:w="820" w:type="dxa"/>
                  <w:vMerge w:val="continue"/>
                  <w:noWrap w:val="0"/>
                  <w:vAlign w:val="center"/>
                </w:tcPr>
                <w:p w14:paraId="238734B0">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365DCD4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56AD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21B46BCD">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6CE8420A">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7766E4C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1小时平均</w:t>
                  </w:r>
                </w:p>
              </w:tc>
              <w:tc>
                <w:tcPr>
                  <w:tcW w:w="1071" w:type="dxa"/>
                  <w:noWrap w:val="0"/>
                  <w:vAlign w:val="center"/>
                </w:tcPr>
                <w:p w14:paraId="3DC9B9A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500</w:t>
                  </w:r>
                </w:p>
              </w:tc>
              <w:tc>
                <w:tcPr>
                  <w:tcW w:w="820" w:type="dxa"/>
                  <w:vMerge w:val="continue"/>
                  <w:noWrap w:val="0"/>
                  <w:vAlign w:val="center"/>
                </w:tcPr>
                <w:p w14:paraId="5DD962A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2B3B615E">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3D8D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restart"/>
                  <w:noWrap w:val="0"/>
                  <w:vAlign w:val="center"/>
                </w:tcPr>
                <w:p w14:paraId="03324B0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w:t>
                  </w:r>
                </w:p>
              </w:tc>
              <w:tc>
                <w:tcPr>
                  <w:tcW w:w="1302" w:type="dxa"/>
                  <w:vMerge w:val="restart"/>
                  <w:noWrap w:val="0"/>
                  <w:vAlign w:val="center"/>
                </w:tcPr>
                <w:p w14:paraId="7355897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NO</w:t>
                  </w:r>
                  <w:r>
                    <w:rPr>
                      <w:rFonts w:hint="default" w:ascii="Times New Roman" w:hAnsi="Times New Roman" w:cs="Times New Roman"/>
                      <w:bCs/>
                      <w:snapToGrid w:val="0"/>
                      <w:color w:val="auto"/>
                      <w:spacing w:val="0"/>
                      <w:w w:val="100"/>
                      <w:kern w:val="0"/>
                      <w:position w:val="0"/>
                      <w:sz w:val="21"/>
                      <w:szCs w:val="21"/>
                      <w:highlight w:val="none"/>
                      <w:vertAlign w:val="subscript"/>
                    </w:rPr>
                    <w:t>2</w:t>
                  </w:r>
                </w:p>
              </w:tc>
              <w:tc>
                <w:tcPr>
                  <w:tcW w:w="1879" w:type="dxa"/>
                  <w:noWrap w:val="0"/>
                  <w:vAlign w:val="center"/>
                </w:tcPr>
                <w:p w14:paraId="06D9328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年平均</w:t>
                  </w:r>
                </w:p>
              </w:tc>
              <w:tc>
                <w:tcPr>
                  <w:tcW w:w="1071" w:type="dxa"/>
                  <w:noWrap w:val="0"/>
                  <w:vAlign w:val="center"/>
                </w:tcPr>
                <w:p w14:paraId="56F5B35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40</w:t>
                  </w:r>
                </w:p>
              </w:tc>
              <w:tc>
                <w:tcPr>
                  <w:tcW w:w="820" w:type="dxa"/>
                  <w:vMerge w:val="continue"/>
                  <w:noWrap w:val="0"/>
                  <w:vAlign w:val="center"/>
                </w:tcPr>
                <w:p w14:paraId="2DA575C0">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43C4DBB3">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4E2E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7BE8A47F">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2E101B6A">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0A4E40B4">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24小时平均</w:t>
                  </w:r>
                </w:p>
              </w:tc>
              <w:tc>
                <w:tcPr>
                  <w:tcW w:w="1071" w:type="dxa"/>
                  <w:noWrap w:val="0"/>
                  <w:vAlign w:val="center"/>
                </w:tcPr>
                <w:p w14:paraId="39B1298D">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80</w:t>
                  </w:r>
                </w:p>
              </w:tc>
              <w:tc>
                <w:tcPr>
                  <w:tcW w:w="820" w:type="dxa"/>
                  <w:vMerge w:val="continue"/>
                  <w:noWrap w:val="0"/>
                  <w:vAlign w:val="center"/>
                </w:tcPr>
                <w:p w14:paraId="314CF1CC">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28F77A72">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1EA7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001001C2">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5321AF7A">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3E160EFE">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1小时平均</w:t>
                  </w:r>
                </w:p>
              </w:tc>
              <w:tc>
                <w:tcPr>
                  <w:tcW w:w="1071" w:type="dxa"/>
                  <w:noWrap w:val="0"/>
                  <w:vAlign w:val="center"/>
                </w:tcPr>
                <w:p w14:paraId="4B0ED18D">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200</w:t>
                  </w:r>
                </w:p>
              </w:tc>
              <w:tc>
                <w:tcPr>
                  <w:tcW w:w="820" w:type="dxa"/>
                  <w:vMerge w:val="continue"/>
                  <w:noWrap w:val="0"/>
                  <w:vAlign w:val="center"/>
                </w:tcPr>
                <w:p w14:paraId="00C8F91F">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6D0616A7">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1651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restart"/>
                  <w:noWrap w:val="0"/>
                  <w:vAlign w:val="center"/>
                </w:tcPr>
                <w:p w14:paraId="0D1C322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snapToGrid w:val="0"/>
                      <w:color w:val="auto"/>
                      <w:spacing w:val="0"/>
                      <w:w w:val="100"/>
                      <w:kern w:val="0"/>
                      <w:position w:val="0"/>
                      <w:sz w:val="21"/>
                      <w:szCs w:val="21"/>
                      <w:highlight w:val="none"/>
                      <w:lang w:eastAsia="zh-CN"/>
                    </w:rPr>
                  </w:pPr>
                  <w:r>
                    <w:rPr>
                      <w:rFonts w:hint="eastAsia" w:ascii="Times New Roman" w:hAnsi="Times New Roman" w:cs="Times New Roman"/>
                      <w:bCs/>
                      <w:snapToGrid w:val="0"/>
                      <w:color w:val="auto"/>
                      <w:spacing w:val="0"/>
                      <w:w w:val="100"/>
                      <w:kern w:val="0"/>
                      <w:position w:val="0"/>
                      <w:sz w:val="21"/>
                      <w:szCs w:val="21"/>
                      <w:highlight w:val="none"/>
                      <w:lang w:val="en-US" w:eastAsia="zh-CN"/>
                    </w:rPr>
                    <w:t>3</w:t>
                  </w:r>
                </w:p>
              </w:tc>
              <w:tc>
                <w:tcPr>
                  <w:tcW w:w="1302" w:type="dxa"/>
                  <w:vMerge w:val="restart"/>
                  <w:noWrap w:val="0"/>
                  <w:vAlign w:val="center"/>
                </w:tcPr>
                <w:p w14:paraId="383FA64B">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PM</w:t>
                  </w:r>
                  <w:r>
                    <w:rPr>
                      <w:rFonts w:hint="default" w:ascii="Times New Roman" w:hAnsi="Times New Roman" w:cs="Times New Roman"/>
                      <w:bCs/>
                      <w:snapToGrid w:val="0"/>
                      <w:color w:val="auto"/>
                      <w:spacing w:val="0"/>
                      <w:w w:val="100"/>
                      <w:kern w:val="0"/>
                      <w:position w:val="0"/>
                      <w:sz w:val="21"/>
                      <w:szCs w:val="21"/>
                      <w:highlight w:val="none"/>
                      <w:vertAlign w:val="subscript"/>
                    </w:rPr>
                    <w:t>10</w:t>
                  </w:r>
                </w:p>
              </w:tc>
              <w:tc>
                <w:tcPr>
                  <w:tcW w:w="1879" w:type="dxa"/>
                  <w:noWrap w:val="0"/>
                  <w:vAlign w:val="center"/>
                </w:tcPr>
                <w:p w14:paraId="5D8D6DAC">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年平均</w:t>
                  </w:r>
                </w:p>
              </w:tc>
              <w:tc>
                <w:tcPr>
                  <w:tcW w:w="1071" w:type="dxa"/>
                  <w:noWrap w:val="0"/>
                  <w:vAlign w:val="center"/>
                </w:tcPr>
                <w:p w14:paraId="2FD9DECF">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eastAsia" w:cs="Times New Roman"/>
                      <w:bCs/>
                      <w:snapToGrid w:val="0"/>
                      <w:color w:val="auto"/>
                      <w:spacing w:val="0"/>
                      <w:w w:val="100"/>
                      <w:kern w:val="0"/>
                      <w:position w:val="0"/>
                      <w:sz w:val="21"/>
                      <w:szCs w:val="21"/>
                      <w:highlight w:val="none"/>
                      <w:lang w:val="en-US" w:eastAsia="zh-CN"/>
                    </w:rPr>
                    <w:t>6</w:t>
                  </w:r>
                  <w:r>
                    <w:rPr>
                      <w:rFonts w:hint="default" w:ascii="Times New Roman" w:hAnsi="Times New Roman" w:cs="Times New Roman"/>
                      <w:bCs/>
                      <w:snapToGrid w:val="0"/>
                      <w:color w:val="auto"/>
                      <w:spacing w:val="0"/>
                      <w:w w:val="100"/>
                      <w:kern w:val="0"/>
                      <w:position w:val="0"/>
                      <w:sz w:val="21"/>
                      <w:szCs w:val="21"/>
                      <w:highlight w:val="none"/>
                    </w:rPr>
                    <w:t>0</w:t>
                  </w:r>
                </w:p>
              </w:tc>
              <w:tc>
                <w:tcPr>
                  <w:tcW w:w="820" w:type="dxa"/>
                  <w:vMerge w:val="continue"/>
                  <w:noWrap w:val="0"/>
                  <w:vAlign w:val="center"/>
                </w:tcPr>
                <w:p w14:paraId="0E6F9DD3">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2F80AC23">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72FC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5E908830">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28EA2052">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4B4E8727">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24小时平均</w:t>
                  </w:r>
                </w:p>
              </w:tc>
              <w:tc>
                <w:tcPr>
                  <w:tcW w:w="1071" w:type="dxa"/>
                  <w:noWrap w:val="0"/>
                  <w:vAlign w:val="center"/>
                </w:tcPr>
                <w:p w14:paraId="51808E18">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w:t>
                  </w:r>
                  <w:r>
                    <w:rPr>
                      <w:rFonts w:hint="eastAsia" w:cs="Times New Roman"/>
                      <w:bCs/>
                      <w:snapToGrid w:val="0"/>
                      <w:color w:val="auto"/>
                      <w:spacing w:val="0"/>
                      <w:w w:val="100"/>
                      <w:kern w:val="0"/>
                      <w:position w:val="0"/>
                      <w:sz w:val="21"/>
                      <w:szCs w:val="21"/>
                      <w:highlight w:val="none"/>
                      <w:lang w:val="en-US" w:eastAsia="zh-CN"/>
                    </w:rPr>
                    <w:t>2</w:t>
                  </w:r>
                  <w:r>
                    <w:rPr>
                      <w:rFonts w:hint="default" w:ascii="Times New Roman" w:hAnsi="Times New Roman" w:cs="Times New Roman"/>
                      <w:bCs/>
                      <w:snapToGrid w:val="0"/>
                      <w:color w:val="auto"/>
                      <w:spacing w:val="0"/>
                      <w:w w:val="100"/>
                      <w:kern w:val="0"/>
                      <w:position w:val="0"/>
                      <w:sz w:val="21"/>
                      <w:szCs w:val="21"/>
                      <w:highlight w:val="none"/>
                    </w:rPr>
                    <w:t>0</w:t>
                  </w:r>
                </w:p>
              </w:tc>
              <w:tc>
                <w:tcPr>
                  <w:tcW w:w="820" w:type="dxa"/>
                  <w:vMerge w:val="continue"/>
                  <w:noWrap w:val="0"/>
                  <w:vAlign w:val="center"/>
                </w:tcPr>
                <w:p w14:paraId="4C7B916B">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0319BFE0">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0A1F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restart"/>
                  <w:noWrap w:val="0"/>
                  <w:vAlign w:val="center"/>
                </w:tcPr>
                <w:p w14:paraId="5611C20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snapToGrid w:val="0"/>
                      <w:color w:val="auto"/>
                      <w:spacing w:val="0"/>
                      <w:w w:val="100"/>
                      <w:kern w:val="0"/>
                      <w:position w:val="0"/>
                      <w:sz w:val="21"/>
                      <w:szCs w:val="21"/>
                      <w:highlight w:val="none"/>
                      <w:lang w:eastAsia="zh-CN"/>
                    </w:rPr>
                  </w:pPr>
                  <w:r>
                    <w:rPr>
                      <w:rFonts w:hint="eastAsia" w:ascii="Times New Roman" w:hAnsi="Times New Roman" w:cs="Times New Roman"/>
                      <w:bCs/>
                      <w:snapToGrid w:val="0"/>
                      <w:color w:val="auto"/>
                      <w:spacing w:val="0"/>
                      <w:w w:val="100"/>
                      <w:kern w:val="0"/>
                      <w:position w:val="0"/>
                      <w:sz w:val="21"/>
                      <w:szCs w:val="21"/>
                      <w:highlight w:val="none"/>
                      <w:lang w:val="en-US" w:eastAsia="zh-CN"/>
                    </w:rPr>
                    <w:t>4</w:t>
                  </w:r>
                </w:p>
              </w:tc>
              <w:tc>
                <w:tcPr>
                  <w:tcW w:w="1302" w:type="dxa"/>
                  <w:vMerge w:val="restart"/>
                  <w:noWrap w:val="0"/>
                  <w:vAlign w:val="center"/>
                </w:tcPr>
                <w:p w14:paraId="54650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PM</w:t>
                  </w:r>
                  <w:r>
                    <w:rPr>
                      <w:rFonts w:hint="default" w:ascii="Times New Roman" w:hAnsi="Times New Roman" w:cs="Times New Roman"/>
                      <w:bCs/>
                      <w:snapToGrid w:val="0"/>
                      <w:color w:val="auto"/>
                      <w:spacing w:val="0"/>
                      <w:w w:val="100"/>
                      <w:kern w:val="0"/>
                      <w:position w:val="0"/>
                      <w:sz w:val="21"/>
                      <w:szCs w:val="21"/>
                      <w:highlight w:val="none"/>
                      <w:vertAlign w:val="subscript"/>
                    </w:rPr>
                    <w:t>2.5</w:t>
                  </w:r>
                </w:p>
              </w:tc>
              <w:tc>
                <w:tcPr>
                  <w:tcW w:w="1879" w:type="dxa"/>
                  <w:noWrap w:val="0"/>
                  <w:vAlign w:val="center"/>
                </w:tcPr>
                <w:p w14:paraId="5E204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年平均</w:t>
                  </w:r>
                </w:p>
              </w:tc>
              <w:tc>
                <w:tcPr>
                  <w:tcW w:w="1071" w:type="dxa"/>
                  <w:noWrap w:val="0"/>
                  <w:vAlign w:val="center"/>
                </w:tcPr>
                <w:p w14:paraId="181F5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3</w:t>
                  </w:r>
                  <w:r>
                    <w:rPr>
                      <w:rFonts w:hint="eastAsia" w:cs="Times New Roman"/>
                      <w:bCs/>
                      <w:snapToGrid w:val="0"/>
                      <w:color w:val="auto"/>
                      <w:spacing w:val="0"/>
                      <w:w w:val="100"/>
                      <w:kern w:val="0"/>
                      <w:position w:val="0"/>
                      <w:sz w:val="21"/>
                      <w:szCs w:val="21"/>
                      <w:highlight w:val="none"/>
                      <w:lang w:val="en-US" w:eastAsia="zh-CN"/>
                    </w:rPr>
                    <w:t>0</w:t>
                  </w:r>
                </w:p>
              </w:tc>
              <w:tc>
                <w:tcPr>
                  <w:tcW w:w="820" w:type="dxa"/>
                  <w:vMerge w:val="continue"/>
                  <w:noWrap w:val="0"/>
                  <w:vAlign w:val="center"/>
                </w:tcPr>
                <w:p w14:paraId="6318CF6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1CB2948E">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1970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68AB8B4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6A659E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7DD32F1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24小时平均</w:t>
                  </w:r>
                </w:p>
              </w:tc>
              <w:tc>
                <w:tcPr>
                  <w:tcW w:w="1071" w:type="dxa"/>
                  <w:noWrap w:val="0"/>
                  <w:vAlign w:val="center"/>
                </w:tcPr>
                <w:p w14:paraId="7427A7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eastAsia" w:cs="Times New Roman"/>
                      <w:bCs/>
                      <w:snapToGrid w:val="0"/>
                      <w:color w:val="auto"/>
                      <w:spacing w:val="0"/>
                      <w:w w:val="100"/>
                      <w:kern w:val="0"/>
                      <w:position w:val="0"/>
                      <w:sz w:val="21"/>
                      <w:szCs w:val="21"/>
                      <w:highlight w:val="none"/>
                      <w:lang w:val="en-US" w:eastAsia="zh-CN"/>
                    </w:rPr>
                    <w:t>60</w:t>
                  </w:r>
                </w:p>
              </w:tc>
              <w:tc>
                <w:tcPr>
                  <w:tcW w:w="820" w:type="dxa"/>
                  <w:vMerge w:val="continue"/>
                  <w:noWrap w:val="0"/>
                  <w:vAlign w:val="center"/>
                </w:tcPr>
                <w:p w14:paraId="62E9591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61585E9D">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7CC8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restart"/>
                  <w:noWrap w:val="0"/>
                  <w:vAlign w:val="center"/>
                </w:tcPr>
                <w:p w14:paraId="397EA08A">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snapToGrid w:val="0"/>
                      <w:color w:val="auto"/>
                      <w:spacing w:val="0"/>
                      <w:w w:val="100"/>
                      <w:kern w:val="0"/>
                      <w:position w:val="0"/>
                      <w:sz w:val="21"/>
                      <w:szCs w:val="21"/>
                      <w:highlight w:val="none"/>
                      <w:lang w:eastAsia="zh-CN"/>
                    </w:rPr>
                  </w:pPr>
                  <w:r>
                    <w:rPr>
                      <w:rFonts w:hint="eastAsia" w:ascii="Times New Roman" w:hAnsi="Times New Roman" w:cs="Times New Roman"/>
                      <w:bCs/>
                      <w:snapToGrid w:val="0"/>
                      <w:color w:val="auto"/>
                      <w:spacing w:val="0"/>
                      <w:w w:val="100"/>
                      <w:kern w:val="0"/>
                      <w:position w:val="0"/>
                      <w:sz w:val="21"/>
                      <w:szCs w:val="21"/>
                      <w:highlight w:val="none"/>
                      <w:lang w:val="en-US" w:eastAsia="zh-CN"/>
                    </w:rPr>
                    <w:t>5</w:t>
                  </w:r>
                </w:p>
              </w:tc>
              <w:tc>
                <w:tcPr>
                  <w:tcW w:w="1302" w:type="dxa"/>
                  <w:vMerge w:val="restart"/>
                  <w:noWrap w:val="0"/>
                  <w:vAlign w:val="center"/>
                </w:tcPr>
                <w:p w14:paraId="6D6162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CO</w:t>
                  </w:r>
                </w:p>
              </w:tc>
              <w:tc>
                <w:tcPr>
                  <w:tcW w:w="1879" w:type="dxa"/>
                  <w:noWrap w:val="0"/>
                  <w:vAlign w:val="center"/>
                </w:tcPr>
                <w:p w14:paraId="1ECBC267">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24小时平均</w:t>
                  </w:r>
                </w:p>
              </w:tc>
              <w:tc>
                <w:tcPr>
                  <w:tcW w:w="1071" w:type="dxa"/>
                  <w:noWrap w:val="0"/>
                  <w:vAlign w:val="center"/>
                </w:tcPr>
                <w:p w14:paraId="4A90883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4</w:t>
                  </w:r>
                </w:p>
              </w:tc>
              <w:tc>
                <w:tcPr>
                  <w:tcW w:w="820" w:type="dxa"/>
                  <w:vMerge w:val="restart"/>
                  <w:noWrap w:val="0"/>
                  <w:vAlign w:val="center"/>
                </w:tcPr>
                <w:p w14:paraId="6FBFD435">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mg/m</w:t>
                  </w:r>
                  <w:r>
                    <w:rPr>
                      <w:rFonts w:hint="default" w:ascii="Times New Roman" w:hAnsi="Times New Roman" w:cs="Times New Roman"/>
                      <w:bCs/>
                      <w:snapToGrid w:val="0"/>
                      <w:color w:val="auto"/>
                      <w:spacing w:val="0"/>
                      <w:w w:val="100"/>
                      <w:kern w:val="0"/>
                      <w:position w:val="0"/>
                      <w:sz w:val="21"/>
                      <w:szCs w:val="21"/>
                      <w:highlight w:val="none"/>
                      <w:vertAlign w:val="superscript"/>
                    </w:rPr>
                    <w:t>3</w:t>
                  </w:r>
                </w:p>
              </w:tc>
              <w:tc>
                <w:tcPr>
                  <w:tcW w:w="2271" w:type="dxa"/>
                  <w:vMerge w:val="continue"/>
                  <w:noWrap w:val="0"/>
                  <w:vAlign w:val="center"/>
                </w:tcPr>
                <w:p w14:paraId="01E9A0B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76F4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6CFB538D">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05586E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3E4C20B7">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1小时平均</w:t>
                  </w:r>
                </w:p>
              </w:tc>
              <w:tc>
                <w:tcPr>
                  <w:tcW w:w="1071" w:type="dxa"/>
                  <w:noWrap w:val="0"/>
                  <w:vAlign w:val="center"/>
                </w:tcPr>
                <w:p w14:paraId="6E06B7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10</w:t>
                  </w:r>
                </w:p>
              </w:tc>
              <w:tc>
                <w:tcPr>
                  <w:tcW w:w="820" w:type="dxa"/>
                  <w:vMerge w:val="continue"/>
                  <w:noWrap w:val="0"/>
                  <w:vAlign w:val="center"/>
                </w:tcPr>
                <w:p w14:paraId="0A382B3C">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0EA92623">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31E7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restart"/>
                  <w:noWrap w:val="0"/>
                  <w:vAlign w:val="center"/>
                </w:tcPr>
                <w:p w14:paraId="0F3ECD6E">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snapToGrid w:val="0"/>
                      <w:color w:val="auto"/>
                      <w:spacing w:val="0"/>
                      <w:w w:val="100"/>
                      <w:kern w:val="0"/>
                      <w:position w:val="0"/>
                      <w:sz w:val="21"/>
                      <w:szCs w:val="21"/>
                      <w:highlight w:val="none"/>
                      <w:lang w:val="en-US" w:eastAsia="zh-CN"/>
                    </w:rPr>
                  </w:pPr>
                  <w:r>
                    <w:rPr>
                      <w:rFonts w:hint="eastAsia" w:ascii="Times New Roman" w:hAnsi="Times New Roman" w:cs="Times New Roman"/>
                      <w:bCs/>
                      <w:snapToGrid w:val="0"/>
                      <w:color w:val="auto"/>
                      <w:spacing w:val="0"/>
                      <w:w w:val="100"/>
                      <w:kern w:val="0"/>
                      <w:position w:val="0"/>
                      <w:sz w:val="21"/>
                      <w:szCs w:val="21"/>
                      <w:highlight w:val="none"/>
                      <w:lang w:val="en-US" w:eastAsia="zh-CN"/>
                    </w:rPr>
                    <w:t>6</w:t>
                  </w:r>
                </w:p>
              </w:tc>
              <w:tc>
                <w:tcPr>
                  <w:tcW w:w="1302" w:type="dxa"/>
                  <w:vMerge w:val="restart"/>
                  <w:noWrap w:val="0"/>
                  <w:vAlign w:val="center"/>
                </w:tcPr>
                <w:p w14:paraId="3086C5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color w:val="auto"/>
                      <w:sz w:val="21"/>
                      <w:szCs w:val="21"/>
                    </w:rPr>
                    <w:t>O</w:t>
                  </w:r>
                  <w:r>
                    <w:rPr>
                      <w:color w:val="auto"/>
                      <w:sz w:val="21"/>
                      <w:szCs w:val="21"/>
                      <w:vertAlign w:val="subscript"/>
                    </w:rPr>
                    <w:t>3</w:t>
                  </w:r>
                </w:p>
              </w:tc>
              <w:tc>
                <w:tcPr>
                  <w:tcW w:w="1879" w:type="dxa"/>
                  <w:noWrap w:val="0"/>
                  <w:vAlign w:val="center"/>
                </w:tcPr>
                <w:p w14:paraId="1E18E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kern w:val="2"/>
                      <w:sz w:val="21"/>
                      <w:szCs w:val="21"/>
                      <w:lang w:val="en-US" w:eastAsia="zh-CN" w:bidi="ar-SA"/>
                    </w:rPr>
                  </w:pPr>
                  <w:r>
                    <w:rPr>
                      <w:color w:val="auto"/>
                      <w:sz w:val="21"/>
                      <w:szCs w:val="21"/>
                    </w:rPr>
                    <w:t>日最大8小时平均</w:t>
                  </w:r>
                </w:p>
              </w:tc>
              <w:tc>
                <w:tcPr>
                  <w:tcW w:w="1071" w:type="dxa"/>
                  <w:noWrap w:val="0"/>
                  <w:vAlign w:val="center"/>
                </w:tcPr>
                <w:p w14:paraId="01F37A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color w:val="auto"/>
                      <w:kern w:val="0"/>
                      <w:sz w:val="21"/>
                      <w:szCs w:val="21"/>
                    </w:rPr>
                    <w:t>160</w:t>
                  </w:r>
                </w:p>
              </w:tc>
              <w:tc>
                <w:tcPr>
                  <w:tcW w:w="820" w:type="dxa"/>
                  <w:vMerge w:val="restart"/>
                  <w:noWrap w:val="0"/>
                  <w:vAlign w:val="center"/>
                </w:tcPr>
                <w:p w14:paraId="7EEC8541">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μg/m</w:t>
                  </w:r>
                  <w:r>
                    <w:rPr>
                      <w:rFonts w:hint="default" w:ascii="Times New Roman" w:hAnsi="Times New Roman" w:cs="Times New Roman"/>
                      <w:bCs/>
                      <w:snapToGrid w:val="0"/>
                      <w:color w:val="auto"/>
                      <w:spacing w:val="0"/>
                      <w:w w:val="100"/>
                      <w:kern w:val="0"/>
                      <w:position w:val="0"/>
                      <w:sz w:val="21"/>
                      <w:szCs w:val="21"/>
                      <w:highlight w:val="none"/>
                      <w:vertAlign w:val="superscript"/>
                    </w:rPr>
                    <w:t>3</w:t>
                  </w:r>
                </w:p>
              </w:tc>
              <w:tc>
                <w:tcPr>
                  <w:tcW w:w="2271" w:type="dxa"/>
                  <w:vMerge w:val="continue"/>
                  <w:noWrap w:val="0"/>
                  <w:vAlign w:val="center"/>
                </w:tcPr>
                <w:p w14:paraId="2771A6C8">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r w14:paraId="3DB8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674" w:type="dxa"/>
                  <w:vMerge w:val="continue"/>
                  <w:noWrap w:val="0"/>
                  <w:vAlign w:val="center"/>
                </w:tcPr>
                <w:p w14:paraId="074BC9AA">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302" w:type="dxa"/>
                  <w:vMerge w:val="continue"/>
                  <w:noWrap w:val="0"/>
                  <w:vAlign w:val="center"/>
                </w:tcPr>
                <w:p w14:paraId="0E07F5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1879" w:type="dxa"/>
                  <w:noWrap w:val="0"/>
                  <w:vAlign w:val="center"/>
                </w:tcPr>
                <w:p w14:paraId="5748B8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kern w:val="2"/>
                      <w:sz w:val="21"/>
                      <w:szCs w:val="21"/>
                      <w:lang w:val="en-US" w:eastAsia="zh-CN" w:bidi="ar-SA"/>
                    </w:rPr>
                  </w:pPr>
                  <w:r>
                    <w:rPr>
                      <w:color w:val="auto"/>
                      <w:sz w:val="21"/>
                      <w:szCs w:val="21"/>
                    </w:rPr>
                    <w:t>1小时平均</w:t>
                  </w:r>
                </w:p>
              </w:tc>
              <w:tc>
                <w:tcPr>
                  <w:tcW w:w="1071" w:type="dxa"/>
                  <w:noWrap w:val="0"/>
                  <w:vAlign w:val="center"/>
                </w:tcPr>
                <w:p w14:paraId="5B6690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color w:val="auto"/>
                      <w:kern w:val="0"/>
                      <w:sz w:val="21"/>
                      <w:szCs w:val="21"/>
                    </w:rPr>
                    <w:t>200</w:t>
                  </w:r>
                </w:p>
              </w:tc>
              <w:tc>
                <w:tcPr>
                  <w:tcW w:w="820" w:type="dxa"/>
                  <w:vMerge w:val="continue"/>
                  <w:noWrap w:val="0"/>
                  <w:vAlign w:val="center"/>
                </w:tcPr>
                <w:p w14:paraId="4B956C9C">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c>
                <w:tcPr>
                  <w:tcW w:w="2271" w:type="dxa"/>
                  <w:vMerge w:val="continue"/>
                  <w:noWrap w:val="0"/>
                  <w:vAlign w:val="center"/>
                </w:tcPr>
                <w:p w14:paraId="67CBD2EA">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p>
              </w:tc>
            </w:tr>
          </w:tbl>
          <w:p w14:paraId="03E92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napToGrid w:val="0"/>
                <w:color w:val="auto"/>
                <w:spacing w:val="0"/>
                <w:w w:val="100"/>
                <w:kern w:val="0"/>
                <w:position w:val="0"/>
                <w:sz w:val="24"/>
                <w:szCs w:val="24"/>
                <w:highlight w:val="none"/>
              </w:rPr>
            </w:pPr>
            <w:r>
              <w:rPr>
                <w:rFonts w:hint="eastAsia" w:ascii="Times New Roman" w:hAnsi="Times New Roman" w:cs="Times New Roman"/>
                <w:snapToGrid w:val="0"/>
                <w:color w:val="auto"/>
                <w:spacing w:val="0"/>
                <w:w w:val="100"/>
                <w:kern w:val="0"/>
                <w:position w:val="0"/>
                <w:sz w:val="24"/>
                <w:szCs w:val="24"/>
                <w:highlight w:val="none"/>
                <w:lang w:eastAsia="zh-CN"/>
              </w:rPr>
              <w:t>（</w:t>
            </w:r>
            <w:r>
              <w:rPr>
                <w:rFonts w:hint="eastAsia" w:ascii="Times New Roman" w:hAnsi="Times New Roman" w:cs="Times New Roman"/>
                <w:snapToGrid w:val="0"/>
                <w:color w:val="auto"/>
                <w:spacing w:val="0"/>
                <w:w w:val="100"/>
                <w:kern w:val="0"/>
                <w:position w:val="0"/>
                <w:sz w:val="24"/>
                <w:szCs w:val="24"/>
                <w:highlight w:val="none"/>
                <w:lang w:val="en-US" w:eastAsia="zh-CN"/>
              </w:rPr>
              <w:t>2</w:t>
            </w:r>
            <w:r>
              <w:rPr>
                <w:rFonts w:hint="eastAsia" w:ascii="Times New Roman" w:hAnsi="Times New Roman" w:cs="Times New Roman"/>
                <w:snapToGrid w:val="0"/>
                <w:color w:val="auto"/>
                <w:spacing w:val="0"/>
                <w:w w:val="100"/>
                <w:kern w:val="0"/>
                <w:position w:val="0"/>
                <w:sz w:val="24"/>
                <w:szCs w:val="24"/>
                <w:highlight w:val="none"/>
                <w:lang w:eastAsia="zh-CN"/>
              </w:rPr>
              <w:t>）</w:t>
            </w:r>
            <w:r>
              <w:rPr>
                <w:rFonts w:hint="default" w:ascii="Times New Roman" w:hAnsi="Times New Roman" w:cs="Times New Roman"/>
                <w:snapToGrid w:val="0"/>
                <w:color w:val="auto"/>
                <w:spacing w:val="0"/>
                <w:w w:val="100"/>
                <w:kern w:val="0"/>
                <w:position w:val="0"/>
                <w:sz w:val="24"/>
                <w:szCs w:val="24"/>
                <w:highlight w:val="none"/>
              </w:rPr>
              <w:t>地表水环境质量标准</w:t>
            </w:r>
          </w:p>
          <w:p w14:paraId="512EB1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snapToGrid w:val="0"/>
                <w:color w:val="auto"/>
                <w:spacing w:val="0"/>
                <w:w w:val="100"/>
                <w:kern w:val="0"/>
                <w:position w:val="0"/>
                <w:sz w:val="24"/>
                <w:szCs w:val="24"/>
                <w:highlight w:val="none"/>
              </w:rPr>
            </w:pPr>
            <w:r>
              <w:rPr>
                <w:rFonts w:hint="eastAsia" w:cs="Times New Roman"/>
                <w:color w:val="auto"/>
                <w:sz w:val="24"/>
                <w:szCs w:val="24"/>
                <w:lang w:val="en-US" w:eastAsia="zh-CN"/>
              </w:rPr>
              <w:t>本项目所在流域为汉江，执行</w:t>
            </w:r>
            <w:r>
              <w:rPr>
                <w:rFonts w:hint="default" w:ascii="Times New Roman" w:hAnsi="Times New Roman" w:cs="Times New Roman"/>
                <w:color w:val="auto"/>
                <w:sz w:val="24"/>
                <w:szCs w:val="24"/>
              </w:rPr>
              <w:t>《地表水环境质量标准》（GB3838-2002）</w:t>
            </w:r>
            <w:r>
              <w:rPr>
                <w:rFonts w:ascii="Times New Roman" w:hAnsi="Times New Roman" w:eastAsia="Times New Roman" w:cs="Times New Roman"/>
                <w:spacing w:val="-1"/>
                <w:sz w:val="24"/>
                <w:szCs w:val="24"/>
              </w:rPr>
              <w:t>Ⅱ</w:t>
            </w:r>
            <w:r>
              <w:rPr>
                <w:rFonts w:hint="default" w:ascii="Times New Roman" w:hAnsi="Times New Roman" w:cs="Times New Roman"/>
                <w:color w:val="auto"/>
                <w:sz w:val="24"/>
                <w:szCs w:val="24"/>
              </w:rPr>
              <w:t>类水域标准，</w:t>
            </w:r>
            <w:r>
              <w:rPr>
                <w:rFonts w:hint="eastAsia" w:cs="Times New Roman"/>
                <w:color w:val="auto"/>
                <w:sz w:val="24"/>
                <w:szCs w:val="24"/>
                <w:lang w:val="en-US" w:eastAsia="zh-CN"/>
              </w:rPr>
              <w:t>因此评价</w:t>
            </w:r>
            <w:r>
              <w:rPr>
                <w:rFonts w:hint="eastAsia" w:ascii="Times New Roman" w:hAnsi="Times New Roman" w:eastAsia="宋体" w:cs="Times New Roman"/>
                <w:color w:val="auto"/>
                <w:sz w:val="24"/>
                <w:szCs w:val="24"/>
                <w:lang w:val="en-US" w:eastAsia="zh-CN"/>
              </w:rPr>
              <w:t>区域地表水</w:t>
            </w:r>
            <w:r>
              <w:rPr>
                <w:rFonts w:hint="eastAsia" w:ascii="Times New Roman" w:hAnsi="Times New Roman" w:cs="Times New Roman"/>
                <w:color w:val="auto"/>
                <w:sz w:val="24"/>
                <w:szCs w:val="24"/>
                <w:lang w:val="en-US" w:eastAsia="zh-CN"/>
              </w:rPr>
              <w:t>环境</w:t>
            </w:r>
            <w:r>
              <w:rPr>
                <w:rFonts w:hint="default" w:ascii="Times New Roman" w:hAnsi="Times New Roman" w:cs="Times New Roman"/>
                <w:color w:val="auto"/>
                <w:sz w:val="24"/>
                <w:szCs w:val="24"/>
              </w:rPr>
              <w:t>执行《地表水环境质量标准》（GB3838-2002）</w:t>
            </w:r>
            <w:r>
              <w:rPr>
                <w:rFonts w:ascii="Times New Roman" w:hAnsi="Times New Roman" w:eastAsia="Times New Roman" w:cs="Times New Roman"/>
                <w:spacing w:val="-1"/>
                <w:sz w:val="24"/>
                <w:szCs w:val="24"/>
              </w:rPr>
              <w:t>Ⅱ</w:t>
            </w:r>
            <w:r>
              <w:rPr>
                <w:rFonts w:hint="default" w:ascii="Times New Roman" w:hAnsi="Times New Roman" w:cs="Times New Roman"/>
                <w:color w:val="auto"/>
                <w:sz w:val="24"/>
                <w:szCs w:val="24"/>
              </w:rPr>
              <w:t>类水域标准，</w:t>
            </w:r>
            <w:r>
              <w:rPr>
                <w:rFonts w:hint="default" w:ascii="Times New Roman" w:hAnsi="Times New Roman" w:cs="Times New Roman"/>
                <w:snapToGrid w:val="0"/>
                <w:color w:val="auto"/>
                <w:spacing w:val="0"/>
                <w:w w:val="100"/>
                <w:kern w:val="0"/>
                <w:position w:val="0"/>
                <w:sz w:val="24"/>
                <w:szCs w:val="24"/>
                <w:highlight w:val="none"/>
              </w:rPr>
              <w:t>具体</w:t>
            </w:r>
            <w:r>
              <w:rPr>
                <w:rFonts w:hint="eastAsia" w:ascii="Times New Roman" w:hAnsi="Times New Roman" w:cs="Times New Roman"/>
                <w:snapToGrid w:val="0"/>
                <w:color w:val="auto"/>
                <w:spacing w:val="0"/>
                <w:w w:val="100"/>
                <w:kern w:val="0"/>
                <w:position w:val="0"/>
                <w:sz w:val="24"/>
                <w:szCs w:val="24"/>
                <w:highlight w:val="none"/>
                <w:lang w:val="en-US" w:eastAsia="zh-CN"/>
              </w:rPr>
              <w:t>标准限值</w:t>
            </w:r>
            <w:r>
              <w:rPr>
                <w:rFonts w:hint="default" w:ascii="Times New Roman" w:hAnsi="Times New Roman" w:cs="Times New Roman"/>
                <w:snapToGrid w:val="0"/>
                <w:color w:val="auto"/>
                <w:spacing w:val="0"/>
                <w:w w:val="100"/>
                <w:kern w:val="0"/>
                <w:position w:val="0"/>
                <w:sz w:val="24"/>
                <w:szCs w:val="24"/>
                <w:highlight w:val="none"/>
              </w:rPr>
              <w:t>见表</w:t>
            </w:r>
            <w:r>
              <w:rPr>
                <w:rFonts w:hint="eastAsia" w:ascii="Times New Roman" w:hAnsi="Times New Roman" w:cs="Times New Roman"/>
                <w:snapToGrid w:val="0"/>
                <w:color w:val="auto"/>
                <w:spacing w:val="0"/>
                <w:w w:val="100"/>
                <w:kern w:val="0"/>
                <w:position w:val="0"/>
                <w:sz w:val="24"/>
                <w:szCs w:val="24"/>
                <w:highlight w:val="none"/>
                <w:lang w:val="en-US" w:eastAsia="zh-CN"/>
              </w:rPr>
              <w:t>3-</w:t>
            </w:r>
            <w:r>
              <w:rPr>
                <w:rFonts w:hint="eastAsia" w:cs="Times New Roman"/>
                <w:snapToGrid w:val="0"/>
                <w:color w:val="auto"/>
                <w:spacing w:val="0"/>
                <w:w w:val="100"/>
                <w:kern w:val="0"/>
                <w:position w:val="0"/>
                <w:sz w:val="24"/>
                <w:szCs w:val="24"/>
                <w:highlight w:val="none"/>
                <w:lang w:val="en-US" w:eastAsia="zh-CN"/>
              </w:rPr>
              <w:t>7</w:t>
            </w:r>
            <w:r>
              <w:rPr>
                <w:rFonts w:hint="default" w:ascii="Times New Roman" w:hAnsi="Times New Roman" w:cs="Times New Roman"/>
                <w:snapToGrid w:val="0"/>
                <w:color w:val="auto"/>
                <w:spacing w:val="0"/>
                <w:w w:val="100"/>
                <w:kern w:val="0"/>
                <w:position w:val="0"/>
                <w:sz w:val="24"/>
                <w:szCs w:val="24"/>
                <w:highlight w:val="none"/>
              </w:rPr>
              <w:t>。</w:t>
            </w:r>
          </w:p>
          <w:p w14:paraId="326CA47F">
            <w:pPr>
              <w:spacing w:line="240" w:lineRule="auto"/>
              <w:jc w:val="center"/>
              <w:rPr>
                <w:rFonts w:hint="default" w:ascii="Times New Roman" w:hAnsi="Times New Roman" w:cs="Times New Roman"/>
                <w:b/>
                <w:snapToGrid w:val="0"/>
                <w:color w:val="auto"/>
                <w:spacing w:val="0"/>
                <w:w w:val="100"/>
                <w:kern w:val="0"/>
                <w:position w:val="0"/>
                <w:sz w:val="21"/>
                <w:szCs w:val="21"/>
                <w:highlight w:val="none"/>
              </w:rPr>
            </w:pPr>
            <w:r>
              <w:rPr>
                <w:rFonts w:hint="default" w:ascii="Times New Roman" w:hAnsi="Times New Roman" w:cs="Times New Roman"/>
                <w:b/>
                <w:snapToGrid w:val="0"/>
                <w:color w:val="auto"/>
                <w:spacing w:val="0"/>
                <w:w w:val="100"/>
                <w:kern w:val="0"/>
                <w:position w:val="0"/>
                <w:sz w:val="21"/>
                <w:szCs w:val="21"/>
                <w:highlight w:val="none"/>
              </w:rPr>
              <w:t>表</w:t>
            </w:r>
            <w:r>
              <w:rPr>
                <w:rFonts w:hint="eastAsia" w:ascii="Times New Roman" w:hAnsi="Times New Roman" w:cs="Times New Roman"/>
                <w:b/>
                <w:snapToGrid w:val="0"/>
                <w:color w:val="auto"/>
                <w:spacing w:val="0"/>
                <w:w w:val="100"/>
                <w:kern w:val="0"/>
                <w:position w:val="0"/>
                <w:sz w:val="21"/>
                <w:szCs w:val="21"/>
                <w:highlight w:val="none"/>
                <w:lang w:val="en-US" w:eastAsia="zh-CN"/>
              </w:rPr>
              <w:t>3-</w:t>
            </w:r>
            <w:r>
              <w:rPr>
                <w:rFonts w:hint="eastAsia" w:cs="Times New Roman"/>
                <w:b/>
                <w:snapToGrid w:val="0"/>
                <w:color w:val="auto"/>
                <w:spacing w:val="0"/>
                <w:w w:val="100"/>
                <w:kern w:val="0"/>
                <w:position w:val="0"/>
                <w:sz w:val="21"/>
                <w:szCs w:val="21"/>
                <w:highlight w:val="none"/>
                <w:lang w:val="en-US" w:eastAsia="zh-CN"/>
              </w:rPr>
              <w:t>7</w:t>
            </w:r>
            <w:r>
              <w:rPr>
                <w:rFonts w:hint="default" w:ascii="Times New Roman" w:hAnsi="Times New Roman" w:cs="Times New Roman"/>
                <w:b/>
                <w:snapToGrid w:val="0"/>
                <w:color w:val="auto"/>
                <w:spacing w:val="0"/>
                <w:w w:val="100"/>
                <w:kern w:val="0"/>
                <w:position w:val="0"/>
                <w:sz w:val="21"/>
                <w:szCs w:val="21"/>
                <w:highlight w:val="none"/>
              </w:rPr>
              <w:t xml:space="preserve"> </w:t>
            </w:r>
            <w:r>
              <w:rPr>
                <w:rFonts w:hint="eastAsia" w:ascii="Times New Roman" w:hAnsi="Times New Roman" w:cs="Times New Roman"/>
                <w:b/>
                <w:snapToGrid w:val="0"/>
                <w:color w:val="auto"/>
                <w:spacing w:val="0"/>
                <w:w w:val="100"/>
                <w:kern w:val="0"/>
                <w:position w:val="0"/>
                <w:sz w:val="21"/>
                <w:szCs w:val="21"/>
                <w:highlight w:val="none"/>
                <w:lang w:val="en-US" w:eastAsia="zh-CN"/>
              </w:rPr>
              <w:t xml:space="preserve"> </w:t>
            </w:r>
            <w:r>
              <w:rPr>
                <w:rFonts w:hint="default" w:ascii="Times New Roman" w:hAnsi="Times New Roman" w:cs="Times New Roman"/>
                <w:b/>
                <w:snapToGrid w:val="0"/>
                <w:color w:val="auto"/>
                <w:spacing w:val="0"/>
                <w:w w:val="100"/>
                <w:kern w:val="0"/>
                <w:position w:val="0"/>
                <w:sz w:val="21"/>
                <w:szCs w:val="21"/>
                <w:highlight w:val="none"/>
              </w:rPr>
              <w:t xml:space="preserve">地表水环境质量标准  </w:t>
            </w:r>
            <w:r>
              <w:rPr>
                <w:rFonts w:hint="eastAsia" w:ascii="Times New Roman" w:hAnsi="Times New Roman" w:cs="Times New Roman"/>
                <w:b/>
                <w:snapToGrid w:val="0"/>
                <w:color w:val="auto"/>
                <w:spacing w:val="0"/>
                <w:w w:val="100"/>
                <w:kern w:val="0"/>
                <w:position w:val="0"/>
                <w:sz w:val="21"/>
                <w:szCs w:val="21"/>
                <w:highlight w:val="none"/>
                <w:lang w:val="en-US" w:eastAsia="zh-CN"/>
              </w:rPr>
              <w:t xml:space="preserve">     </w:t>
            </w:r>
            <w:r>
              <w:rPr>
                <w:rFonts w:hint="default" w:ascii="Times New Roman" w:hAnsi="Times New Roman" w:cs="Times New Roman"/>
                <w:b/>
                <w:snapToGrid w:val="0"/>
                <w:color w:val="auto"/>
                <w:spacing w:val="0"/>
                <w:w w:val="100"/>
                <w:kern w:val="0"/>
                <w:position w:val="0"/>
                <w:sz w:val="21"/>
                <w:szCs w:val="21"/>
                <w:highlight w:val="none"/>
              </w:rPr>
              <w:t>单位：mg/L</w:t>
            </w:r>
          </w:p>
          <w:tbl>
            <w:tblPr>
              <w:tblStyle w:val="19"/>
              <w:tblW w:w="8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3869"/>
              <w:gridCol w:w="2668"/>
            </w:tblGrid>
            <w:tr w14:paraId="4B1D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5F9CFFA5">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序号</w:t>
                  </w:r>
                </w:p>
              </w:tc>
              <w:tc>
                <w:tcPr>
                  <w:tcW w:w="3869" w:type="dxa"/>
                  <w:noWrap w:val="0"/>
                  <w:vAlign w:val="center"/>
                </w:tcPr>
                <w:p w14:paraId="5E29A52F">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项目</w:t>
                  </w:r>
                </w:p>
              </w:tc>
              <w:tc>
                <w:tcPr>
                  <w:tcW w:w="2668" w:type="dxa"/>
                  <w:noWrap w:val="0"/>
                  <w:vAlign w:val="center"/>
                </w:tcPr>
                <w:p w14:paraId="24E2D8DE">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ascii="Times New Roman" w:hAnsi="Times New Roman" w:eastAsia="Times New Roman" w:cs="Times New Roman"/>
                      <w:spacing w:val="-1"/>
                      <w:sz w:val="21"/>
                      <w:szCs w:val="21"/>
                    </w:rPr>
                    <w:t>Ⅱ</w:t>
                  </w:r>
                  <w:r>
                    <w:rPr>
                      <w:rFonts w:hint="default" w:ascii="Times New Roman" w:hAnsi="Times New Roman" w:cs="Times New Roman"/>
                      <w:b/>
                      <w:bCs w:val="0"/>
                      <w:snapToGrid w:val="0"/>
                      <w:color w:val="auto"/>
                      <w:spacing w:val="0"/>
                      <w:w w:val="100"/>
                      <w:kern w:val="0"/>
                      <w:position w:val="0"/>
                      <w:sz w:val="21"/>
                      <w:szCs w:val="21"/>
                      <w:highlight w:val="none"/>
                    </w:rPr>
                    <w:t>类标准</w:t>
                  </w:r>
                </w:p>
              </w:tc>
            </w:tr>
            <w:tr w14:paraId="4741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1ADCC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default" w:ascii="Times New Roman" w:hAnsi="Times New Roman" w:cs="Times New Roman"/>
                      <w:bCs/>
                      <w:snapToGrid w:val="0"/>
                      <w:color w:val="auto"/>
                      <w:spacing w:val="0"/>
                      <w:w w:val="100"/>
                      <w:kern w:val="0"/>
                      <w:position w:val="0"/>
                      <w:sz w:val="21"/>
                      <w:szCs w:val="21"/>
                      <w:highlight w:val="none"/>
                    </w:rPr>
                    <w:t>1</w:t>
                  </w:r>
                </w:p>
              </w:tc>
              <w:tc>
                <w:tcPr>
                  <w:tcW w:w="3869" w:type="dxa"/>
                  <w:noWrap w:val="0"/>
                  <w:vAlign w:val="center"/>
                </w:tcPr>
                <w:p w14:paraId="10C4B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2"/>
                      <w:sz w:val="21"/>
                      <w:szCs w:val="21"/>
                      <w:lang w:val="en-US" w:eastAsia="zh-CN" w:bidi="ar-SA"/>
                    </w:rPr>
                  </w:pPr>
                  <w:r>
                    <w:rPr>
                      <w:color w:val="auto"/>
                      <w:sz w:val="21"/>
                      <w:szCs w:val="21"/>
                    </w:rPr>
                    <w:t>pH值</w:t>
                  </w:r>
                  <w:r>
                    <w:rPr>
                      <w:rFonts w:hint="eastAsia"/>
                      <w:color w:val="auto"/>
                      <w:sz w:val="21"/>
                      <w:szCs w:val="21"/>
                      <w:lang w:eastAsia="zh-CN"/>
                    </w:rPr>
                    <w:t>（</w:t>
                  </w:r>
                  <w:r>
                    <w:rPr>
                      <w:rFonts w:hint="eastAsia"/>
                      <w:color w:val="auto"/>
                      <w:sz w:val="21"/>
                      <w:szCs w:val="21"/>
                      <w:lang w:val="en-US" w:eastAsia="zh-CN"/>
                    </w:rPr>
                    <w:t>无量纲）</w:t>
                  </w:r>
                </w:p>
              </w:tc>
              <w:tc>
                <w:tcPr>
                  <w:tcW w:w="2668" w:type="dxa"/>
                  <w:noWrap w:val="0"/>
                  <w:vAlign w:val="center"/>
                </w:tcPr>
                <w:p w14:paraId="2BB87C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auto"/>
                      <w:kern w:val="2"/>
                      <w:sz w:val="21"/>
                      <w:szCs w:val="21"/>
                      <w:lang w:val="en-US" w:eastAsia="zh-CN" w:bidi="ar-SA"/>
                    </w:rPr>
                  </w:pPr>
                  <w:r>
                    <w:rPr>
                      <w:color w:val="auto"/>
                      <w:sz w:val="21"/>
                      <w:szCs w:val="21"/>
                    </w:rPr>
                    <w:t>6～9</w:t>
                  </w:r>
                </w:p>
              </w:tc>
            </w:tr>
            <w:tr w14:paraId="4D1E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2A7211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auto"/>
                      <w:spacing w:val="0"/>
                      <w:w w:val="100"/>
                      <w:kern w:val="0"/>
                      <w:position w:val="0"/>
                      <w:sz w:val="21"/>
                      <w:szCs w:val="21"/>
                      <w:highlight w:val="none"/>
                      <w:lang w:val="en-US" w:eastAsia="zh-CN" w:bidi="ar-SA"/>
                    </w:rPr>
                  </w:pPr>
                  <w:r>
                    <w:rPr>
                      <w:rFonts w:hint="default" w:ascii="Times New Roman" w:hAnsi="Times New Roman" w:cs="Times New Roman"/>
                      <w:snapToGrid w:val="0"/>
                      <w:color w:val="auto"/>
                      <w:spacing w:val="0"/>
                      <w:w w:val="100"/>
                      <w:kern w:val="0"/>
                      <w:position w:val="0"/>
                      <w:sz w:val="21"/>
                      <w:szCs w:val="21"/>
                      <w:highlight w:val="none"/>
                    </w:rPr>
                    <w:t>2</w:t>
                  </w:r>
                </w:p>
              </w:tc>
              <w:tc>
                <w:tcPr>
                  <w:tcW w:w="3869" w:type="dxa"/>
                  <w:noWrap w:val="0"/>
                  <w:vAlign w:val="center"/>
                </w:tcPr>
                <w:p w14:paraId="7DBB2D10">
                  <w:pPr>
                    <w:keepNext w:val="0"/>
                    <w:keepLines w:val="0"/>
                    <w:pageBreakBefore w:val="0"/>
                    <w:widowControl w:val="0"/>
                    <w:kinsoku/>
                    <w:wordWrap/>
                    <w:overflowPunct/>
                    <w:topLinePunct w:val="0"/>
                    <w:autoSpaceDE/>
                    <w:autoSpaceDN/>
                    <w:bidi w:val="0"/>
                    <w:adjustRightInd/>
                    <w:snapToGrid/>
                    <w:spacing w:line="240" w:lineRule="auto"/>
                    <w:jc w:val="center"/>
                    <w:rPr>
                      <w:rFonts w:hint="default"/>
                      <w:color w:val="auto"/>
                      <w:kern w:val="2"/>
                      <w:sz w:val="21"/>
                      <w:szCs w:val="21"/>
                      <w:lang w:val="en-US" w:eastAsia="zh-CN" w:bidi="ar-SA"/>
                    </w:rPr>
                  </w:pPr>
                  <w:r>
                    <w:rPr>
                      <w:rFonts w:hint="eastAsia"/>
                      <w:color w:val="auto"/>
                      <w:sz w:val="21"/>
                      <w:szCs w:val="21"/>
                      <w:lang w:val="en-US" w:eastAsia="zh-CN"/>
                    </w:rPr>
                    <w:t>溶解氧</w:t>
                  </w:r>
                </w:p>
              </w:tc>
              <w:tc>
                <w:tcPr>
                  <w:tcW w:w="2668" w:type="dxa"/>
                  <w:noWrap w:val="0"/>
                  <w:vAlign w:val="center"/>
                </w:tcPr>
                <w:p w14:paraId="6C95CF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6</w:t>
                  </w:r>
                </w:p>
              </w:tc>
            </w:tr>
            <w:tr w14:paraId="4D8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4BA68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auto"/>
                      <w:spacing w:val="0"/>
                      <w:w w:val="100"/>
                      <w:kern w:val="0"/>
                      <w:position w:val="0"/>
                      <w:sz w:val="21"/>
                      <w:szCs w:val="21"/>
                      <w:highlight w:val="none"/>
                      <w:lang w:val="en-US" w:eastAsia="zh-CN" w:bidi="ar-SA"/>
                    </w:rPr>
                  </w:pPr>
                  <w:r>
                    <w:rPr>
                      <w:rFonts w:hint="default" w:ascii="Times New Roman" w:hAnsi="Times New Roman" w:cs="Times New Roman"/>
                      <w:snapToGrid w:val="0"/>
                      <w:color w:val="auto"/>
                      <w:spacing w:val="0"/>
                      <w:w w:val="100"/>
                      <w:kern w:val="0"/>
                      <w:position w:val="0"/>
                      <w:sz w:val="21"/>
                      <w:szCs w:val="21"/>
                      <w:highlight w:val="none"/>
                    </w:rPr>
                    <w:t>3</w:t>
                  </w:r>
                </w:p>
              </w:tc>
              <w:tc>
                <w:tcPr>
                  <w:tcW w:w="3869" w:type="dxa"/>
                  <w:noWrap w:val="0"/>
                  <w:vAlign w:val="center"/>
                </w:tcPr>
                <w:p w14:paraId="5A2B2729">
                  <w:pPr>
                    <w:keepNext w:val="0"/>
                    <w:keepLines w:val="0"/>
                    <w:pageBreakBefore w:val="0"/>
                    <w:widowControl w:val="0"/>
                    <w:kinsoku/>
                    <w:wordWrap/>
                    <w:overflowPunct/>
                    <w:topLinePunct w:val="0"/>
                    <w:autoSpaceDE/>
                    <w:autoSpaceDN/>
                    <w:bidi w:val="0"/>
                    <w:adjustRightInd/>
                    <w:snapToGrid/>
                    <w:spacing w:line="240" w:lineRule="auto"/>
                    <w:jc w:val="center"/>
                    <w:rPr>
                      <w:rFonts w:hint="default"/>
                      <w:color w:val="auto"/>
                      <w:kern w:val="2"/>
                      <w:sz w:val="21"/>
                      <w:szCs w:val="21"/>
                      <w:lang w:val="en-US" w:eastAsia="zh-CN" w:bidi="ar-SA"/>
                    </w:rPr>
                  </w:pPr>
                  <w:r>
                    <w:rPr>
                      <w:color w:val="auto"/>
                      <w:sz w:val="21"/>
                      <w:szCs w:val="21"/>
                    </w:rPr>
                    <w:t>COD</w:t>
                  </w:r>
                </w:p>
              </w:tc>
              <w:tc>
                <w:tcPr>
                  <w:tcW w:w="2668" w:type="dxa"/>
                  <w:noWrap w:val="0"/>
                  <w:vAlign w:val="center"/>
                </w:tcPr>
                <w:p w14:paraId="1D2C5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kern w:val="2"/>
                      <w:sz w:val="21"/>
                      <w:szCs w:val="21"/>
                      <w:lang w:val="en-US" w:eastAsia="zh-CN" w:bidi="ar-SA"/>
                    </w:rPr>
                  </w:pPr>
                  <w:r>
                    <w:rPr>
                      <w:color w:val="auto"/>
                      <w:sz w:val="21"/>
                      <w:szCs w:val="21"/>
                    </w:rPr>
                    <w:t>≤</w:t>
                  </w:r>
                  <w:r>
                    <w:rPr>
                      <w:rFonts w:hint="eastAsia"/>
                      <w:color w:val="auto"/>
                      <w:sz w:val="21"/>
                      <w:szCs w:val="21"/>
                      <w:lang w:val="en-US" w:eastAsia="zh-CN"/>
                    </w:rPr>
                    <w:t>15</w:t>
                  </w:r>
                </w:p>
              </w:tc>
            </w:tr>
            <w:tr w14:paraId="430E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5D0298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napToGrid w:val="0"/>
                      <w:color w:val="auto"/>
                      <w:spacing w:val="0"/>
                      <w:w w:val="100"/>
                      <w:kern w:val="0"/>
                      <w:position w:val="0"/>
                      <w:sz w:val="21"/>
                      <w:szCs w:val="21"/>
                      <w:highlight w:val="none"/>
                      <w:lang w:val="en-US" w:eastAsia="zh-CN" w:bidi="ar-SA"/>
                    </w:rPr>
                  </w:pPr>
                  <w:r>
                    <w:rPr>
                      <w:rFonts w:hint="default" w:ascii="Times New Roman" w:hAnsi="Times New Roman" w:cs="Times New Roman"/>
                      <w:snapToGrid w:val="0"/>
                      <w:color w:val="auto"/>
                      <w:spacing w:val="0"/>
                      <w:w w:val="100"/>
                      <w:kern w:val="0"/>
                      <w:position w:val="0"/>
                      <w:sz w:val="21"/>
                      <w:szCs w:val="21"/>
                      <w:highlight w:val="none"/>
                    </w:rPr>
                    <w:t>4</w:t>
                  </w:r>
                </w:p>
              </w:tc>
              <w:tc>
                <w:tcPr>
                  <w:tcW w:w="3869" w:type="dxa"/>
                  <w:noWrap w:val="0"/>
                  <w:vAlign w:val="center"/>
                </w:tcPr>
                <w:p w14:paraId="239A441F">
                  <w:pPr>
                    <w:keepNext w:val="0"/>
                    <w:keepLines w:val="0"/>
                    <w:pageBreakBefore w:val="0"/>
                    <w:widowControl w:val="0"/>
                    <w:kinsoku/>
                    <w:wordWrap/>
                    <w:overflowPunct/>
                    <w:topLinePunct w:val="0"/>
                    <w:autoSpaceDE/>
                    <w:autoSpaceDN/>
                    <w:bidi w:val="0"/>
                    <w:adjustRightInd/>
                    <w:snapToGrid/>
                    <w:spacing w:line="240" w:lineRule="auto"/>
                    <w:jc w:val="center"/>
                    <w:rPr>
                      <w:rFonts w:hint="default"/>
                      <w:color w:val="auto"/>
                      <w:kern w:val="2"/>
                      <w:sz w:val="21"/>
                      <w:szCs w:val="21"/>
                      <w:lang w:val="en-US" w:eastAsia="zh-CN" w:bidi="ar-SA"/>
                    </w:rPr>
                  </w:pPr>
                  <w:r>
                    <w:rPr>
                      <w:color w:val="auto"/>
                      <w:sz w:val="21"/>
                      <w:szCs w:val="21"/>
                    </w:rPr>
                    <w:t>BOD</w:t>
                  </w:r>
                  <w:r>
                    <w:rPr>
                      <w:color w:val="auto"/>
                      <w:sz w:val="21"/>
                      <w:szCs w:val="21"/>
                      <w:vertAlign w:val="subscript"/>
                    </w:rPr>
                    <w:t>5</w:t>
                  </w:r>
                </w:p>
              </w:tc>
              <w:tc>
                <w:tcPr>
                  <w:tcW w:w="2668" w:type="dxa"/>
                  <w:noWrap w:val="0"/>
                  <w:vAlign w:val="center"/>
                </w:tcPr>
                <w:p w14:paraId="4EF9B4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kern w:val="2"/>
                      <w:sz w:val="21"/>
                      <w:szCs w:val="21"/>
                      <w:lang w:val="en-US" w:eastAsia="zh-CN" w:bidi="ar-SA"/>
                    </w:rPr>
                  </w:pPr>
                  <w:r>
                    <w:rPr>
                      <w:color w:val="auto"/>
                      <w:sz w:val="21"/>
                      <w:szCs w:val="21"/>
                    </w:rPr>
                    <w:t>≤</w:t>
                  </w:r>
                  <w:r>
                    <w:rPr>
                      <w:rFonts w:hint="eastAsia"/>
                      <w:color w:val="auto"/>
                      <w:sz w:val="21"/>
                      <w:szCs w:val="21"/>
                      <w:lang w:val="en-US" w:eastAsia="zh-CN"/>
                    </w:rPr>
                    <w:t>3</w:t>
                  </w:r>
                </w:p>
              </w:tc>
            </w:tr>
            <w:tr w14:paraId="6EA2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1E1DA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napToGrid w:val="0"/>
                      <w:color w:val="auto"/>
                      <w:spacing w:val="0"/>
                      <w:w w:val="100"/>
                      <w:kern w:val="0"/>
                      <w:position w:val="0"/>
                      <w:sz w:val="21"/>
                      <w:szCs w:val="21"/>
                      <w:highlight w:val="none"/>
                      <w:lang w:val="en-US" w:eastAsia="zh-CN"/>
                    </w:rPr>
                  </w:pPr>
                  <w:r>
                    <w:rPr>
                      <w:rFonts w:hint="eastAsia" w:ascii="Times New Roman" w:hAnsi="Times New Roman" w:cs="Times New Roman"/>
                      <w:snapToGrid w:val="0"/>
                      <w:color w:val="auto"/>
                      <w:spacing w:val="0"/>
                      <w:w w:val="100"/>
                      <w:kern w:val="0"/>
                      <w:position w:val="0"/>
                      <w:sz w:val="21"/>
                      <w:szCs w:val="21"/>
                      <w:highlight w:val="none"/>
                      <w:lang w:val="en-US" w:eastAsia="zh-CN"/>
                    </w:rPr>
                    <w:t>5</w:t>
                  </w:r>
                </w:p>
              </w:tc>
              <w:tc>
                <w:tcPr>
                  <w:tcW w:w="3869" w:type="dxa"/>
                  <w:shd w:val="clear" w:color="auto" w:fill="auto"/>
                  <w:noWrap w:val="0"/>
                  <w:vAlign w:val="center"/>
                </w:tcPr>
                <w:p w14:paraId="61C4BEBF">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氨氮</w:t>
                  </w:r>
                </w:p>
              </w:tc>
              <w:tc>
                <w:tcPr>
                  <w:tcW w:w="2668" w:type="dxa"/>
                  <w:shd w:val="clear" w:color="auto" w:fill="auto"/>
                  <w:noWrap w:val="0"/>
                  <w:vAlign w:val="center"/>
                </w:tcPr>
                <w:p w14:paraId="592ADC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color w:val="auto"/>
                      <w:sz w:val="21"/>
                      <w:szCs w:val="21"/>
                    </w:rPr>
                    <w:t>≤</w:t>
                  </w:r>
                  <w:r>
                    <w:rPr>
                      <w:rFonts w:hint="eastAsia"/>
                      <w:color w:val="auto"/>
                      <w:sz w:val="21"/>
                      <w:szCs w:val="21"/>
                      <w:lang w:val="en-US" w:eastAsia="zh-CN"/>
                    </w:rPr>
                    <w:t>0.5</w:t>
                  </w:r>
                </w:p>
              </w:tc>
            </w:tr>
            <w:tr w14:paraId="3237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597AC3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napToGrid w:val="0"/>
                      <w:color w:val="auto"/>
                      <w:spacing w:val="0"/>
                      <w:w w:val="100"/>
                      <w:kern w:val="0"/>
                      <w:position w:val="0"/>
                      <w:sz w:val="21"/>
                      <w:szCs w:val="21"/>
                      <w:highlight w:val="none"/>
                      <w:lang w:val="en-US" w:eastAsia="zh-CN" w:bidi="ar-SA"/>
                    </w:rPr>
                  </w:pPr>
                  <w:r>
                    <w:rPr>
                      <w:rFonts w:hint="eastAsia" w:ascii="Times New Roman" w:hAnsi="Times New Roman" w:cs="Times New Roman"/>
                      <w:snapToGrid w:val="0"/>
                      <w:color w:val="auto"/>
                      <w:spacing w:val="0"/>
                      <w:w w:val="100"/>
                      <w:kern w:val="0"/>
                      <w:position w:val="0"/>
                      <w:sz w:val="21"/>
                      <w:szCs w:val="21"/>
                      <w:highlight w:val="none"/>
                      <w:lang w:val="en-US" w:eastAsia="zh-CN"/>
                    </w:rPr>
                    <w:t>6</w:t>
                  </w:r>
                </w:p>
              </w:tc>
              <w:tc>
                <w:tcPr>
                  <w:tcW w:w="3869" w:type="dxa"/>
                  <w:shd w:val="clear" w:color="auto" w:fill="auto"/>
                  <w:noWrap w:val="0"/>
                  <w:vAlign w:val="center"/>
                </w:tcPr>
                <w:p w14:paraId="0A98AC2B">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vertAlign w:val="baseline"/>
                      <w:lang w:val="en-US" w:eastAsia="zh-CN"/>
                    </w:rPr>
                    <w:t>总磷</w:t>
                  </w:r>
                </w:p>
              </w:tc>
              <w:tc>
                <w:tcPr>
                  <w:tcW w:w="2668" w:type="dxa"/>
                  <w:shd w:val="clear" w:color="auto" w:fill="auto"/>
                  <w:noWrap w:val="0"/>
                  <w:vAlign w:val="center"/>
                </w:tcPr>
                <w:p w14:paraId="7E53C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color w:val="auto"/>
                      <w:sz w:val="21"/>
                      <w:szCs w:val="21"/>
                    </w:rPr>
                    <w:t>≤</w:t>
                  </w:r>
                  <w:r>
                    <w:rPr>
                      <w:rFonts w:hint="eastAsia"/>
                      <w:color w:val="auto"/>
                      <w:sz w:val="21"/>
                      <w:szCs w:val="21"/>
                      <w:lang w:val="en-US" w:eastAsia="zh-CN"/>
                    </w:rPr>
                    <w:t>0.1</w:t>
                  </w:r>
                </w:p>
              </w:tc>
            </w:tr>
            <w:tr w14:paraId="6823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51C34E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napToGrid w:val="0"/>
                      <w:color w:val="auto"/>
                      <w:spacing w:val="0"/>
                      <w:w w:val="100"/>
                      <w:kern w:val="0"/>
                      <w:position w:val="0"/>
                      <w:sz w:val="21"/>
                      <w:szCs w:val="21"/>
                      <w:highlight w:val="none"/>
                      <w:lang w:val="en-US" w:eastAsia="zh-CN" w:bidi="ar-SA"/>
                    </w:rPr>
                  </w:pPr>
                  <w:r>
                    <w:rPr>
                      <w:rFonts w:hint="eastAsia" w:ascii="Times New Roman" w:hAnsi="Times New Roman" w:cs="Times New Roman"/>
                      <w:snapToGrid w:val="0"/>
                      <w:color w:val="auto"/>
                      <w:spacing w:val="0"/>
                      <w:w w:val="100"/>
                      <w:kern w:val="0"/>
                      <w:position w:val="0"/>
                      <w:sz w:val="21"/>
                      <w:szCs w:val="21"/>
                      <w:highlight w:val="none"/>
                      <w:lang w:val="en-US" w:eastAsia="zh-CN"/>
                    </w:rPr>
                    <w:t>7</w:t>
                  </w:r>
                </w:p>
              </w:tc>
              <w:tc>
                <w:tcPr>
                  <w:tcW w:w="3869" w:type="dxa"/>
                  <w:shd w:val="clear" w:color="auto" w:fill="auto"/>
                  <w:noWrap w:val="0"/>
                  <w:vAlign w:val="center"/>
                </w:tcPr>
                <w:p w14:paraId="256EFD2D">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vertAlign w:val="baseline"/>
                      <w:lang w:val="en-US" w:eastAsia="zh-CN"/>
                    </w:rPr>
                    <w:t>总氮</w:t>
                  </w:r>
                </w:p>
              </w:tc>
              <w:tc>
                <w:tcPr>
                  <w:tcW w:w="2668" w:type="dxa"/>
                  <w:shd w:val="clear" w:color="auto" w:fill="auto"/>
                  <w:noWrap w:val="0"/>
                  <w:vAlign w:val="center"/>
                </w:tcPr>
                <w:p w14:paraId="295894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color w:val="auto"/>
                      <w:sz w:val="21"/>
                      <w:szCs w:val="21"/>
                    </w:rPr>
                    <w:t>≤</w:t>
                  </w:r>
                  <w:r>
                    <w:rPr>
                      <w:rFonts w:hint="eastAsia"/>
                      <w:color w:val="auto"/>
                      <w:sz w:val="21"/>
                      <w:szCs w:val="21"/>
                      <w:lang w:val="en-US" w:eastAsia="zh-CN"/>
                    </w:rPr>
                    <w:t>0.5</w:t>
                  </w:r>
                </w:p>
              </w:tc>
            </w:tr>
            <w:tr w14:paraId="2DA6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02" w:type="dxa"/>
                  <w:noWrap w:val="0"/>
                  <w:vAlign w:val="center"/>
                </w:tcPr>
                <w:p w14:paraId="5877FF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napToGrid w:val="0"/>
                      <w:color w:val="auto"/>
                      <w:spacing w:val="0"/>
                      <w:w w:val="100"/>
                      <w:kern w:val="0"/>
                      <w:position w:val="0"/>
                      <w:sz w:val="21"/>
                      <w:szCs w:val="21"/>
                      <w:highlight w:val="none"/>
                      <w:lang w:val="en-US" w:eastAsia="zh-CN" w:bidi="ar-SA"/>
                    </w:rPr>
                  </w:pPr>
                  <w:r>
                    <w:rPr>
                      <w:rFonts w:hint="eastAsia" w:ascii="Times New Roman" w:hAnsi="Times New Roman" w:cs="Times New Roman"/>
                      <w:snapToGrid w:val="0"/>
                      <w:color w:val="auto"/>
                      <w:spacing w:val="0"/>
                      <w:w w:val="100"/>
                      <w:kern w:val="0"/>
                      <w:position w:val="0"/>
                      <w:sz w:val="21"/>
                      <w:szCs w:val="21"/>
                      <w:highlight w:val="none"/>
                      <w:lang w:val="en-US" w:eastAsia="zh-CN"/>
                    </w:rPr>
                    <w:t>8</w:t>
                  </w:r>
                </w:p>
              </w:tc>
              <w:tc>
                <w:tcPr>
                  <w:tcW w:w="3869" w:type="dxa"/>
                  <w:shd w:val="clear" w:color="auto" w:fill="auto"/>
                  <w:noWrap w:val="0"/>
                  <w:vAlign w:val="center"/>
                </w:tcPr>
                <w:p w14:paraId="6E95CC52">
                  <w:pPr>
                    <w:keepNext w:val="0"/>
                    <w:keepLines w:val="0"/>
                    <w:pageBreakBefore w:val="0"/>
                    <w:widowControl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石油类</w:t>
                  </w:r>
                </w:p>
              </w:tc>
              <w:tc>
                <w:tcPr>
                  <w:tcW w:w="2668" w:type="dxa"/>
                  <w:shd w:val="clear" w:color="auto" w:fill="auto"/>
                  <w:noWrap w:val="0"/>
                  <w:vAlign w:val="center"/>
                </w:tcPr>
                <w:p w14:paraId="77096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lang w:val="en-US" w:eastAsia="zh-CN" w:bidi="ar-SA"/>
                    </w:rPr>
                  </w:pPr>
                  <w:r>
                    <w:rPr>
                      <w:color w:val="auto"/>
                      <w:sz w:val="21"/>
                      <w:szCs w:val="21"/>
                    </w:rPr>
                    <w:t>≤</w:t>
                  </w:r>
                  <w:r>
                    <w:rPr>
                      <w:rFonts w:hint="eastAsia"/>
                      <w:color w:val="auto"/>
                      <w:sz w:val="21"/>
                      <w:szCs w:val="21"/>
                      <w:lang w:val="en-US" w:eastAsia="zh-CN"/>
                    </w:rPr>
                    <w:t>0.05</w:t>
                  </w:r>
                </w:p>
              </w:tc>
            </w:tr>
          </w:tbl>
          <w:p w14:paraId="11FEDDDF">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default" w:ascii="Times New Roman" w:hAnsi="Times New Roman"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w:t>
            </w:r>
            <w:r>
              <w:rPr>
                <w:rFonts w:hint="default" w:ascii="Times New Roman" w:hAnsi="Times New Roman" w:cs="Times New Roman"/>
                <w:snapToGrid w:val="0"/>
                <w:color w:val="auto"/>
                <w:spacing w:val="0"/>
                <w:w w:val="100"/>
                <w:kern w:val="0"/>
                <w:position w:val="0"/>
                <w:sz w:val="24"/>
                <w:szCs w:val="24"/>
                <w:highlight w:val="none"/>
              </w:rPr>
              <w:t>声环境质量标准</w:t>
            </w:r>
          </w:p>
          <w:p w14:paraId="46C5251C">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default" w:ascii="Times New Roman" w:hAnsi="Times New Roman" w:cs="Times New Roman"/>
                <w:b/>
                <w:snapToGrid w:val="0"/>
                <w:color w:val="auto"/>
                <w:spacing w:val="0"/>
                <w:w w:val="100"/>
                <w:kern w:val="0"/>
                <w:position w:val="0"/>
                <w:sz w:val="24"/>
                <w:szCs w:val="24"/>
                <w:highlight w:val="none"/>
              </w:rPr>
            </w:pPr>
            <w:r>
              <w:rPr>
                <w:rFonts w:hint="eastAsia" w:ascii="Times New Roman" w:hAnsi="Times New Roman" w:cs="Times New Roman"/>
                <w:color w:val="auto"/>
                <w:sz w:val="24"/>
                <w:szCs w:val="24"/>
                <w:lang w:val="en-US" w:eastAsia="zh-CN"/>
              </w:rPr>
              <w:t>评价</w:t>
            </w:r>
            <w:r>
              <w:rPr>
                <w:rFonts w:hint="default" w:ascii="Times New Roman" w:hAnsi="Times New Roman" w:cs="Times New Roman"/>
                <w:color w:val="auto"/>
                <w:sz w:val="24"/>
                <w:szCs w:val="24"/>
                <w:lang w:val="en-US" w:eastAsia="zh-CN"/>
              </w:rPr>
              <w:t>区域声环境执行《声环境质量标准》（GB3096-2008）2类标准。</w:t>
            </w:r>
            <w:r>
              <w:rPr>
                <w:rFonts w:hint="default" w:ascii="Times New Roman" w:hAnsi="Times New Roman" w:cs="Times New Roman"/>
                <w:color w:val="auto"/>
                <w:spacing w:val="0"/>
                <w:w w:val="100"/>
                <w:position w:val="0"/>
                <w:sz w:val="24"/>
                <w:szCs w:val="24"/>
                <w:highlight w:val="none"/>
                <w:lang w:val="en-US" w:eastAsia="zh-CN"/>
              </w:rPr>
              <w:t>具体限值</w:t>
            </w:r>
            <w:r>
              <w:rPr>
                <w:rFonts w:hint="default" w:ascii="Times New Roman" w:hAnsi="Times New Roman" w:cs="Times New Roman"/>
                <w:snapToGrid w:val="0"/>
                <w:color w:val="auto"/>
                <w:spacing w:val="0"/>
                <w:w w:val="100"/>
                <w:kern w:val="0"/>
                <w:position w:val="0"/>
                <w:sz w:val="24"/>
                <w:szCs w:val="24"/>
                <w:highlight w:val="none"/>
              </w:rPr>
              <w:t>见表</w:t>
            </w:r>
            <w:r>
              <w:rPr>
                <w:rFonts w:hint="eastAsia" w:ascii="Times New Roman" w:hAnsi="Times New Roman" w:cs="Times New Roman"/>
                <w:snapToGrid w:val="0"/>
                <w:color w:val="auto"/>
                <w:spacing w:val="0"/>
                <w:w w:val="100"/>
                <w:kern w:val="0"/>
                <w:position w:val="0"/>
                <w:sz w:val="24"/>
                <w:szCs w:val="24"/>
                <w:highlight w:val="none"/>
                <w:lang w:val="en-US" w:eastAsia="zh-CN"/>
              </w:rPr>
              <w:t>3-8</w:t>
            </w:r>
            <w:r>
              <w:rPr>
                <w:rFonts w:hint="default" w:ascii="Times New Roman" w:hAnsi="Times New Roman" w:cs="Times New Roman"/>
                <w:snapToGrid w:val="0"/>
                <w:color w:val="auto"/>
                <w:spacing w:val="0"/>
                <w:w w:val="100"/>
                <w:kern w:val="0"/>
                <w:position w:val="0"/>
                <w:sz w:val="24"/>
                <w:szCs w:val="24"/>
                <w:highlight w:val="none"/>
              </w:rPr>
              <w:t>。</w:t>
            </w:r>
          </w:p>
          <w:p w14:paraId="5761F522">
            <w:pPr>
              <w:spacing w:line="240" w:lineRule="auto"/>
              <w:jc w:val="center"/>
              <w:rPr>
                <w:rFonts w:hint="default" w:ascii="Times New Roman" w:hAnsi="Times New Roman" w:eastAsia="宋体" w:cs="Times New Roman"/>
                <w:b/>
                <w:snapToGrid w:val="0"/>
                <w:color w:val="auto"/>
                <w:spacing w:val="0"/>
                <w:w w:val="100"/>
                <w:kern w:val="0"/>
                <w:position w:val="0"/>
                <w:sz w:val="21"/>
                <w:szCs w:val="21"/>
                <w:highlight w:val="none"/>
                <w:lang w:val="en-US" w:eastAsia="zh-CN"/>
              </w:rPr>
            </w:pPr>
            <w:r>
              <w:rPr>
                <w:rFonts w:hint="default" w:ascii="Times New Roman" w:hAnsi="Times New Roman" w:cs="Times New Roman"/>
                <w:b/>
                <w:snapToGrid w:val="0"/>
                <w:color w:val="auto"/>
                <w:spacing w:val="0"/>
                <w:w w:val="100"/>
                <w:kern w:val="0"/>
                <w:position w:val="0"/>
                <w:sz w:val="21"/>
                <w:szCs w:val="21"/>
                <w:highlight w:val="none"/>
              </w:rPr>
              <w:t>表</w:t>
            </w:r>
            <w:r>
              <w:rPr>
                <w:rFonts w:hint="eastAsia" w:ascii="Times New Roman" w:hAnsi="Times New Roman" w:cs="Times New Roman"/>
                <w:b/>
                <w:snapToGrid w:val="0"/>
                <w:color w:val="auto"/>
                <w:spacing w:val="0"/>
                <w:w w:val="100"/>
                <w:kern w:val="0"/>
                <w:position w:val="0"/>
                <w:sz w:val="21"/>
                <w:szCs w:val="21"/>
                <w:highlight w:val="none"/>
                <w:lang w:val="en-US" w:eastAsia="zh-CN"/>
              </w:rPr>
              <w:t>3-</w:t>
            </w:r>
            <w:r>
              <w:rPr>
                <w:rFonts w:hint="eastAsia" w:cs="Times New Roman"/>
                <w:b/>
                <w:snapToGrid w:val="0"/>
                <w:color w:val="auto"/>
                <w:spacing w:val="0"/>
                <w:w w:val="100"/>
                <w:kern w:val="0"/>
                <w:position w:val="0"/>
                <w:sz w:val="21"/>
                <w:szCs w:val="21"/>
                <w:highlight w:val="none"/>
                <w:lang w:val="en-US" w:eastAsia="zh-CN"/>
              </w:rPr>
              <w:t>8</w:t>
            </w:r>
            <w:r>
              <w:rPr>
                <w:rFonts w:hint="default" w:ascii="Times New Roman" w:hAnsi="Times New Roman" w:cs="Times New Roman"/>
                <w:b/>
                <w:snapToGrid w:val="0"/>
                <w:color w:val="auto"/>
                <w:spacing w:val="0"/>
                <w:w w:val="100"/>
                <w:kern w:val="0"/>
                <w:position w:val="0"/>
                <w:sz w:val="21"/>
                <w:szCs w:val="21"/>
                <w:highlight w:val="none"/>
                <w:lang w:val="en-US" w:eastAsia="zh-CN"/>
              </w:rPr>
              <w:t xml:space="preserve"> </w:t>
            </w:r>
            <w:r>
              <w:rPr>
                <w:rFonts w:hint="default" w:ascii="Times New Roman" w:hAnsi="Times New Roman" w:cs="Times New Roman"/>
                <w:b/>
                <w:snapToGrid w:val="0"/>
                <w:color w:val="auto"/>
                <w:spacing w:val="0"/>
                <w:w w:val="100"/>
                <w:kern w:val="0"/>
                <w:position w:val="0"/>
                <w:sz w:val="21"/>
                <w:szCs w:val="21"/>
                <w:highlight w:val="none"/>
              </w:rPr>
              <w:t xml:space="preserve"> 声环境质量标准</w:t>
            </w:r>
            <w:r>
              <w:rPr>
                <w:rFonts w:hint="eastAsia" w:ascii="Times New Roman" w:hAnsi="Times New Roman" w:cs="Times New Roman"/>
                <w:b/>
                <w:snapToGrid w:val="0"/>
                <w:color w:val="auto"/>
                <w:spacing w:val="0"/>
                <w:w w:val="100"/>
                <w:kern w:val="0"/>
                <w:position w:val="0"/>
                <w:sz w:val="21"/>
                <w:szCs w:val="21"/>
                <w:highlight w:val="none"/>
                <w:lang w:val="en-US" w:eastAsia="zh-CN"/>
              </w:rPr>
              <w:t xml:space="preserve">     单位：dB（A）</w:t>
            </w:r>
          </w:p>
          <w:tbl>
            <w:tblPr>
              <w:tblStyle w:val="19"/>
              <w:tblW w:w="7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1"/>
              <w:gridCol w:w="2403"/>
              <w:gridCol w:w="2295"/>
            </w:tblGrid>
            <w:tr w14:paraId="1B69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301" w:type="dxa"/>
                  <w:vMerge w:val="restart"/>
                  <w:noWrap w:val="0"/>
                  <w:vAlign w:val="center"/>
                </w:tcPr>
                <w:p w14:paraId="24C8DE17">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声环境功能区类别</w:t>
                  </w:r>
                </w:p>
              </w:tc>
              <w:tc>
                <w:tcPr>
                  <w:tcW w:w="4698" w:type="dxa"/>
                  <w:gridSpan w:val="2"/>
                  <w:noWrap w:val="0"/>
                  <w:vAlign w:val="center"/>
                </w:tcPr>
                <w:p w14:paraId="536D77F9">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标准值</w:t>
                  </w:r>
                </w:p>
              </w:tc>
            </w:tr>
            <w:tr w14:paraId="2518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301" w:type="dxa"/>
                  <w:vMerge w:val="continue"/>
                  <w:noWrap w:val="0"/>
                  <w:vAlign w:val="center"/>
                </w:tcPr>
                <w:p w14:paraId="7D5AD06C">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p>
              </w:tc>
              <w:tc>
                <w:tcPr>
                  <w:tcW w:w="2403" w:type="dxa"/>
                  <w:noWrap w:val="0"/>
                  <w:vAlign w:val="center"/>
                </w:tcPr>
                <w:p w14:paraId="7190510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昼间</w:t>
                  </w:r>
                </w:p>
              </w:tc>
              <w:tc>
                <w:tcPr>
                  <w:tcW w:w="2295" w:type="dxa"/>
                  <w:noWrap w:val="0"/>
                  <w:vAlign w:val="center"/>
                </w:tcPr>
                <w:p w14:paraId="4D99B0B6">
                  <w:pPr>
                    <w:keepNext w:val="0"/>
                    <w:keepLines w:val="0"/>
                    <w:pageBreakBefore w:val="0"/>
                    <w:widowControl w:val="0"/>
                    <w:tabs>
                      <w:tab w:val="left" w:pos="-2848"/>
                    </w:tabs>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snapToGrid w:val="0"/>
                      <w:color w:val="auto"/>
                      <w:spacing w:val="0"/>
                      <w:w w:val="100"/>
                      <w:kern w:val="0"/>
                      <w:position w:val="0"/>
                      <w:sz w:val="21"/>
                      <w:szCs w:val="21"/>
                      <w:highlight w:val="none"/>
                    </w:rPr>
                  </w:pPr>
                  <w:r>
                    <w:rPr>
                      <w:rFonts w:hint="default" w:ascii="Times New Roman" w:hAnsi="Times New Roman" w:cs="Times New Roman"/>
                      <w:b/>
                      <w:bCs w:val="0"/>
                      <w:snapToGrid w:val="0"/>
                      <w:color w:val="auto"/>
                      <w:spacing w:val="0"/>
                      <w:w w:val="100"/>
                      <w:kern w:val="0"/>
                      <w:position w:val="0"/>
                      <w:sz w:val="21"/>
                      <w:szCs w:val="21"/>
                      <w:highlight w:val="none"/>
                    </w:rPr>
                    <w:t>夜间</w:t>
                  </w:r>
                </w:p>
              </w:tc>
            </w:tr>
            <w:tr w14:paraId="5E0A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301" w:type="dxa"/>
                  <w:noWrap w:val="0"/>
                  <w:vAlign w:val="center"/>
                </w:tcPr>
                <w:p w14:paraId="0B3663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snapToGrid w:val="0"/>
                      <w:color w:val="auto"/>
                      <w:spacing w:val="0"/>
                      <w:w w:val="100"/>
                      <w:kern w:val="0"/>
                      <w:position w:val="0"/>
                      <w:sz w:val="21"/>
                      <w:szCs w:val="21"/>
                      <w:highlight w:val="none"/>
                    </w:rPr>
                  </w:pPr>
                  <w:r>
                    <w:rPr>
                      <w:rFonts w:hint="eastAsia" w:ascii="Times New Roman" w:hAnsi="Times New Roman" w:cs="Times New Roman"/>
                      <w:bCs/>
                      <w:snapToGrid w:val="0"/>
                      <w:color w:val="auto"/>
                      <w:spacing w:val="0"/>
                      <w:w w:val="100"/>
                      <w:kern w:val="0"/>
                      <w:position w:val="0"/>
                      <w:sz w:val="21"/>
                      <w:szCs w:val="21"/>
                      <w:highlight w:val="none"/>
                      <w:lang w:val="en-US" w:eastAsia="zh-CN"/>
                    </w:rPr>
                    <w:t>2</w:t>
                  </w:r>
                  <w:r>
                    <w:rPr>
                      <w:rFonts w:hint="default" w:ascii="Times New Roman" w:hAnsi="Times New Roman" w:cs="Times New Roman"/>
                      <w:bCs/>
                      <w:snapToGrid w:val="0"/>
                      <w:color w:val="auto"/>
                      <w:spacing w:val="0"/>
                      <w:w w:val="100"/>
                      <w:kern w:val="0"/>
                      <w:position w:val="0"/>
                      <w:sz w:val="21"/>
                      <w:szCs w:val="21"/>
                      <w:highlight w:val="none"/>
                    </w:rPr>
                    <w:t>类</w:t>
                  </w:r>
                </w:p>
              </w:tc>
              <w:tc>
                <w:tcPr>
                  <w:tcW w:w="2403" w:type="dxa"/>
                  <w:noWrap w:val="0"/>
                  <w:vAlign w:val="center"/>
                </w:tcPr>
                <w:p w14:paraId="2D6345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napToGrid w:val="0"/>
                      <w:color w:val="auto"/>
                      <w:spacing w:val="0"/>
                      <w:w w:val="100"/>
                      <w:kern w:val="0"/>
                      <w:position w:val="0"/>
                      <w:sz w:val="21"/>
                      <w:szCs w:val="21"/>
                      <w:highlight w:val="none"/>
                      <w:lang w:val="en-US" w:eastAsia="zh-CN"/>
                    </w:rPr>
                  </w:pPr>
                  <w:r>
                    <w:rPr>
                      <w:rFonts w:hint="eastAsia" w:ascii="Times New Roman" w:hAnsi="Times New Roman" w:cs="Times New Roman"/>
                      <w:bCs/>
                      <w:snapToGrid w:val="0"/>
                      <w:color w:val="auto"/>
                      <w:spacing w:val="0"/>
                      <w:w w:val="100"/>
                      <w:kern w:val="0"/>
                      <w:position w:val="0"/>
                      <w:sz w:val="21"/>
                      <w:szCs w:val="21"/>
                      <w:highlight w:val="none"/>
                      <w:lang w:val="en-US" w:eastAsia="zh-CN"/>
                    </w:rPr>
                    <w:t>60</w:t>
                  </w:r>
                </w:p>
              </w:tc>
              <w:tc>
                <w:tcPr>
                  <w:tcW w:w="2295" w:type="dxa"/>
                  <w:noWrap w:val="0"/>
                  <w:vAlign w:val="center"/>
                </w:tcPr>
                <w:p w14:paraId="4CD82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napToGrid w:val="0"/>
                      <w:color w:val="auto"/>
                      <w:spacing w:val="0"/>
                      <w:w w:val="100"/>
                      <w:kern w:val="0"/>
                      <w:position w:val="0"/>
                      <w:sz w:val="21"/>
                      <w:szCs w:val="21"/>
                      <w:highlight w:val="none"/>
                      <w:lang w:val="en-US" w:eastAsia="zh-CN"/>
                    </w:rPr>
                  </w:pPr>
                  <w:r>
                    <w:rPr>
                      <w:rFonts w:hint="eastAsia" w:ascii="Times New Roman" w:hAnsi="Times New Roman" w:cs="Times New Roman"/>
                      <w:bCs/>
                      <w:snapToGrid w:val="0"/>
                      <w:color w:val="auto"/>
                      <w:spacing w:val="0"/>
                      <w:w w:val="100"/>
                      <w:kern w:val="0"/>
                      <w:position w:val="0"/>
                      <w:sz w:val="21"/>
                      <w:szCs w:val="21"/>
                      <w:highlight w:val="none"/>
                      <w:lang w:val="en-US" w:eastAsia="zh-CN"/>
                    </w:rPr>
                    <w:t>50</w:t>
                  </w:r>
                </w:p>
              </w:tc>
            </w:tr>
          </w:tbl>
          <w:p w14:paraId="3F1CBDE3">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r>
              <w:rPr>
                <w:rFonts w:hint="default" w:ascii="Times New Roman" w:hAnsi="Times New Roman" w:cs="Times New Roman"/>
                <w:b/>
                <w:bCs/>
                <w:color w:val="auto"/>
                <w:spacing w:val="0"/>
                <w:w w:val="100"/>
                <w:position w:val="0"/>
                <w:highlight w:val="none"/>
              </w:rPr>
              <w:t>污染物排放标准</w:t>
            </w:r>
          </w:p>
          <w:p w14:paraId="13C410E9">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cs="Times New Roman"/>
                <w:snapToGrid w:val="0"/>
                <w:color w:val="auto"/>
                <w:spacing w:val="0"/>
                <w:w w:val="100"/>
                <w:kern w:val="0"/>
                <w:position w:val="0"/>
                <w:sz w:val="24"/>
                <w:szCs w:val="24"/>
                <w:highlight w:val="none"/>
              </w:rPr>
            </w:pPr>
            <w:r>
              <w:rPr>
                <w:rFonts w:hint="eastAsia" w:ascii="Times New Roman" w:hAnsi="Times New Roman" w:cs="Times New Roman"/>
                <w:snapToGrid w:val="0"/>
                <w:color w:val="auto"/>
                <w:spacing w:val="0"/>
                <w:w w:val="100"/>
                <w:kern w:val="0"/>
                <w:position w:val="0"/>
                <w:sz w:val="24"/>
                <w:szCs w:val="24"/>
                <w:highlight w:val="none"/>
                <w:lang w:eastAsia="zh-CN"/>
              </w:rPr>
              <w:t>（</w:t>
            </w:r>
            <w:r>
              <w:rPr>
                <w:rFonts w:hint="eastAsia" w:ascii="Times New Roman" w:hAnsi="Times New Roman" w:cs="Times New Roman"/>
                <w:snapToGrid w:val="0"/>
                <w:color w:val="auto"/>
                <w:spacing w:val="0"/>
                <w:w w:val="100"/>
                <w:kern w:val="0"/>
                <w:position w:val="0"/>
                <w:sz w:val="24"/>
                <w:szCs w:val="24"/>
                <w:highlight w:val="none"/>
                <w:lang w:val="en-US" w:eastAsia="zh-CN"/>
              </w:rPr>
              <w:t>1</w:t>
            </w:r>
            <w:r>
              <w:rPr>
                <w:rFonts w:hint="eastAsia" w:ascii="Times New Roman" w:hAnsi="Times New Roman" w:cs="Times New Roman"/>
                <w:snapToGrid w:val="0"/>
                <w:color w:val="auto"/>
                <w:spacing w:val="0"/>
                <w:w w:val="100"/>
                <w:kern w:val="0"/>
                <w:position w:val="0"/>
                <w:sz w:val="24"/>
                <w:szCs w:val="24"/>
                <w:highlight w:val="none"/>
                <w:lang w:eastAsia="zh-CN"/>
              </w:rPr>
              <w:t>）</w:t>
            </w:r>
            <w:r>
              <w:rPr>
                <w:rFonts w:hint="default" w:ascii="Times New Roman" w:hAnsi="Times New Roman" w:cs="Times New Roman"/>
                <w:snapToGrid w:val="0"/>
                <w:color w:val="auto"/>
                <w:spacing w:val="0"/>
                <w:w w:val="100"/>
                <w:kern w:val="0"/>
                <w:position w:val="0"/>
                <w:sz w:val="24"/>
                <w:szCs w:val="24"/>
                <w:highlight w:val="none"/>
              </w:rPr>
              <w:t>废气</w:t>
            </w:r>
          </w:p>
          <w:p w14:paraId="2EB545F1">
            <w:pPr>
              <w:spacing w:line="360" w:lineRule="auto"/>
              <w:ind w:firstLine="480" w:firstLineChars="200"/>
              <w:rPr>
                <w:rFonts w:hint="default" w:ascii="Times New Roman" w:hAnsi="Times New Roman" w:cs="Times New Roman"/>
                <w:color w:val="auto"/>
              </w:rPr>
            </w:pPr>
            <w:r>
              <w:rPr>
                <w:rFonts w:hint="eastAsia" w:ascii="Times New Roman" w:hAnsi="Times New Roman" w:eastAsia="宋体" w:cs="Times New Roman"/>
                <w:b w:val="0"/>
                <w:bCs/>
                <w:color w:val="auto"/>
                <w:sz w:val="24"/>
                <w:szCs w:val="24"/>
                <w:highlight w:val="none"/>
                <w:lang w:val="en-US" w:eastAsia="zh-CN"/>
              </w:rPr>
              <w:t>施工期</w:t>
            </w:r>
            <w:r>
              <w:rPr>
                <w:rFonts w:hint="default" w:ascii="Times New Roman" w:hAnsi="Times New Roman" w:eastAsia="宋体" w:cs="Times New Roman"/>
                <w:b w:val="0"/>
                <w:bCs/>
                <w:color w:val="auto"/>
                <w:sz w:val="24"/>
                <w:szCs w:val="24"/>
                <w:highlight w:val="none"/>
              </w:rPr>
              <w:t>扬尘执行</w:t>
            </w:r>
            <w:bookmarkStart w:id="5" w:name="_Hlk2531692"/>
            <w:r>
              <w:rPr>
                <w:rFonts w:hint="default" w:ascii="Times New Roman" w:hAnsi="Times New Roman" w:eastAsia="宋体" w:cs="Times New Roman"/>
                <w:b w:val="0"/>
                <w:bCs/>
                <w:color w:val="auto"/>
                <w:sz w:val="24"/>
                <w:szCs w:val="24"/>
                <w:highlight w:val="none"/>
              </w:rPr>
              <w:t>《施工场界扬尘排放限值》（DB61/1078-2017）</w:t>
            </w:r>
            <w:bookmarkEnd w:id="5"/>
            <w:r>
              <w:rPr>
                <w:rFonts w:hint="default" w:ascii="Times New Roman" w:hAnsi="Times New Roman" w:eastAsia="宋体" w:cs="Times New Roman"/>
                <w:b w:val="0"/>
                <w:bCs/>
                <w:color w:val="auto"/>
                <w:sz w:val="24"/>
                <w:szCs w:val="24"/>
                <w:highlight w:val="none"/>
              </w:rPr>
              <w:t>标准限值要求</w:t>
            </w:r>
            <w:r>
              <w:rPr>
                <w:rFonts w:hint="eastAsia" w:ascii="Times New Roman" w:hAnsi="Times New Roman" w:eastAsia="宋体" w:cs="Times New Roman"/>
                <w:b w:val="0"/>
                <w:bCs/>
                <w:color w:val="auto"/>
                <w:sz w:val="24"/>
                <w:szCs w:val="24"/>
                <w:highlight w:val="none"/>
                <w:lang w:val="en-US" w:eastAsia="zh-CN"/>
              </w:rPr>
              <w:t>；运营期无废气产生。</w:t>
            </w:r>
            <w:r>
              <w:rPr>
                <w:rFonts w:hint="default" w:ascii="Times New Roman" w:hAnsi="Times New Roman" w:cs="Times New Roman"/>
                <w:color w:val="auto"/>
                <w:kern w:val="0"/>
                <w:sz w:val="24"/>
                <w:szCs w:val="24"/>
                <w:lang w:bidi="ar"/>
              </w:rPr>
              <w:t>具体标准见表</w:t>
            </w:r>
            <w:r>
              <w:rPr>
                <w:rFonts w:hint="eastAsia" w:ascii="Times New Roman" w:hAnsi="Times New Roman" w:cs="Times New Roman"/>
                <w:color w:val="auto"/>
                <w:kern w:val="0"/>
                <w:sz w:val="24"/>
                <w:szCs w:val="24"/>
                <w:lang w:val="en-US" w:eastAsia="zh-CN" w:bidi="ar"/>
              </w:rPr>
              <w:t>3-</w:t>
            </w:r>
            <w:r>
              <w:rPr>
                <w:rFonts w:hint="eastAsia" w:cs="Times New Roman"/>
                <w:color w:val="auto"/>
                <w:kern w:val="0"/>
                <w:sz w:val="24"/>
                <w:szCs w:val="24"/>
                <w:lang w:val="en-US" w:eastAsia="zh-CN" w:bidi="ar"/>
              </w:rPr>
              <w:t>9</w:t>
            </w:r>
            <w:r>
              <w:rPr>
                <w:rFonts w:hint="default" w:ascii="Times New Roman" w:hAnsi="Times New Roman" w:cs="Times New Roman"/>
                <w:color w:val="auto"/>
                <w:kern w:val="0"/>
                <w:sz w:val="24"/>
                <w:szCs w:val="24"/>
                <w:lang w:bidi="ar"/>
              </w:rPr>
              <w:t>。</w:t>
            </w:r>
          </w:p>
          <w:p w14:paraId="40D9DEB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lang w:bidi="he-IL"/>
              </w:rPr>
              <w:t>表</w:t>
            </w:r>
            <w:r>
              <w:rPr>
                <w:rFonts w:hint="eastAsia" w:ascii="Times New Roman" w:hAnsi="Times New Roman" w:cs="Times New Roman"/>
                <w:b/>
                <w:bCs/>
                <w:color w:val="auto"/>
                <w:sz w:val="21"/>
                <w:szCs w:val="21"/>
                <w:highlight w:val="none"/>
                <w:lang w:val="en-US" w:eastAsia="zh-CN" w:bidi="he-IL"/>
              </w:rPr>
              <w:t>3-</w:t>
            </w:r>
            <w:r>
              <w:rPr>
                <w:rFonts w:hint="eastAsia" w:cs="Times New Roman"/>
                <w:b/>
                <w:bCs/>
                <w:color w:val="auto"/>
                <w:sz w:val="21"/>
                <w:szCs w:val="21"/>
                <w:highlight w:val="none"/>
                <w:lang w:val="en-US" w:eastAsia="zh-CN" w:bidi="he-IL"/>
              </w:rPr>
              <w:t>9</w:t>
            </w:r>
            <w:r>
              <w:rPr>
                <w:rFonts w:hint="default" w:ascii="Times New Roman" w:hAnsi="Times New Roman" w:cs="Times New Roman"/>
                <w:b/>
                <w:bCs/>
                <w:color w:val="auto"/>
                <w:sz w:val="21"/>
                <w:szCs w:val="21"/>
                <w:highlight w:val="none"/>
                <w:lang w:bidi="he-IL"/>
              </w:rPr>
              <w:t xml:space="preserve">  施工场界扬尘浓度限值</w:t>
            </w:r>
          </w:p>
          <w:tbl>
            <w:tblPr>
              <w:tblStyle w:val="19"/>
              <w:tblW w:w="7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39"/>
              <w:gridCol w:w="1189"/>
              <w:gridCol w:w="2706"/>
              <w:gridCol w:w="1805"/>
            </w:tblGrid>
            <w:tr w14:paraId="44F4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239" w:type="dxa"/>
                  <w:vMerge w:val="restart"/>
                  <w:noWrap w:val="0"/>
                  <w:vAlign w:val="center"/>
                </w:tcPr>
                <w:p w14:paraId="0DFD8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污染物</w:t>
                  </w:r>
                </w:p>
              </w:tc>
              <w:tc>
                <w:tcPr>
                  <w:tcW w:w="5700" w:type="dxa"/>
                  <w:gridSpan w:val="3"/>
                  <w:noWrap w:val="0"/>
                  <w:vAlign w:val="center"/>
                </w:tcPr>
                <w:p w14:paraId="42DC6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Cs w:val="21"/>
                      <w:highlight w:val="none"/>
                      <w:lang w:val="en-US" w:eastAsia="zh-CN"/>
                    </w:rPr>
                  </w:pPr>
                  <w:r>
                    <w:rPr>
                      <w:rFonts w:hint="eastAsia" w:ascii="Times New Roman" w:hAnsi="Times New Roman" w:cs="Times New Roman"/>
                      <w:b/>
                      <w:bCs/>
                      <w:color w:val="auto"/>
                      <w:kern w:val="0"/>
                      <w:szCs w:val="21"/>
                      <w:highlight w:val="none"/>
                      <w:lang w:val="en-US" w:eastAsia="zh-CN"/>
                    </w:rPr>
                    <w:t>无组织排放监控浓度</w:t>
                  </w:r>
                  <w:r>
                    <w:rPr>
                      <w:rFonts w:hint="default" w:ascii="Times New Roman" w:hAnsi="Times New Roman" w:cs="Times New Roman"/>
                      <w:b/>
                      <w:bCs/>
                      <w:color w:val="auto"/>
                      <w:kern w:val="0"/>
                      <w:szCs w:val="21"/>
                      <w:highlight w:val="none"/>
                    </w:rPr>
                    <w:t>（mg/m</w:t>
                  </w:r>
                  <w:r>
                    <w:rPr>
                      <w:rFonts w:hint="default" w:ascii="Times New Roman" w:hAnsi="Times New Roman" w:cs="Times New Roman"/>
                      <w:b/>
                      <w:bCs/>
                      <w:color w:val="auto"/>
                      <w:kern w:val="0"/>
                      <w:szCs w:val="21"/>
                      <w:highlight w:val="none"/>
                      <w:vertAlign w:val="superscript"/>
                    </w:rPr>
                    <w:t>3</w:t>
                  </w:r>
                  <w:r>
                    <w:rPr>
                      <w:rFonts w:hint="default" w:ascii="Times New Roman" w:hAnsi="Times New Roman" w:cs="Times New Roman"/>
                      <w:b/>
                      <w:bCs/>
                      <w:color w:val="auto"/>
                      <w:kern w:val="0"/>
                      <w:szCs w:val="21"/>
                      <w:highlight w:val="none"/>
                    </w:rPr>
                    <w:t>）</w:t>
                  </w:r>
                </w:p>
              </w:tc>
            </w:tr>
            <w:tr w14:paraId="5CDC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239" w:type="dxa"/>
                  <w:vMerge w:val="continue"/>
                  <w:noWrap w:val="0"/>
                  <w:vAlign w:val="center"/>
                </w:tcPr>
                <w:p w14:paraId="103DD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0"/>
                      <w:szCs w:val="21"/>
                      <w:highlight w:val="none"/>
                    </w:rPr>
                  </w:pPr>
                </w:p>
              </w:tc>
              <w:tc>
                <w:tcPr>
                  <w:tcW w:w="1189" w:type="dxa"/>
                  <w:noWrap w:val="0"/>
                  <w:vAlign w:val="center"/>
                </w:tcPr>
                <w:p w14:paraId="567DB9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监控点</w:t>
                  </w:r>
                </w:p>
              </w:tc>
              <w:tc>
                <w:tcPr>
                  <w:tcW w:w="2706" w:type="dxa"/>
                  <w:noWrap w:val="0"/>
                  <w:vAlign w:val="center"/>
                </w:tcPr>
                <w:p w14:paraId="7C33D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施工阶段</w:t>
                  </w:r>
                </w:p>
              </w:tc>
              <w:tc>
                <w:tcPr>
                  <w:tcW w:w="1805" w:type="dxa"/>
                  <w:noWrap w:val="0"/>
                  <w:vAlign w:val="center"/>
                </w:tcPr>
                <w:p w14:paraId="12E5A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小时平均浓度限值</w:t>
                  </w:r>
                </w:p>
              </w:tc>
            </w:tr>
            <w:tr w14:paraId="407A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239" w:type="dxa"/>
                  <w:vMerge w:val="restart"/>
                  <w:noWrap w:val="0"/>
                  <w:vAlign w:val="center"/>
                </w:tcPr>
                <w:p w14:paraId="591E46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施工扬尘</w:t>
                  </w:r>
                </w:p>
                <w:p w14:paraId="469BD7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（即总悬浮颗粒物TSP）</w:t>
                  </w:r>
                </w:p>
              </w:tc>
              <w:tc>
                <w:tcPr>
                  <w:tcW w:w="1189" w:type="dxa"/>
                  <w:vMerge w:val="restart"/>
                  <w:noWrap w:val="0"/>
                  <w:vAlign w:val="center"/>
                </w:tcPr>
                <w:p w14:paraId="4B5FE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周界外浓度</w:t>
                  </w:r>
                </w:p>
                <w:p w14:paraId="1D4763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最高点</w:t>
                  </w:r>
                </w:p>
              </w:tc>
              <w:tc>
                <w:tcPr>
                  <w:tcW w:w="2706" w:type="dxa"/>
                  <w:noWrap w:val="0"/>
                  <w:vAlign w:val="center"/>
                </w:tcPr>
                <w:p w14:paraId="2C9273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拆除、土方及地基处理工程</w:t>
                  </w:r>
                </w:p>
              </w:tc>
              <w:tc>
                <w:tcPr>
                  <w:tcW w:w="1805" w:type="dxa"/>
                  <w:noWrap w:val="0"/>
                  <w:vAlign w:val="center"/>
                </w:tcPr>
                <w:p w14:paraId="7D26F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eastAsia" w:ascii="宋体" w:hAnsi="宋体" w:eastAsia="宋体" w:cs="宋体"/>
                      <w:color w:val="auto"/>
                      <w:szCs w:val="21"/>
                      <w:highlight w:val="none"/>
                    </w:rPr>
                    <w:t>≤</w:t>
                  </w:r>
                  <w:r>
                    <w:rPr>
                      <w:rFonts w:hint="default" w:ascii="Times New Roman" w:hAnsi="Times New Roman" w:cs="Times New Roman"/>
                      <w:color w:val="auto"/>
                      <w:kern w:val="0"/>
                      <w:szCs w:val="21"/>
                      <w:highlight w:val="none"/>
                    </w:rPr>
                    <w:t>0.8</w:t>
                  </w:r>
                </w:p>
              </w:tc>
            </w:tr>
            <w:tr w14:paraId="480D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2239" w:type="dxa"/>
                  <w:vMerge w:val="continue"/>
                  <w:noWrap w:val="0"/>
                  <w:vAlign w:val="center"/>
                </w:tcPr>
                <w:p w14:paraId="152688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p>
              </w:tc>
              <w:tc>
                <w:tcPr>
                  <w:tcW w:w="1189" w:type="dxa"/>
                  <w:vMerge w:val="continue"/>
                  <w:noWrap w:val="0"/>
                  <w:vAlign w:val="center"/>
                </w:tcPr>
                <w:p w14:paraId="0C550D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p>
              </w:tc>
              <w:tc>
                <w:tcPr>
                  <w:tcW w:w="2706" w:type="dxa"/>
                  <w:noWrap w:val="0"/>
                  <w:vAlign w:val="center"/>
                </w:tcPr>
                <w:p w14:paraId="4A09A4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基础、主体结构及装饰工程</w:t>
                  </w:r>
                </w:p>
              </w:tc>
              <w:tc>
                <w:tcPr>
                  <w:tcW w:w="1805" w:type="dxa"/>
                  <w:noWrap w:val="0"/>
                  <w:vAlign w:val="center"/>
                </w:tcPr>
                <w:p w14:paraId="2F4413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kern w:val="0"/>
                      <w:szCs w:val="21"/>
                      <w:highlight w:val="none"/>
                    </w:rPr>
                  </w:pPr>
                  <w:r>
                    <w:rPr>
                      <w:rFonts w:hint="eastAsia" w:ascii="宋体" w:hAnsi="宋体" w:eastAsia="宋体" w:cs="宋体"/>
                      <w:color w:val="auto"/>
                      <w:szCs w:val="21"/>
                      <w:highlight w:val="none"/>
                    </w:rPr>
                    <w:t>≤</w:t>
                  </w:r>
                  <w:r>
                    <w:rPr>
                      <w:rFonts w:hint="default" w:ascii="Times New Roman" w:hAnsi="Times New Roman" w:cs="Times New Roman"/>
                      <w:color w:val="auto"/>
                      <w:kern w:val="0"/>
                      <w:szCs w:val="21"/>
                      <w:highlight w:val="none"/>
                    </w:rPr>
                    <w:t>0.7</w:t>
                  </w:r>
                </w:p>
              </w:tc>
            </w:tr>
          </w:tbl>
          <w:p w14:paraId="035886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Pr>
                <w:rFonts w:hint="eastAsia" w:ascii="Times New Roman" w:hAnsi="Times New Roman" w:eastAsia="宋体" w:cs="Times New Roman"/>
                <w:snapToGrid w:val="0"/>
                <w:color w:val="auto"/>
                <w:spacing w:val="0"/>
                <w:w w:val="100"/>
                <w:kern w:val="0"/>
                <w:position w:val="0"/>
                <w:sz w:val="24"/>
                <w:szCs w:val="24"/>
                <w:highlight w:val="none"/>
                <w:lang w:eastAsia="zh-CN"/>
              </w:rPr>
            </w:pPr>
            <w:r>
              <w:rPr>
                <w:rFonts w:hint="eastAsia" w:ascii="Times New Roman" w:hAnsi="Times New Roman" w:eastAsia="宋体" w:cs="Times New Roman"/>
                <w:snapToGrid w:val="0"/>
                <w:color w:val="auto"/>
                <w:spacing w:val="0"/>
                <w:w w:val="100"/>
                <w:kern w:val="0"/>
                <w:position w:val="0"/>
                <w:sz w:val="24"/>
                <w:szCs w:val="24"/>
                <w:highlight w:val="none"/>
                <w:lang w:eastAsia="zh-CN"/>
              </w:rPr>
              <w:t>（</w:t>
            </w:r>
            <w:r>
              <w:rPr>
                <w:rFonts w:hint="eastAsia" w:ascii="Times New Roman" w:hAnsi="Times New Roman" w:eastAsia="宋体" w:cs="Times New Roman"/>
                <w:snapToGrid w:val="0"/>
                <w:color w:val="auto"/>
                <w:spacing w:val="0"/>
                <w:w w:val="100"/>
                <w:kern w:val="0"/>
                <w:position w:val="0"/>
                <w:sz w:val="24"/>
                <w:szCs w:val="24"/>
                <w:highlight w:val="none"/>
                <w:lang w:val="en-US" w:eastAsia="zh-CN"/>
              </w:rPr>
              <w:t>2</w:t>
            </w:r>
            <w:r>
              <w:rPr>
                <w:rFonts w:hint="eastAsia" w:ascii="Times New Roman" w:hAnsi="Times New Roman" w:eastAsia="宋体" w:cs="Times New Roman"/>
                <w:snapToGrid w:val="0"/>
                <w:color w:val="auto"/>
                <w:spacing w:val="0"/>
                <w:w w:val="100"/>
                <w:kern w:val="0"/>
                <w:position w:val="0"/>
                <w:sz w:val="24"/>
                <w:szCs w:val="24"/>
                <w:highlight w:val="none"/>
                <w:lang w:eastAsia="zh-CN"/>
              </w:rPr>
              <w:t>）废水</w:t>
            </w:r>
          </w:p>
          <w:p w14:paraId="3BAA40C7">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eastAsia" w:cs="Times New Roman"/>
                <w:color w:val="auto"/>
                <w:spacing w:val="0"/>
                <w:w w:val="100"/>
                <w:kern w:val="0"/>
                <w:position w:val="0"/>
                <w:sz w:val="24"/>
                <w:szCs w:val="24"/>
                <w:highlight w:val="none"/>
                <w:lang w:val="en-US" w:eastAsia="zh-CN"/>
              </w:rPr>
              <w:t>施工废水综合利用，不外排</w:t>
            </w:r>
            <w:r>
              <w:rPr>
                <w:rFonts w:hint="default" w:ascii="Times New Roman" w:hAnsi="Times New Roman" w:eastAsia="宋体" w:cs="Times New Roman"/>
                <w:color w:val="auto"/>
                <w:spacing w:val="0"/>
                <w:w w:val="100"/>
                <w:kern w:val="0"/>
                <w:position w:val="0"/>
                <w:sz w:val="24"/>
                <w:szCs w:val="24"/>
                <w:highlight w:val="none"/>
                <w:lang w:val="en-US" w:eastAsia="zh-CN"/>
              </w:rPr>
              <w:t>。</w:t>
            </w:r>
          </w:p>
          <w:p w14:paraId="0C03E4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Pr>
                <w:rFonts w:hint="default" w:ascii="Times New Roman" w:hAnsi="Times New Roman" w:cs="Times New Roman"/>
                <w:snapToGrid w:val="0"/>
                <w:color w:val="auto"/>
                <w:spacing w:val="0"/>
                <w:w w:val="100"/>
                <w:kern w:val="0"/>
                <w:position w:val="0"/>
                <w:sz w:val="24"/>
                <w:szCs w:val="24"/>
                <w:highlight w:val="none"/>
              </w:rPr>
            </w:pPr>
            <w:r>
              <w:rPr>
                <w:rFonts w:hint="default" w:ascii="Times New Roman" w:hAnsi="Times New Roman" w:eastAsia="宋体" w:cs="Times New Roman"/>
                <w:snapToGrid w:val="0"/>
                <w:color w:val="auto"/>
                <w:spacing w:val="0"/>
                <w:w w:val="100"/>
                <w:kern w:val="0"/>
                <w:position w:val="0"/>
                <w:sz w:val="24"/>
                <w:szCs w:val="24"/>
                <w:highlight w:val="none"/>
                <w:lang w:eastAsia="zh-CN"/>
              </w:rPr>
              <w:t>（</w:t>
            </w:r>
            <w:r>
              <w:rPr>
                <w:rFonts w:hint="eastAsia" w:ascii="Times New Roman" w:hAnsi="Times New Roman" w:eastAsia="宋体" w:cs="Times New Roman"/>
                <w:snapToGrid w:val="0"/>
                <w:color w:val="auto"/>
                <w:spacing w:val="0"/>
                <w:w w:val="100"/>
                <w:kern w:val="0"/>
                <w:position w:val="0"/>
                <w:sz w:val="24"/>
                <w:szCs w:val="24"/>
                <w:highlight w:val="none"/>
                <w:lang w:val="en-US" w:eastAsia="zh-CN"/>
              </w:rPr>
              <w:t>3</w:t>
            </w:r>
            <w:r>
              <w:rPr>
                <w:rFonts w:hint="default" w:ascii="Times New Roman" w:hAnsi="Times New Roman" w:eastAsia="宋体" w:cs="Times New Roman"/>
                <w:snapToGrid w:val="0"/>
                <w:color w:val="auto"/>
                <w:spacing w:val="0"/>
                <w:w w:val="100"/>
                <w:kern w:val="0"/>
                <w:position w:val="0"/>
                <w:sz w:val="24"/>
                <w:szCs w:val="24"/>
                <w:highlight w:val="none"/>
                <w:lang w:eastAsia="zh-CN"/>
              </w:rPr>
              <w:t>）</w:t>
            </w:r>
            <w:r>
              <w:rPr>
                <w:rFonts w:hint="default" w:ascii="Times New Roman" w:hAnsi="Times New Roman" w:cs="Times New Roman"/>
                <w:snapToGrid w:val="0"/>
                <w:color w:val="auto"/>
                <w:spacing w:val="0"/>
                <w:w w:val="100"/>
                <w:kern w:val="0"/>
                <w:position w:val="0"/>
                <w:sz w:val="24"/>
                <w:szCs w:val="24"/>
                <w:highlight w:val="none"/>
              </w:rPr>
              <w:t>噪声</w:t>
            </w:r>
          </w:p>
          <w:p w14:paraId="02B09374">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cs="Times New Roman"/>
                <w:color w:val="auto"/>
                <w:spacing w:val="0"/>
                <w:w w:val="100"/>
                <w:kern w:val="0"/>
                <w:position w:val="0"/>
                <w:sz w:val="24"/>
                <w:szCs w:val="24"/>
                <w:highlight w:val="none"/>
              </w:rPr>
            </w:pPr>
            <w:r>
              <w:rPr>
                <w:rFonts w:hint="default" w:ascii="Times New Roman" w:hAnsi="Times New Roman" w:cs="Times New Roman"/>
                <w:color w:val="auto"/>
                <w:spacing w:val="0"/>
                <w:w w:val="100"/>
                <w:kern w:val="0"/>
                <w:position w:val="0"/>
                <w:sz w:val="24"/>
                <w:szCs w:val="24"/>
                <w:highlight w:val="none"/>
              </w:rPr>
              <w:t>施工期</w:t>
            </w:r>
            <w:r>
              <w:rPr>
                <w:rFonts w:hint="eastAsia" w:ascii="Times New Roman" w:hAnsi="Times New Roman" w:cs="Times New Roman"/>
                <w:color w:val="auto"/>
                <w:spacing w:val="0"/>
                <w:w w:val="100"/>
                <w:kern w:val="0"/>
                <w:position w:val="0"/>
                <w:sz w:val="24"/>
                <w:szCs w:val="24"/>
                <w:highlight w:val="none"/>
                <w:lang w:val="en-US" w:eastAsia="zh-CN"/>
              </w:rPr>
              <w:t>噪声</w:t>
            </w:r>
            <w:r>
              <w:rPr>
                <w:rFonts w:hint="default" w:ascii="Times New Roman" w:hAnsi="Times New Roman" w:cs="Times New Roman"/>
                <w:color w:val="auto"/>
                <w:spacing w:val="0"/>
                <w:w w:val="100"/>
                <w:kern w:val="0"/>
                <w:position w:val="0"/>
                <w:sz w:val="24"/>
                <w:szCs w:val="24"/>
                <w:highlight w:val="none"/>
              </w:rPr>
              <w:t>执行《建筑施工场界环境噪声排放标准》（GB12523-20</w:t>
            </w:r>
            <w:r>
              <w:rPr>
                <w:rFonts w:hint="eastAsia" w:cs="Times New Roman"/>
                <w:color w:val="auto"/>
                <w:spacing w:val="0"/>
                <w:w w:val="100"/>
                <w:kern w:val="0"/>
                <w:position w:val="0"/>
                <w:sz w:val="24"/>
                <w:szCs w:val="24"/>
                <w:highlight w:val="none"/>
                <w:lang w:val="en-US" w:eastAsia="zh-CN"/>
              </w:rPr>
              <w:t>25</w:t>
            </w:r>
            <w:r>
              <w:rPr>
                <w:rFonts w:hint="default" w:ascii="Times New Roman" w:hAnsi="Times New Roman" w:cs="Times New Roman"/>
                <w:color w:val="auto"/>
                <w:spacing w:val="0"/>
                <w:w w:val="100"/>
                <w:kern w:val="0"/>
                <w:position w:val="0"/>
                <w:sz w:val="24"/>
                <w:szCs w:val="24"/>
                <w:highlight w:val="none"/>
              </w:rPr>
              <w:t>）</w:t>
            </w:r>
            <w:r>
              <w:rPr>
                <w:rFonts w:hint="eastAsia" w:ascii="Times New Roman" w:hAnsi="Times New Roman" w:cs="Times New Roman"/>
                <w:color w:val="auto"/>
                <w:spacing w:val="0"/>
                <w:w w:val="100"/>
                <w:kern w:val="0"/>
                <w:position w:val="0"/>
                <w:sz w:val="24"/>
                <w:szCs w:val="24"/>
                <w:highlight w:val="none"/>
                <w:lang w:eastAsia="zh-CN"/>
              </w:rPr>
              <w:t>，</w:t>
            </w:r>
            <w:r>
              <w:rPr>
                <w:rFonts w:hint="default" w:ascii="Times New Roman" w:hAnsi="Times New Roman" w:cs="Times New Roman"/>
                <w:color w:val="auto"/>
                <w:spacing w:val="0"/>
                <w:w w:val="100"/>
                <w:kern w:val="0"/>
                <w:position w:val="0"/>
                <w:sz w:val="24"/>
                <w:szCs w:val="24"/>
                <w:highlight w:val="none"/>
              </w:rPr>
              <w:t>具体</w:t>
            </w:r>
            <w:r>
              <w:rPr>
                <w:rFonts w:hint="eastAsia" w:ascii="Times New Roman" w:hAnsi="Times New Roman" w:cs="Times New Roman"/>
                <w:color w:val="auto"/>
                <w:spacing w:val="0"/>
                <w:w w:val="100"/>
                <w:kern w:val="0"/>
                <w:position w:val="0"/>
                <w:sz w:val="24"/>
                <w:szCs w:val="24"/>
                <w:highlight w:val="none"/>
                <w:lang w:val="en-US" w:eastAsia="zh-CN"/>
              </w:rPr>
              <w:t>标准限值</w:t>
            </w:r>
            <w:r>
              <w:rPr>
                <w:rFonts w:hint="default" w:ascii="Times New Roman" w:hAnsi="Times New Roman" w:cs="Times New Roman"/>
                <w:color w:val="auto"/>
                <w:spacing w:val="0"/>
                <w:w w:val="100"/>
                <w:kern w:val="0"/>
                <w:position w:val="0"/>
                <w:sz w:val="24"/>
                <w:szCs w:val="24"/>
                <w:highlight w:val="none"/>
              </w:rPr>
              <w:t>见表</w:t>
            </w:r>
            <w:r>
              <w:rPr>
                <w:rFonts w:hint="eastAsia" w:ascii="Times New Roman" w:hAnsi="Times New Roman" w:cs="Times New Roman"/>
                <w:color w:val="auto"/>
                <w:spacing w:val="0"/>
                <w:w w:val="100"/>
                <w:kern w:val="0"/>
                <w:position w:val="0"/>
                <w:sz w:val="24"/>
                <w:szCs w:val="24"/>
                <w:highlight w:val="none"/>
                <w:lang w:val="en-US" w:eastAsia="zh-CN"/>
              </w:rPr>
              <w:t>3-</w:t>
            </w:r>
            <w:r>
              <w:rPr>
                <w:rFonts w:hint="eastAsia" w:cs="Times New Roman"/>
                <w:color w:val="auto"/>
                <w:spacing w:val="0"/>
                <w:w w:val="100"/>
                <w:kern w:val="0"/>
                <w:position w:val="0"/>
                <w:sz w:val="24"/>
                <w:szCs w:val="24"/>
                <w:highlight w:val="none"/>
                <w:lang w:val="en-US" w:eastAsia="zh-CN"/>
              </w:rPr>
              <w:t>10</w:t>
            </w:r>
            <w:r>
              <w:rPr>
                <w:rFonts w:hint="default" w:ascii="Times New Roman" w:hAnsi="Times New Roman" w:cs="Times New Roman"/>
                <w:color w:val="auto"/>
                <w:spacing w:val="0"/>
                <w:w w:val="100"/>
                <w:kern w:val="0"/>
                <w:position w:val="0"/>
                <w:sz w:val="24"/>
                <w:szCs w:val="24"/>
                <w:highlight w:val="none"/>
              </w:rPr>
              <w:t>。</w:t>
            </w:r>
          </w:p>
          <w:p w14:paraId="2AB5795F">
            <w:pPr>
              <w:spacing w:before="72"/>
              <w:ind w:firstLine="442"/>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表</w:t>
            </w:r>
            <w:r>
              <w:rPr>
                <w:rFonts w:hint="eastAsia" w:ascii="Times New Roman" w:hAnsi="Times New Roman"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10</w:t>
            </w:r>
            <w:r>
              <w:rPr>
                <w:rFonts w:hint="default" w:ascii="Times New Roman" w:hAnsi="Times New Roman" w:cs="Times New Roman"/>
                <w:b/>
                <w:bCs/>
                <w:color w:val="auto"/>
                <w:sz w:val="21"/>
                <w:szCs w:val="21"/>
                <w:highlight w:val="none"/>
              </w:rPr>
              <w:t xml:space="preserve">  噪声</w:t>
            </w:r>
            <w:r>
              <w:rPr>
                <w:rFonts w:hint="eastAsia" w:ascii="Times New Roman" w:hAnsi="Times New Roman" w:cs="Times New Roman"/>
                <w:b/>
                <w:bCs/>
                <w:color w:val="auto"/>
                <w:sz w:val="21"/>
                <w:szCs w:val="21"/>
                <w:highlight w:val="none"/>
                <w:lang w:val="en-US" w:eastAsia="zh-CN"/>
              </w:rPr>
              <w:t>排放</w:t>
            </w:r>
            <w:r>
              <w:rPr>
                <w:rFonts w:hint="default" w:ascii="Times New Roman" w:hAnsi="Times New Roman" w:cs="Times New Roman"/>
                <w:b/>
                <w:bCs/>
                <w:color w:val="auto"/>
                <w:sz w:val="21"/>
                <w:szCs w:val="21"/>
                <w:highlight w:val="none"/>
              </w:rPr>
              <w:t>标准      单位：dB（A）</w:t>
            </w:r>
          </w:p>
          <w:tbl>
            <w:tblPr>
              <w:tblStyle w:val="19"/>
              <w:tblW w:w="8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5"/>
              <w:gridCol w:w="967"/>
              <w:gridCol w:w="1106"/>
            </w:tblGrid>
            <w:tr w14:paraId="006B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5985" w:type="dxa"/>
                  <w:tcBorders>
                    <w:top w:val="single" w:color="auto" w:sz="4" w:space="0"/>
                    <w:bottom w:val="single" w:color="auto" w:sz="4" w:space="0"/>
                    <w:right w:val="single" w:color="auto" w:sz="4" w:space="0"/>
                  </w:tcBorders>
                  <w:noWrap w:val="0"/>
                  <w:vAlign w:val="center"/>
                </w:tcPr>
                <w:p w14:paraId="436EE69F">
                  <w:pPr>
                    <w:keepNext w:val="0"/>
                    <w:keepLines w:val="0"/>
                    <w:pageBreakBefore w:val="0"/>
                    <w:widowControl w:val="0"/>
                    <w:kinsoku/>
                    <w:wordWrap/>
                    <w:overflowPunct/>
                    <w:topLinePunct w:val="0"/>
                    <w:autoSpaceDE/>
                    <w:autoSpaceDN/>
                    <w:bidi w:val="0"/>
                    <w:adjustRightInd/>
                    <w:snapToGrid/>
                    <w:spacing w:line="360" w:lineRule="exact"/>
                    <w:contextualSpacing/>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47D3EBE1">
                  <w:pPr>
                    <w:keepNext w:val="0"/>
                    <w:keepLines w:val="0"/>
                    <w:pageBreakBefore w:val="0"/>
                    <w:widowControl w:val="0"/>
                    <w:kinsoku/>
                    <w:wordWrap/>
                    <w:overflowPunct/>
                    <w:topLinePunct w:val="0"/>
                    <w:autoSpaceDE/>
                    <w:autoSpaceDN/>
                    <w:bidi w:val="0"/>
                    <w:adjustRightInd/>
                    <w:snapToGrid/>
                    <w:spacing w:line="360" w:lineRule="exact"/>
                    <w:contextualSpacing/>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昼间</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6CC94B8">
                  <w:pPr>
                    <w:keepNext w:val="0"/>
                    <w:keepLines w:val="0"/>
                    <w:pageBreakBefore w:val="0"/>
                    <w:widowControl w:val="0"/>
                    <w:kinsoku/>
                    <w:wordWrap/>
                    <w:overflowPunct/>
                    <w:topLinePunct w:val="0"/>
                    <w:autoSpaceDE/>
                    <w:autoSpaceDN/>
                    <w:bidi w:val="0"/>
                    <w:adjustRightInd/>
                    <w:snapToGrid/>
                    <w:spacing w:line="360" w:lineRule="exact"/>
                    <w:contextualSpacing/>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夜间</w:t>
                  </w:r>
                </w:p>
              </w:tc>
            </w:tr>
            <w:tr w14:paraId="1EC0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985" w:type="dxa"/>
                  <w:tcBorders>
                    <w:top w:val="single" w:color="auto" w:sz="4" w:space="0"/>
                    <w:left w:val="single" w:color="auto" w:sz="4" w:space="0"/>
                    <w:bottom w:val="single" w:color="auto" w:sz="4" w:space="0"/>
                    <w:right w:val="single" w:color="auto" w:sz="4" w:space="0"/>
                  </w:tcBorders>
                  <w:noWrap w:val="0"/>
                  <w:vAlign w:val="center"/>
                </w:tcPr>
                <w:p w14:paraId="7A63831F">
                  <w:pPr>
                    <w:keepNext w:val="0"/>
                    <w:keepLines w:val="0"/>
                    <w:pageBreakBefore w:val="0"/>
                    <w:widowControl w:val="0"/>
                    <w:kinsoku/>
                    <w:wordWrap/>
                    <w:overflowPunct/>
                    <w:topLinePunct w:val="0"/>
                    <w:autoSpaceDE/>
                    <w:autoSpaceDN/>
                    <w:bidi w:val="0"/>
                    <w:adjustRightInd/>
                    <w:snapToGrid/>
                    <w:spacing w:line="360" w:lineRule="exact"/>
                    <w:contextualSpacing/>
                    <w:jc w:val="center"/>
                    <w:textAlignment w:val="auto"/>
                    <w:rPr>
                      <w:rFonts w:hint="default" w:ascii="Times New Roman" w:hAnsi="Times New Roman" w:cs="Times New Roman"/>
                      <w:bCs/>
                      <w:color w:val="auto"/>
                      <w:kern w:val="2"/>
                      <w:sz w:val="21"/>
                      <w:szCs w:val="21"/>
                      <w:highlight w:val="none"/>
                      <w:lang w:val="en-US" w:eastAsia="zh-CN" w:bidi="ar-SA"/>
                    </w:rPr>
                  </w:pPr>
                  <w:r>
                    <w:rPr>
                      <w:rFonts w:hint="default" w:ascii="Times New Roman" w:hAnsi="Times New Roman" w:cs="Times New Roman"/>
                      <w:color w:val="auto"/>
                      <w:spacing w:val="4"/>
                      <w:sz w:val="21"/>
                      <w:szCs w:val="21"/>
                      <w:highlight w:val="none"/>
                    </w:rPr>
                    <w:t>《建筑施工场界环境噪声排放标准》（GB12523-20</w:t>
                  </w:r>
                  <w:r>
                    <w:rPr>
                      <w:rFonts w:hint="eastAsia" w:cs="Times New Roman"/>
                      <w:color w:val="auto"/>
                      <w:spacing w:val="4"/>
                      <w:sz w:val="21"/>
                      <w:szCs w:val="21"/>
                      <w:highlight w:val="none"/>
                      <w:lang w:val="en-US" w:eastAsia="zh-CN"/>
                    </w:rPr>
                    <w:t>25</w:t>
                  </w:r>
                  <w:r>
                    <w:rPr>
                      <w:rFonts w:hint="default" w:ascii="Times New Roman" w:hAnsi="Times New Roman" w:cs="Times New Roman"/>
                      <w:color w:val="auto"/>
                      <w:spacing w:val="4"/>
                      <w:sz w:val="21"/>
                      <w:szCs w:val="21"/>
                      <w:highlight w:val="none"/>
                    </w:rPr>
                    <w:t>）</w:t>
                  </w:r>
                </w:p>
              </w:tc>
              <w:tc>
                <w:tcPr>
                  <w:tcW w:w="967" w:type="dxa"/>
                  <w:tcBorders>
                    <w:top w:val="single" w:color="auto" w:sz="4" w:space="0"/>
                    <w:left w:val="single" w:color="auto" w:sz="4" w:space="0"/>
                    <w:bottom w:val="single" w:color="auto" w:sz="4" w:space="0"/>
                    <w:right w:val="single" w:color="auto" w:sz="4" w:space="0"/>
                  </w:tcBorders>
                  <w:noWrap w:val="0"/>
                  <w:vAlign w:val="center"/>
                </w:tcPr>
                <w:p w14:paraId="3D14C3A7">
                  <w:pPr>
                    <w:keepNext w:val="0"/>
                    <w:keepLines w:val="0"/>
                    <w:pageBreakBefore w:val="0"/>
                    <w:widowControl w:val="0"/>
                    <w:kinsoku/>
                    <w:wordWrap/>
                    <w:overflowPunct/>
                    <w:topLinePunct w:val="0"/>
                    <w:autoSpaceDE/>
                    <w:autoSpaceDN/>
                    <w:bidi w:val="0"/>
                    <w:adjustRightInd/>
                    <w:snapToGrid/>
                    <w:spacing w:line="360" w:lineRule="exact"/>
                    <w:contextualSpacing/>
                    <w:jc w:val="center"/>
                    <w:textAlignment w:val="auto"/>
                    <w:rPr>
                      <w:rFonts w:hint="eastAsia"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70</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2BD277E4">
                  <w:pPr>
                    <w:keepNext w:val="0"/>
                    <w:keepLines w:val="0"/>
                    <w:pageBreakBefore w:val="0"/>
                    <w:widowControl w:val="0"/>
                    <w:kinsoku/>
                    <w:wordWrap/>
                    <w:overflowPunct/>
                    <w:topLinePunct w:val="0"/>
                    <w:autoSpaceDE/>
                    <w:autoSpaceDN/>
                    <w:bidi w:val="0"/>
                    <w:adjustRightInd/>
                    <w:snapToGrid/>
                    <w:spacing w:line="360" w:lineRule="exact"/>
                    <w:contextualSpacing/>
                    <w:jc w:val="center"/>
                    <w:textAlignment w:val="auto"/>
                    <w:rPr>
                      <w:rFonts w:hint="eastAsia"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55</w:t>
                  </w:r>
                </w:p>
              </w:tc>
            </w:tr>
          </w:tbl>
          <w:p w14:paraId="354DE3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（4）固体废物</w:t>
            </w:r>
          </w:p>
          <w:p w14:paraId="412956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一般工业固体废物贮存、处置执行《一般工业固体废物贮存和填埋污染控制标准》（GB18599-2020）中的有关规定。</w:t>
            </w:r>
          </w:p>
        </w:tc>
      </w:tr>
      <w:tr w14:paraId="49A3C1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8" w:hRule="atLeast"/>
          <w:jc w:val="center"/>
        </w:trPr>
        <w:tc>
          <w:tcPr>
            <w:tcW w:w="786" w:type="dxa"/>
            <w:noWrap w:val="0"/>
            <w:vAlign w:val="center"/>
          </w:tcPr>
          <w:p w14:paraId="65E545EF">
            <w:pPr>
              <w:adjustRightInd w:val="0"/>
              <w:snapToGrid w:val="0"/>
              <w:jc w:val="center"/>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其他</w:t>
            </w:r>
          </w:p>
        </w:tc>
        <w:tc>
          <w:tcPr>
            <w:tcW w:w="8253" w:type="dxa"/>
            <w:noWrap w:val="0"/>
            <w:vAlign w:val="center"/>
          </w:tcPr>
          <w:p w14:paraId="528D7A88">
            <w:pPr>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w:t>
            </w:r>
            <w:r>
              <w:rPr>
                <w:rFonts w:hint="eastAsia" w:ascii="Times New Roman" w:hAnsi="Times New Roman" w:cs="Times New Roman"/>
                <w:color w:val="auto"/>
                <w:kern w:val="0"/>
                <w:sz w:val="24"/>
                <w:szCs w:val="24"/>
                <w:lang w:val="en-US" w:eastAsia="zh-CN"/>
              </w:rPr>
              <w:t>工程</w:t>
            </w:r>
            <w:r>
              <w:rPr>
                <w:rFonts w:hint="default" w:ascii="Times New Roman" w:hAnsi="Times New Roman" w:cs="Times New Roman"/>
                <w:color w:val="auto"/>
                <w:kern w:val="0"/>
                <w:sz w:val="24"/>
                <w:szCs w:val="24"/>
                <w:lang w:val="en-US" w:eastAsia="zh-CN"/>
              </w:rPr>
              <w:t>为</w:t>
            </w:r>
            <w:r>
              <w:rPr>
                <w:rFonts w:hint="eastAsia" w:cs="Times New Roman"/>
                <w:color w:val="auto"/>
                <w:kern w:val="0"/>
                <w:sz w:val="24"/>
                <w:szCs w:val="24"/>
                <w:lang w:val="en-US" w:eastAsia="zh-CN"/>
              </w:rPr>
              <w:t>铁路桥基础冲刷病害整治</w:t>
            </w:r>
            <w:r>
              <w:rPr>
                <w:rFonts w:hint="default" w:ascii="Times New Roman" w:hAnsi="Times New Roman" w:cs="Times New Roman"/>
                <w:color w:val="auto"/>
                <w:kern w:val="0"/>
                <w:sz w:val="24"/>
                <w:szCs w:val="24"/>
                <w:lang w:val="en-US" w:eastAsia="zh-CN"/>
              </w:rPr>
              <w:t>工程，主要污染物在施工期产生，施工废水经沉淀池收集处理后回用不外排，生活污水依托周边</w:t>
            </w:r>
            <w:r>
              <w:rPr>
                <w:rFonts w:hint="eastAsia" w:cs="Times New Roman"/>
                <w:color w:val="auto"/>
                <w:kern w:val="0"/>
                <w:sz w:val="24"/>
                <w:szCs w:val="24"/>
                <w:lang w:val="en-US" w:eastAsia="zh-CN"/>
              </w:rPr>
              <w:t>村民</w:t>
            </w:r>
            <w:r>
              <w:rPr>
                <w:rFonts w:hint="default" w:ascii="Times New Roman" w:hAnsi="Times New Roman" w:cs="Times New Roman"/>
                <w:color w:val="auto"/>
                <w:kern w:val="0"/>
                <w:sz w:val="24"/>
                <w:szCs w:val="24"/>
                <w:lang w:val="en-US" w:eastAsia="zh-CN"/>
              </w:rPr>
              <w:t>化粪池处理后用于农田施肥</w:t>
            </w:r>
            <w:r>
              <w:rPr>
                <w:rFonts w:hint="eastAsia" w:cs="Times New Roman"/>
                <w:color w:val="auto"/>
                <w:kern w:val="0"/>
                <w:sz w:val="24"/>
                <w:szCs w:val="24"/>
                <w:lang w:val="en-US" w:eastAsia="zh-CN"/>
              </w:rPr>
              <w:t>，综合利用</w:t>
            </w:r>
            <w:r>
              <w:rPr>
                <w:rFonts w:hint="default" w:ascii="Times New Roman" w:hAnsi="Times New Roman" w:cs="Times New Roman"/>
                <w:color w:val="auto"/>
                <w:kern w:val="0"/>
                <w:sz w:val="24"/>
                <w:szCs w:val="24"/>
                <w:lang w:val="en-US" w:eastAsia="zh-CN"/>
              </w:rPr>
              <w:t>；施工期大气污染以施工器械燃油尾气和施工扬尘为主，污染源分散于</w:t>
            </w:r>
            <w:r>
              <w:rPr>
                <w:rFonts w:hint="eastAsia" w:cs="Times New Roman"/>
                <w:color w:val="auto"/>
                <w:kern w:val="0"/>
                <w:sz w:val="24"/>
                <w:szCs w:val="24"/>
                <w:lang w:val="en-US" w:eastAsia="zh-CN"/>
              </w:rPr>
              <w:t>施工段处</w:t>
            </w:r>
            <w:r>
              <w:rPr>
                <w:rFonts w:hint="default" w:ascii="Times New Roman" w:hAnsi="Times New Roman" w:cs="Times New Roman"/>
                <w:color w:val="auto"/>
                <w:kern w:val="0"/>
                <w:sz w:val="24"/>
                <w:szCs w:val="24"/>
                <w:lang w:val="en-US" w:eastAsia="zh-CN"/>
              </w:rPr>
              <w:t>，影响轻微。</w:t>
            </w:r>
          </w:p>
          <w:p w14:paraId="1BBA12BB">
            <w:pPr>
              <w:keepNext w:val="0"/>
              <w:keepLines w:val="0"/>
              <w:pageBreakBefore w:val="0"/>
              <w:widowControl w:val="0"/>
              <w:kinsoku/>
              <w:wordWrap/>
              <w:overflowPunct w:val="0"/>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因此，根据《建设项目主要污染物排放总量指标审核及管理暂行办法》（环发〔2014〕19号）的要求和国家</w:t>
            </w:r>
            <w:r>
              <w:rPr>
                <w:rFonts w:hint="eastAsia" w:ascii="Times New Roman" w:hAnsi="Times New Roman"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十四五</w:t>
            </w:r>
            <w:r>
              <w:rPr>
                <w:rFonts w:hint="eastAsia" w:ascii="Times New Roman" w:hAnsi="Times New Roman"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总量控制指标，结合</w:t>
            </w:r>
            <w:r>
              <w:rPr>
                <w:rFonts w:hint="eastAsia" w:ascii="Times New Roman" w:hAnsi="Times New Roman" w:cs="Times New Roman"/>
                <w:color w:val="auto"/>
                <w:kern w:val="0"/>
                <w:sz w:val="24"/>
                <w:szCs w:val="24"/>
                <w:lang w:val="en-US" w:eastAsia="zh-CN"/>
              </w:rPr>
              <w:t>工程</w:t>
            </w:r>
            <w:r>
              <w:rPr>
                <w:rFonts w:hint="default" w:ascii="Times New Roman" w:hAnsi="Times New Roman" w:cs="Times New Roman"/>
                <w:color w:val="auto"/>
                <w:kern w:val="0"/>
                <w:sz w:val="24"/>
                <w:szCs w:val="24"/>
                <w:lang w:val="en-US" w:eastAsia="zh-CN"/>
              </w:rPr>
              <w:t>的工艺特征、排污特点和周围环境情况，本</w:t>
            </w:r>
            <w:r>
              <w:rPr>
                <w:rFonts w:hint="eastAsia" w:ascii="Times New Roman" w:hAnsi="Times New Roman" w:cs="Times New Roman"/>
                <w:color w:val="auto"/>
                <w:kern w:val="0"/>
                <w:sz w:val="24"/>
                <w:szCs w:val="24"/>
                <w:lang w:val="en-US" w:eastAsia="zh-CN"/>
              </w:rPr>
              <w:t>工程</w:t>
            </w:r>
            <w:r>
              <w:rPr>
                <w:rFonts w:hint="default" w:ascii="Times New Roman" w:hAnsi="Times New Roman" w:cs="Times New Roman"/>
                <w:color w:val="auto"/>
                <w:kern w:val="0"/>
                <w:sz w:val="24"/>
                <w:szCs w:val="24"/>
                <w:lang w:val="en-US" w:eastAsia="zh-CN"/>
              </w:rPr>
              <w:t>可不设污染物总量控制指标。</w:t>
            </w:r>
          </w:p>
        </w:tc>
      </w:tr>
    </w:tbl>
    <w:p w14:paraId="16480DA9">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黑体" w:hAnsi="黑体" w:eastAsia="黑体"/>
          <w:snapToGrid w:val="0"/>
          <w:color w:val="auto"/>
          <w:sz w:val="30"/>
          <w:szCs w:val="30"/>
          <w:lang w:val="en-US" w:eastAsia="zh-CN"/>
        </w:rPr>
      </w:pPr>
      <w:r>
        <w:rPr>
          <w:rFonts w:ascii="黑体" w:hAnsi="黑体" w:eastAsia="黑体"/>
          <w:snapToGrid w:val="0"/>
          <w:color w:val="auto"/>
          <w:sz w:val="36"/>
          <w:szCs w:val="36"/>
        </w:rPr>
        <w:br w:type="page"/>
      </w:r>
      <w:r>
        <w:rPr>
          <w:rFonts w:hint="eastAsia" w:ascii="黑体" w:hAnsi="黑体" w:eastAsia="黑体"/>
          <w:snapToGrid w:val="0"/>
          <w:color w:val="auto"/>
          <w:sz w:val="30"/>
          <w:szCs w:val="30"/>
        </w:rPr>
        <w:t>四、</w:t>
      </w:r>
      <w:r>
        <w:rPr>
          <w:rFonts w:hint="eastAsia" w:ascii="黑体" w:hAnsi="黑体" w:eastAsia="黑体"/>
          <w:snapToGrid w:val="0"/>
          <w:color w:val="auto"/>
          <w:sz w:val="30"/>
          <w:szCs w:val="30"/>
          <w:lang w:val="en-US" w:eastAsia="zh-CN"/>
        </w:rPr>
        <w:t>生态</w:t>
      </w:r>
      <w:r>
        <w:rPr>
          <w:rFonts w:hint="eastAsia" w:ascii="黑体" w:hAnsi="黑体" w:eastAsia="黑体"/>
          <w:snapToGrid w:val="0"/>
          <w:color w:val="auto"/>
          <w:sz w:val="30"/>
          <w:szCs w:val="30"/>
        </w:rPr>
        <w:t>环境影响</w:t>
      </w:r>
      <w:r>
        <w:rPr>
          <w:rFonts w:hint="eastAsia" w:ascii="黑体" w:hAnsi="黑体" w:eastAsia="黑体"/>
          <w:snapToGrid w:val="0"/>
          <w:color w:val="auto"/>
          <w:sz w:val="30"/>
          <w:szCs w:val="30"/>
          <w:lang w:val="en-US" w:eastAsia="zh-CN"/>
        </w:rPr>
        <w:t>分析</w:t>
      </w:r>
    </w:p>
    <w:tbl>
      <w:tblPr>
        <w:tblStyle w:val="19"/>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1"/>
        <w:gridCol w:w="8090"/>
      </w:tblGrid>
      <w:tr w14:paraId="536EA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38" w:hRule="atLeast"/>
          <w:jc w:val="center"/>
        </w:trPr>
        <w:tc>
          <w:tcPr>
            <w:tcW w:w="891" w:type="dxa"/>
            <w:noWrap w:val="0"/>
            <w:tcMar>
              <w:left w:w="28" w:type="dxa"/>
              <w:right w:w="28" w:type="dxa"/>
            </w:tcMar>
            <w:vAlign w:val="center"/>
          </w:tcPr>
          <w:p w14:paraId="3D642EFE">
            <w:pPr>
              <w:pStyle w:val="18"/>
              <w:adjustRightInd w:val="0"/>
              <w:snapToGrid w:val="0"/>
              <w:spacing w:before="0" w:beforeAutospacing="0" w:after="0" w:afterAutospacing="0"/>
              <w:jc w:val="center"/>
              <w:rPr>
                <w:rFonts w:hint="default" w:cs="宋体"/>
                <w:bCs/>
                <w:color w:val="auto"/>
                <w:kern w:val="2"/>
                <w:sz w:val="21"/>
                <w:szCs w:val="21"/>
                <w:lang w:val="en-US" w:eastAsia="zh-CN"/>
              </w:rPr>
            </w:pPr>
            <w:r>
              <w:rPr>
                <w:rFonts w:hint="eastAsia" w:cs="宋体"/>
                <w:color w:val="auto"/>
                <w:kern w:val="2"/>
                <w:sz w:val="24"/>
                <w:szCs w:val="24"/>
                <w:lang w:val="en-US" w:eastAsia="zh-CN"/>
              </w:rPr>
              <w:t>施工期生态环境影响分析</w:t>
            </w:r>
          </w:p>
        </w:tc>
        <w:tc>
          <w:tcPr>
            <w:tcW w:w="8090" w:type="dxa"/>
            <w:noWrap w:val="0"/>
            <w:vAlign w:val="center"/>
          </w:tcPr>
          <w:p w14:paraId="34A765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pacing w:val="0"/>
                <w:w w:val="100"/>
                <w:position w:val="0"/>
                <w:sz w:val="24"/>
                <w:szCs w:val="24"/>
                <w:highlight w:val="none"/>
                <w:lang w:val="en-US" w:eastAsia="zh-CN"/>
              </w:rPr>
            </w:pPr>
            <w:r>
              <w:rPr>
                <w:rFonts w:hint="default" w:ascii="Times New Roman" w:hAnsi="Times New Roman" w:cs="Times New Roman"/>
                <w:b/>
                <w:bCs/>
                <w:color w:val="auto"/>
                <w:spacing w:val="0"/>
                <w:w w:val="100"/>
                <w:position w:val="0"/>
                <w:sz w:val="24"/>
                <w:szCs w:val="24"/>
                <w:highlight w:val="none"/>
                <w:lang w:val="en-US" w:eastAsia="zh-CN"/>
              </w:rPr>
              <w:t>1、生态环境影响分析</w:t>
            </w:r>
          </w:p>
          <w:p w14:paraId="619C400E">
            <w:pPr>
              <w:pStyle w:val="23"/>
              <w:keepNext w:val="0"/>
              <w:keepLines w:val="0"/>
              <w:pageBreakBefore w:val="0"/>
              <w:widowControl w:val="0"/>
              <w:kinsoku/>
              <w:wordWrap/>
              <w:overflowPunct w:val="0"/>
              <w:topLinePunct w:val="0"/>
              <w:autoSpaceDE/>
              <w:autoSpaceDN/>
              <w:bidi w:val="0"/>
              <w:adjustRightInd/>
              <w:snapToGrid/>
              <w:spacing w:line="360" w:lineRule="auto"/>
              <w:ind w:leftChars="0" w:firstLine="480" w:firstLineChars="200"/>
              <w:textAlignment w:val="baseline"/>
              <w:rPr>
                <w:rFonts w:hint="default" w:ascii="Times New Roman" w:hAnsi="Times New Roman" w:cs="Times New Roman"/>
                <w:b w:val="0"/>
                <w:bCs/>
                <w:color w:val="auto"/>
                <w:spacing w:val="0"/>
                <w:sz w:val="24"/>
                <w:szCs w:val="24"/>
              </w:rPr>
            </w:pPr>
            <w:r>
              <w:rPr>
                <w:rFonts w:hint="eastAsia" w:ascii="Times New Roman" w:hAnsi="Times New Roman" w:cs="Times New Roman"/>
                <w:color w:val="auto"/>
                <w:spacing w:val="0"/>
                <w:w w:val="100"/>
                <w:position w:val="0"/>
                <w:sz w:val="24"/>
                <w:szCs w:val="24"/>
                <w:highlight w:val="none"/>
                <w:lang w:val="en-US" w:eastAsia="zh-CN"/>
              </w:rPr>
              <w:t>本项目为阳安线上行K155+746</w:t>
            </w:r>
            <w:r>
              <w:rPr>
                <w:rFonts w:hint="eastAsia" w:cs="Times New Roman"/>
                <w:color w:val="auto"/>
                <w:spacing w:val="0"/>
                <w:w w:val="100"/>
                <w:position w:val="0"/>
                <w:sz w:val="24"/>
                <w:szCs w:val="24"/>
                <w:highlight w:val="none"/>
                <w:lang w:val="en-US" w:eastAsia="zh-CN"/>
              </w:rPr>
              <w:t>汉江3号桥基础冲刷病害整治工程</w:t>
            </w:r>
            <w:r>
              <w:rPr>
                <w:rFonts w:hint="eastAsia" w:ascii="Times New Roman" w:hAnsi="Times New Roman" w:cs="Times New Roman"/>
                <w:color w:val="auto"/>
                <w:spacing w:val="0"/>
                <w:w w:val="100"/>
                <w:position w:val="0"/>
                <w:sz w:val="24"/>
                <w:szCs w:val="24"/>
                <w:highlight w:val="none"/>
                <w:lang w:val="en-US" w:eastAsia="zh-CN"/>
              </w:rPr>
              <w:t>，主要建设内容为建设桩基和承台对桥墩基础进行加固，</w:t>
            </w:r>
            <w:r>
              <w:rPr>
                <w:rFonts w:hint="default" w:ascii="Times New Roman" w:hAnsi="Times New Roman" w:cs="Times New Roman"/>
                <w:b w:val="0"/>
                <w:bCs/>
                <w:color w:val="auto"/>
                <w:spacing w:val="0"/>
                <w:sz w:val="24"/>
                <w:szCs w:val="24"/>
              </w:rPr>
              <w:t>生态环境影响主要集中在施工期，</w:t>
            </w:r>
            <w:r>
              <w:rPr>
                <w:rFonts w:hint="eastAsia" w:ascii="Times New Roman" w:hAnsi="Times New Roman" w:cs="Times New Roman"/>
                <w:b w:val="0"/>
                <w:bCs/>
                <w:color w:val="auto"/>
                <w:spacing w:val="0"/>
                <w:sz w:val="24"/>
                <w:szCs w:val="24"/>
                <w:lang w:eastAsia="zh-CN"/>
              </w:rPr>
              <w:t>工程</w:t>
            </w:r>
            <w:r>
              <w:rPr>
                <w:rFonts w:hint="default" w:ascii="Times New Roman" w:hAnsi="Times New Roman" w:cs="Times New Roman"/>
                <w:b w:val="0"/>
                <w:bCs/>
                <w:color w:val="auto"/>
                <w:spacing w:val="0"/>
                <w:sz w:val="24"/>
                <w:szCs w:val="24"/>
              </w:rPr>
              <w:t>施工过程中要</w:t>
            </w:r>
            <w:r>
              <w:rPr>
                <w:rFonts w:hint="eastAsia" w:ascii="Times New Roman" w:hAnsi="Times New Roman" w:cs="Times New Roman"/>
                <w:b w:val="0"/>
                <w:bCs/>
                <w:color w:val="auto"/>
                <w:spacing w:val="0"/>
                <w:sz w:val="24"/>
                <w:szCs w:val="24"/>
                <w:lang w:val="en-US" w:eastAsia="zh-CN"/>
              </w:rPr>
              <w:t>修建施工便道、施工钻孔桩</w:t>
            </w:r>
            <w:r>
              <w:rPr>
                <w:rFonts w:hint="default" w:ascii="Times New Roman" w:hAnsi="Times New Roman" w:cs="Times New Roman"/>
                <w:b w:val="0"/>
                <w:bCs/>
                <w:color w:val="auto"/>
                <w:spacing w:val="0"/>
                <w:sz w:val="24"/>
                <w:szCs w:val="24"/>
              </w:rPr>
              <w:t>，而且有大量的施工机械及人员活动。施工</w:t>
            </w:r>
            <w:r>
              <w:rPr>
                <w:rFonts w:hint="eastAsia" w:ascii="Times New Roman" w:hAnsi="Times New Roman" w:cs="Times New Roman"/>
                <w:b w:val="0"/>
                <w:bCs/>
                <w:color w:val="auto"/>
                <w:spacing w:val="0"/>
                <w:sz w:val="24"/>
                <w:szCs w:val="24"/>
                <w:lang w:eastAsia="zh-CN"/>
              </w:rPr>
              <w:t>期间</w:t>
            </w:r>
            <w:r>
              <w:rPr>
                <w:rFonts w:hint="default" w:ascii="Times New Roman" w:hAnsi="Times New Roman" w:cs="Times New Roman"/>
                <w:b w:val="0"/>
                <w:bCs/>
                <w:color w:val="auto"/>
                <w:spacing w:val="0"/>
                <w:sz w:val="24"/>
                <w:szCs w:val="24"/>
              </w:rPr>
              <w:t>对区域生态环境的影响主要表现在</w:t>
            </w:r>
            <w:r>
              <w:rPr>
                <w:rFonts w:hint="eastAsia" w:ascii="Times New Roman" w:hAnsi="Times New Roman" w:cs="Times New Roman"/>
                <w:b w:val="0"/>
                <w:bCs/>
                <w:color w:val="auto"/>
                <w:spacing w:val="0"/>
                <w:sz w:val="24"/>
                <w:szCs w:val="24"/>
                <w:lang w:val="en-US" w:eastAsia="zh-CN"/>
              </w:rPr>
              <w:t>修建施工便道、钻孔桩对水生生态环境的影响，以及临时占地等</w:t>
            </w:r>
            <w:r>
              <w:rPr>
                <w:rFonts w:hint="default" w:ascii="Times New Roman" w:hAnsi="Times New Roman" w:cs="Times New Roman"/>
                <w:b w:val="0"/>
                <w:bCs/>
                <w:color w:val="auto"/>
                <w:spacing w:val="0"/>
                <w:sz w:val="24"/>
                <w:szCs w:val="24"/>
              </w:rPr>
              <w:t>土壤扰动</w:t>
            </w:r>
            <w:r>
              <w:rPr>
                <w:rFonts w:hint="eastAsia" w:ascii="Times New Roman" w:hAnsi="Times New Roman" w:cs="Times New Roman"/>
                <w:b w:val="0"/>
                <w:bCs/>
                <w:color w:val="auto"/>
                <w:spacing w:val="0"/>
                <w:sz w:val="24"/>
                <w:szCs w:val="24"/>
                <w:lang w:val="en-US" w:eastAsia="zh-CN"/>
              </w:rPr>
              <w:t>对</w:t>
            </w:r>
            <w:r>
              <w:rPr>
                <w:rFonts w:hint="default" w:ascii="Times New Roman" w:hAnsi="Times New Roman" w:cs="Times New Roman"/>
                <w:b w:val="0"/>
                <w:bCs/>
                <w:color w:val="auto"/>
                <w:spacing w:val="0"/>
                <w:sz w:val="24"/>
                <w:szCs w:val="24"/>
              </w:rPr>
              <w:t>地表植被的破坏，</w:t>
            </w:r>
            <w:r>
              <w:rPr>
                <w:rFonts w:hint="eastAsia" w:ascii="Times New Roman" w:hAnsi="Times New Roman" w:cs="Times New Roman"/>
                <w:b w:val="0"/>
                <w:bCs/>
                <w:color w:val="auto"/>
                <w:spacing w:val="0"/>
                <w:sz w:val="24"/>
                <w:szCs w:val="24"/>
                <w:lang w:eastAsia="zh-CN"/>
              </w:rPr>
              <w:t>造成水土流失、破坏动物栖息环境</w:t>
            </w:r>
            <w:r>
              <w:rPr>
                <w:rFonts w:hint="default" w:ascii="Times New Roman" w:hAnsi="Times New Roman" w:cs="Times New Roman"/>
                <w:b w:val="0"/>
                <w:bCs/>
                <w:color w:val="auto"/>
                <w:spacing w:val="0"/>
                <w:sz w:val="24"/>
                <w:szCs w:val="24"/>
              </w:rPr>
              <w:t>。</w:t>
            </w:r>
          </w:p>
          <w:p w14:paraId="0EFC04D7">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Times New Roman" w:hAnsi="Times New Roman" w:eastAsia="宋体" w:cs="Times New Roman"/>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val="en-US" w:eastAsia="zh-CN"/>
              </w:rPr>
              <w:t>1</w:t>
            </w:r>
            <w:r>
              <w:rPr>
                <w:rFonts w:hint="default" w:ascii="Times New Roman" w:hAnsi="Times New Roman" w:eastAsia="宋体"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val="en-US" w:eastAsia="zh-CN"/>
              </w:rPr>
              <w:t>对陆生生态的影响</w:t>
            </w:r>
          </w:p>
          <w:p w14:paraId="4C850348">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eastAsia" w:eastAsia="宋体" w:cs="宋体"/>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val="en-US" w:eastAsia="zh-CN"/>
              </w:rPr>
              <w:t>①对土地利用格</w:t>
            </w:r>
            <w:r>
              <w:rPr>
                <w:rFonts w:hint="eastAsia" w:eastAsia="宋体" w:cs="宋体"/>
                <w:b w:val="0"/>
                <w:bCs/>
                <w:color w:val="auto"/>
                <w:spacing w:val="0"/>
                <w:sz w:val="24"/>
                <w:szCs w:val="24"/>
                <w:lang w:val="en-US" w:eastAsia="zh-CN"/>
              </w:rPr>
              <w:t>局的影响</w:t>
            </w:r>
          </w:p>
          <w:p w14:paraId="788B1AD6">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eastAsia" w:cs="宋体"/>
                <w:b w:val="0"/>
                <w:bCs/>
                <w:color w:val="auto"/>
                <w:spacing w:val="0"/>
                <w:sz w:val="24"/>
                <w:szCs w:val="24"/>
                <w:lang w:val="en-US" w:eastAsia="zh-CN"/>
              </w:rPr>
            </w:pPr>
            <w:r>
              <w:rPr>
                <w:rFonts w:hint="eastAsia" w:ascii="宋体" w:hAnsi="宋体" w:eastAsia="宋体" w:cs="宋体"/>
                <w:color w:val="auto"/>
                <w:kern w:val="0"/>
                <w:sz w:val="24"/>
                <w:szCs w:val="24"/>
                <w:lang w:val="en-US" w:eastAsia="zh-CN" w:bidi="ar"/>
              </w:rPr>
              <w:t>工程</w:t>
            </w:r>
            <w:r>
              <w:rPr>
                <w:rFonts w:hint="default" w:ascii="Times New Roman" w:hAnsi="Times New Roman" w:eastAsia="宋体" w:cs="Times New Roman"/>
                <w:color w:val="auto"/>
                <w:kern w:val="0"/>
                <w:sz w:val="24"/>
                <w:szCs w:val="24"/>
                <w:lang w:val="en-US" w:eastAsia="zh-CN" w:bidi="ar"/>
              </w:rPr>
              <w:t>总占地面积</w:t>
            </w:r>
            <w:r>
              <w:rPr>
                <w:rFonts w:hint="eastAsia" w:ascii="Times New Roman" w:hAnsi="Times New Roman" w:cs="Times New Roman"/>
                <w:color w:val="auto"/>
                <w:kern w:val="0"/>
                <w:sz w:val="24"/>
                <w:szCs w:val="24"/>
                <w:lang w:val="en-US" w:eastAsia="zh-CN" w:bidi="ar"/>
              </w:rPr>
              <w:t>6672.144</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，其中永久</w:t>
            </w:r>
            <w:r>
              <w:rPr>
                <w:rFonts w:hint="eastAsia" w:ascii="Times New Roman" w:hAnsi="Times New Roman" w:cs="Times New Roman"/>
                <w:color w:val="auto"/>
                <w:sz w:val="24"/>
                <w:szCs w:val="24"/>
                <w:lang w:val="en-US" w:eastAsia="zh-CN"/>
              </w:rPr>
              <w:t>占地</w:t>
            </w:r>
            <w:r>
              <w:rPr>
                <w:rFonts w:hint="eastAsia" w:ascii="Times New Roman" w:hAnsi="Times New Roman" w:cs="Times New Roman"/>
                <w:color w:val="auto"/>
                <w:kern w:val="0"/>
                <w:sz w:val="24"/>
                <w:szCs w:val="24"/>
                <w:lang w:val="en-US" w:eastAsia="zh-CN" w:bidi="ar"/>
              </w:rPr>
              <w:t>972.144m</w:t>
            </w:r>
            <w:r>
              <w:rPr>
                <w:rFonts w:hint="eastAsia" w:ascii="Times New Roman" w:hAnsi="Times New Roman" w:cs="Times New Roman"/>
                <w:color w:val="auto"/>
                <w:kern w:val="0"/>
                <w:sz w:val="24"/>
                <w:szCs w:val="24"/>
                <w:vertAlign w:val="superscript"/>
                <w:lang w:val="en-US" w:eastAsia="zh-CN" w:bidi="ar"/>
              </w:rPr>
              <w:t>2</w:t>
            </w:r>
            <w:r>
              <w:rPr>
                <w:rFonts w:hint="eastAsia" w:ascii="Times New Roman" w:hAnsi="Times New Roman" w:cs="Times New Roman"/>
                <w:color w:val="auto"/>
                <w:kern w:val="0"/>
                <w:sz w:val="24"/>
                <w:szCs w:val="24"/>
                <w:lang w:val="en-US" w:eastAsia="zh-CN" w:bidi="ar"/>
              </w:rPr>
              <w:t>，占地类型为河流水面，</w:t>
            </w:r>
            <w:r>
              <w:rPr>
                <w:rFonts w:hint="default" w:ascii="Times New Roman" w:hAnsi="Times New Roman" w:cs="Times New Roman"/>
                <w:color w:val="auto"/>
                <w:kern w:val="0"/>
                <w:sz w:val="24"/>
                <w:szCs w:val="24"/>
                <w:lang w:val="en-US" w:eastAsia="zh-CN" w:bidi="ar"/>
              </w:rPr>
              <w:t>临时占地</w:t>
            </w:r>
            <w:r>
              <w:rPr>
                <w:rFonts w:hint="eastAsia" w:ascii="Times New Roman" w:hAnsi="Times New Roman" w:cs="Times New Roman"/>
                <w:color w:val="auto"/>
                <w:kern w:val="0"/>
                <w:sz w:val="24"/>
                <w:szCs w:val="24"/>
                <w:lang w:val="en-US" w:eastAsia="zh-CN" w:bidi="ar"/>
              </w:rPr>
              <w:t>5700m</w:t>
            </w:r>
            <w:r>
              <w:rPr>
                <w:rFonts w:hint="eastAsia" w:ascii="Times New Roman" w:hAnsi="Times New Roman" w:cs="Times New Roman"/>
                <w:color w:val="auto"/>
                <w:kern w:val="0"/>
                <w:sz w:val="24"/>
                <w:szCs w:val="24"/>
                <w:vertAlign w:val="superscript"/>
                <w:lang w:val="en-US" w:eastAsia="zh-CN" w:bidi="ar"/>
              </w:rPr>
              <w:t>2</w:t>
            </w:r>
            <w:r>
              <w:rPr>
                <w:rFonts w:hint="eastAsia" w:ascii="Times New Roman" w:hAnsi="Times New Roman" w:cs="Times New Roman"/>
                <w:color w:val="auto"/>
                <w:kern w:val="0"/>
                <w:sz w:val="24"/>
                <w:szCs w:val="24"/>
                <w:lang w:val="en-US" w:eastAsia="zh-CN" w:bidi="ar"/>
              </w:rPr>
              <w:t>，</w:t>
            </w:r>
            <w:r>
              <w:rPr>
                <w:rFonts w:hint="default" w:ascii="Times New Roman" w:hAnsi="Times New Roman" w:cs="Times New Roman"/>
                <w:bCs/>
                <w:color w:val="auto"/>
                <w:sz w:val="24"/>
                <w:lang w:eastAsia="zh-TW"/>
              </w:rPr>
              <w:t>占用</w:t>
            </w:r>
            <w:r>
              <w:rPr>
                <w:rFonts w:hint="default" w:ascii="Times New Roman" w:hAnsi="Times New Roman" w:cs="Times New Roman"/>
                <w:color w:val="auto"/>
                <w:sz w:val="24"/>
              </w:rPr>
              <w:t>类型</w:t>
            </w:r>
            <w:r>
              <w:rPr>
                <w:rFonts w:hint="eastAsia" w:ascii="Times New Roman" w:hAnsi="Times New Roman" w:cs="Times New Roman"/>
                <w:color w:val="auto"/>
                <w:sz w:val="24"/>
                <w:lang w:val="en-US" w:eastAsia="zh-CN"/>
              </w:rPr>
              <w:t>为河流水面和未利用地</w:t>
            </w:r>
            <w:r>
              <w:rPr>
                <w:rFonts w:hint="default" w:ascii="Times New Roman" w:hAnsi="Times New Roman" w:eastAsia="宋体" w:cs="Times New Roman"/>
                <w:color w:val="auto"/>
                <w:kern w:val="0"/>
                <w:sz w:val="24"/>
                <w:szCs w:val="24"/>
                <w:lang w:val="en-US" w:eastAsia="zh-CN" w:bidi="ar"/>
              </w:rPr>
              <w:t>。</w:t>
            </w:r>
            <w:r>
              <w:rPr>
                <w:rFonts w:hint="eastAsia"/>
                <w:bCs/>
                <w:color w:val="auto"/>
                <w:sz w:val="24"/>
                <w:lang w:val="en-US" w:eastAsia="zh-CN"/>
              </w:rPr>
              <w:t>永久</w:t>
            </w:r>
            <w:r>
              <w:rPr>
                <w:bCs/>
                <w:color w:val="auto"/>
                <w:sz w:val="24"/>
                <w:lang w:eastAsia="zh-TW"/>
              </w:rPr>
              <w:t>占地</w:t>
            </w:r>
            <w:r>
              <w:rPr>
                <w:rFonts w:hint="eastAsia"/>
                <w:bCs/>
                <w:color w:val="auto"/>
                <w:sz w:val="24"/>
                <w:lang w:eastAsia="zh-CN"/>
              </w:rPr>
              <w:t>主要是</w:t>
            </w:r>
            <w:r>
              <w:rPr>
                <w:rFonts w:hint="eastAsia"/>
                <w:bCs/>
                <w:color w:val="auto"/>
                <w:sz w:val="24"/>
                <w:lang w:val="en-US" w:eastAsia="zh-CN"/>
              </w:rPr>
              <w:t>桩基</w:t>
            </w:r>
            <w:r>
              <w:rPr>
                <w:rFonts w:hint="eastAsia"/>
                <w:bCs/>
                <w:color w:val="auto"/>
                <w:sz w:val="24"/>
                <w:lang w:eastAsia="zh-CN"/>
              </w:rPr>
              <w:t>和</w:t>
            </w:r>
            <w:r>
              <w:rPr>
                <w:rFonts w:hint="eastAsia"/>
                <w:bCs/>
                <w:color w:val="auto"/>
                <w:sz w:val="24"/>
                <w:lang w:val="en-US" w:eastAsia="zh-CN"/>
              </w:rPr>
              <w:t>承台占地</w:t>
            </w:r>
            <w:r>
              <w:rPr>
                <w:rFonts w:hint="eastAsia"/>
                <w:bCs/>
                <w:color w:val="auto"/>
                <w:sz w:val="24"/>
                <w:lang w:eastAsia="zh-CN"/>
              </w:rPr>
              <w:t>，</w:t>
            </w:r>
            <w:r>
              <w:rPr>
                <w:rFonts w:hint="eastAsia"/>
                <w:bCs/>
                <w:color w:val="auto"/>
                <w:sz w:val="24"/>
                <w:lang w:val="en-US" w:eastAsia="zh-CN"/>
              </w:rPr>
              <w:t>占用河流水面</w:t>
            </w:r>
            <w:r>
              <w:rPr>
                <w:bCs/>
                <w:color w:val="auto"/>
                <w:sz w:val="24"/>
                <w:lang w:eastAsia="zh-TW"/>
              </w:rPr>
              <w:t>使这些</w:t>
            </w:r>
            <w:r>
              <w:rPr>
                <w:rFonts w:hint="eastAsia"/>
                <w:bCs/>
                <w:color w:val="auto"/>
                <w:sz w:val="24"/>
                <w:lang w:val="en-US" w:eastAsia="zh-CN"/>
              </w:rPr>
              <w:t>区域的水生生态功能发生改变，水生生物的生存空间有所减少，但占地面积较小，且占地较分散，对水生环境的影响很小</w:t>
            </w:r>
            <w:r>
              <w:rPr>
                <w:rFonts w:hint="eastAsia"/>
                <w:bCs/>
                <w:color w:val="auto"/>
                <w:sz w:val="24"/>
                <w:lang w:eastAsia="zh-CN"/>
              </w:rPr>
              <w:t>。</w:t>
            </w:r>
            <w:r>
              <w:rPr>
                <w:rFonts w:hint="default" w:eastAsia="宋体" w:cs="宋体"/>
                <w:b w:val="0"/>
                <w:bCs/>
                <w:color w:val="auto"/>
                <w:spacing w:val="0"/>
                <w:sz w:val="24"/>
                <w:szCs w:val="24"/>
                <w:lang w:val="en-US" w:eastAsia="zh-CN"/>
              </w:rPr>
              <w:t>临时占地</w:t>
            </w:r>
            <w:r>
              <w:rPr>
                <w:rFonts w:hint="eastAsia" w:cs="宋体"/>
                <w:b w:val="0"/>
                <w:bCs/>
                <w:color w:val="auto"/>
                <w:spacing w:val="0"/>
                <w:sz w:val="24"/>
                <w:szCs w:val="24"/>
                <w:lang w:val="en-US" w:eastAsia="zh-CN"/>
              </w:rPr>
              <w:t>主要用于堆存建筑材料和停放施工机械设备，临时占地将破坏占地区原有植被，但临时占地时间较短，占地面积较小，施工结束后对临时占地进行生态恢复后，可使占地区破坏的植被恢复至原有状态，因此，本工程临时占地不会改变区域土地利用格局。工程仅在施工期内较短时间内影响土地利用，经过一定恢复期后，工程建设区域内土地利用状况不会发生改变，仍可保持原有使用功能。施工中应该严格控制临时占地区域，结合项目施工工段周边现状，合理选择临时堆场，尽量选择空荒地。</w:t>
            </w:r>
          </w:p>
          <w:p w14:paraId="370FB4E1">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eastAsia" w:eastAsia="宋体" w:cs="宋体"/>
                <w:b w:val="0"/>
                <w:bCs/>
                <w:color w:val="auto"/>
                <w:spacing w:val="0"/>
                <w:sz w:val="24"/>
                <w:szCs w:val="24"/>
                <w:lang w:val="en-US" w:eastAsia="zh-CN"/>
              </w:rPr>
            </w:pPr>
            <w:r>
              <w:rPr>
                <w:rFonts w:hint="eastAsia" w:ascii="宋体" w:hAnsi="宋体" w:eastAsia="宋体" w:cs="宋体"/>
                <w:b w:val="0"/>
                <w:bCs/>
                <w:color w:val="auto"/>
                <w:spacing w:val="0"/>
                <w:sz w:val="24"/>
                <w:szCs w:val="24"/>
              </w:rPr>
              <w:t>②</w:t>
            </w:r>
            <w:r>
              <w:rPr>
                <w:rFonts w:hint="eastAsia" w:eastAsia="宋体" w:cs="宋体"/>
                <w:b w:val="0"/>
                <w:bCs/>
                <w:color w:val="auto"/>
                <w:spacing w:val="0"/>
                <w:sz w:val="24"/>
                <w:szCs w:val="24"/>
                <w:lang w:val="en-US" w:eastAsia="zh-CN"/>
              </w:rPr>
              <w:t>对</w:t>
            </w:r>
            <w:r>
              <w:rPr>
                <w:rFonts w:hint="eastAsia" w:cs="宋体"/>
                <w:b w:val="0"/>
                <w:bCs/>
                <w:color w:val="auto"/>
                <w:spacing w:val="0"/>
                <w:sz w:val="24"/>
                <w:szCs w:val="24"/>
                <w:lang w:val="en-US" w:eastAsia="zh-CN"/>
              </w:rPr>
              <w:t>陆生</w:t>
            </w:r>
            <w:r>
              <w:rPr>
                <w:rFonts w:hint="eastAsia" w:eastAsia="宋体" w:cs="宋体"/>
                <w:b w:val="0"/>
                <w:bCs/>
                <w:color w:val="auto"/>
                <w:spacing w:val="0"/>
                <w:sz w:val="24"/>
                <w:szCs w:val="24"/>
                <w:lang w:val="en-US" w:eastAsia="zh-CN"/>
              </w:rPr>
              <w:t>植物的影响</w:t>
            </w:r>
          </w:p>
          <w:p w14:paraId="267DED96">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eastAsia" w:ascii="宋体" w:hAnsi="宋体" w:eastAsia="宋体" w:cs="宋体"/>
                <w:b w:val="0"/>
                <w:bCs/>
                <w:color w:val="auto"/>
                <w:spacing w:val="0"/>
                <w:sz w:val="24"/>
                <w:szCs w:val="24"/>
              </w:rPr>
            </w:pPr>
            <w:r>
              <w:rPr>
                <w:rFonts w:hint="eastAsia" w:eastAsia="宋体" w:cs="宋体"/>
                <w:b w:val="0"/>
                <w:bCs/>
                <w:color w:val="auto"/>
                <w:spacing w:val="0"/>
                <w:sz w:val="24"/>
                <w:szCs w:val="24"/>
                <w:lang w:val="en-US" w:eastAsia="zh-CN"/>
              </w:rPr>
              <w:t>项目施工对陆生植被及植物多样性最直接的影响为临时区域的植被的清除。在项目施工区域</w:t>
            </w:r>
            <w:r>
              <w:rPr>
                <w:rFonts w:hint="eastAsia" w:cs="宋体"/>
                <w:b w:val="0"/>
                <w:bCs/>
                <w:color w:val="auto"/>
                <w:spacing w:val="0"/>
                <w:sz w:val="24"/>
                <w:szCs w:val="24"/>
                <w:lang w:val="en-US" w:eastAsia="zh-CN"/>
              </w:rPr>
              <w:t>，</w:t>
            </w:r>
            <w:r>
              <w:rPr>
                <w:rFonts w:hint="eastAsia" w:eastAsia="宋体" w:cs="宋体"/>
                <w:b w:val="0"/>
                <w:bCs/>
                <w:color w:val="auto"/>
                <w:spacing w:val="0"/>
                <w:sz w:val="24"/>
                <w:szCs w:val="24"/>
                <w:lang w:val="en-US" w:eastAsia="zh-CN"/>
              </w:rPr>
              <w:t>受影响的陆生植物主要为次生草本植物</w:t>
            </w:r>
            <w:r>
              <w:rPr>
                <w:rFonts w:hint="eastAsia" w:cs="宋体"/>
                <w:b w:val="0"/>
                <w:bCs/>
                <w:color w:val="auto"/>
                <w:spacing w:val="0"/>
                <w:sz w:val="24"/>
                <w:szCs w:val="24"/>
                <w:lang w:val="en-US" w:eastAsia="zh-CN"/>
              </w:rPr>
              <w:t>，</w:t>
            </w:r>
            <w:r>
              <w:rPr>
                <w:rFonts w:hint="eastAsia" w:eastAsia="宋体" w:cs="宋体"/>
                <w:b w:val="0"/>
                <w:bCs/>
                <w:color w:val="auto"/>
                <w:spacing w:val="0"/>
                <w:sz w:val="24"/>
                <w:szCs w:val="24"/>
                <w:lang w:val="en-US" w:eastAsia="zh-CN"/>
              </w:rPr>
              <w:t>项目施工区内没有区域特有植物分布、没有国家级和省级重点保护植物的分布</w:t>
            </w:r>
            <w:r>
              <w:rPr>
                <w:rFonts w:hint="eastAsia" w:cs="宋体"/>
                <w:b w:val="0"/>
                <w:bCs/>
                <w:color w:val="auto"/>
                <w:spacing w:val="0"/>
                <w:sz w:val="24"/>
                <w:szCs w:val="24"/>
                <w:lang w:val="en-US" w:eastAsia="zh-CN"/>
              </w:rPr>
              <w:t>，也</w:t>
            </w:r>
            <w:r>
              <w:rPr>
                <w:rFonts w:hint="eastAsia" w:eastAsia="宋体" w:cs="宋体"/>
                <w:b w:val="0"/>
                <w:bCs/>
                <w:color w:val="auto"/>
                <w:spacing w:val="0"/>
                <w:sz w:val="24"/>
                <w:szCs w:val="24"/>
                <w:lang w:val="en-US" w:eastAsia="zh-CN"/>
              </w:rPr>
              <w:t>不存在珍稀濒危植物种类</w:t>
            </w:r>
            <w:r>
              <w:rPr>
                <w:rFonts w:hint="eastAsia" w:cs="宋体"/>
                <w:b w:val="0"/>
                <w:bCs/>
                <w:color w:val="auto"/>
                <w:spacing w:val="0"/>
                <w:sz w:val="24"/>
                <w:szCs w:val="24"/>
                <w:lang w:val="en-US" w:eastAsia="zh-CN"/>
              </w:rPr>
              <w:t>，</w:t>
            </w:r>
            <w:r>
              <w:rPr>
                <w:rFonts w:hint="eastAsia" w:eastAsia="宋体" w:cs="宋体"/>
                <w:b w:val="0"/>
                <w:bCs/>
                <w:color w:val="auto"/>
                <w:spacing w:val="0"/>
                <w:sz w:val="24"/>
                <w:szCs w:val="24"/>
                <w:lang w:val="en-US" w:eastAsia="zh-CN"/>
              </w:rPr>
              <w:t>施工期间项目所在地植被的覆盖率仍会因此遭到一定程度的降低</w:t>
            </w:r>
            <w:r>
              <w:rPr>
                <w:rFonts w:hint="eastAsia" w:cs="宋体"/>
                <w:b w:val="0"/>
                <w:bCs/>
                <w:color w:val="auto"/>
                <w:spacing w:val="0"/>
                <w:sz w:val="24"/>
                <w:szCs w:val="24"/>
                <w:lang w:val="en-US" w:eastAsia="zh-CN"/>
              </w:rPr>
              <w:t>，</w:t>
            </w:r>
            <w:r>
              <w:rPr>
                <w:rFonts w:hint="eastAsia" w:eastAsia="宋体" w:cs="宋体"/>
                <w:b w:val="0"/>
                <w:bCs/>
                <w:color w:val="auto"/>
                <w:spacing w:val="0"/>
                <w:sz w:val="24"/>
                <w:szCs w:val="24"/>
                <w:lang w:val="en-US" w:eastAsia="zh-CN"/>
              </w:rPr>
              <w:t>造成一定生物量损失</w:t>
            </w:r>
            <w:r>
              <w:rPr>
                <w:rFonts w:hint="eastAsia" w:cs="宋体"/>
                <w:b w:val="0"/>
                <w:bCs/>
                <w:color w:val="auto"/>
                <w:spacing w:val="0"/>
                <w:sz w:val="24"/>
                <w:szCs w:val="24"/>
                <w:lang w:val="en-US" w:eastAsia="zh-CN"/>
              </w:rPr>
              <w:t>，</w:t>
            </w:r>
            <w:r>
              <w:rPr>
                <w:rFonts w:hint="eastAsia" w:eastAsia="宋体" w:cs="宋体"/>
                <w:b w:val="0"/>
                <w:bCs/>
                <w:color w:val="auto"/>
                <w:spacing w:val="0"/>
                <w:sz w:val="24"/>
                <w:szCs w:val="24"/>
                <w:lang w:val="en-US" w:eastAsia="zh-CN"/>
              </w:rPr>
              <w:t>但项目将在施工结束后对区域进行植草、栽灌木等方式进行恢复</w:t>
            </w:r>
            <w:r>
              <w:rPr>
                <w:rFonts w:hint="eastAsia" w:cs="宋体"/>
                <w:b w:val="0"/>
                <w:bCs/>
                <w:color w:val="auto"/>
                <w:spacing w:val="0"/>
                <w:sz w:val="24"/>
                <w:szCs w:val="24"/>
                <w:lang w:val="en-US" w:eastAsia="zh-CN"/>
              </w:rPr>
              <w:t>，</w:t>
            </w:r>
            <w:r>
              <w:rPr>
                <w:rFonts w:hint="eastAsia" w:eastAsia="宋体" w:cs="宋体"/>
                <w:b w:val="0"/>
                <w:bCs/>
                <w:color w:val="auto"/>
                <w:spacing w:val="0"/>
                <w:sz w:val="24"/>
                <w:szCs w:val="24"/>
                <w:lang w:val="en-US" w:eastAsia="zh-CN"/>
              </w:rPr>
              <w:t>同时提高绿化率。因此工程建设对区域内</w:t>
            </w:r>
            <w:r>
              <w:rPr>
                <w:rFonts w:hint="eastAsia" w:ascii="宋体" w:hAnsi="宋体" w:eastAsia="宋体" w:cs="宋体"/>
                <w:b w:val="0"/>
                <w:bCs/>
                <w:color w:val="auto"/>
                <w:spacing w:val="0"/>
                <w:sz w:val="24"/>
                <w:szCs w:val="24"/>
              </w:rPr>
              <w:t>植物物种多样性影响</w:t>
            </w:r>
            <w:r>
              <w:rPr>
                <w:rFonts w:hint="eastAsia" w:ascii="宋体" w:hAnsi="宋体" w:eastAsia="宋体" w:cs="宋体"/>
                <w:b w:val="0"/>
                <w:bCs/>
                <w:color w:val="auto"/>
                <w:spacing w:val="0"/>
                <w:sz w:val="24"/>
                <w:szCs w:val="24"/>
                <w:lang w:val="en-US" w:eastAsia="zh-CN"/>
              </w:rPr>
              <w:t>较小</w:t>
            </w:r>
            <w:r>
              <w:rPr>
                <w:rFonts w:hint="eastAsia" w:ascii="宋体" w:hAnsi="宋体" w:eastAsia="宋体" w:cs="宋体"/>
                <w:b w:val="0"/>
                <w:bCs/>
                <w:color w:val="auto"/>
                <w:spacing w:val="0"/>
                <w:sz w:val="24"/>
                <w:szCs w:val="24"/>
              </w:rPr>
              <w:t>，</w:t>
            </w:r>
            <w:r>
              <w:rPr>
                <w:rFonts w:hint="eastAsia" w:ascii="宋体" w:hAnsi="宋体" w:eastAsia="宋体" w:cs="宋体"/>
                <w:b w:val="0"/>
                <w:bCs/>
                <w:color w:val="auto"/>
                <w:spacing w:val="0"/>
                <w:sz w:val="24"/>
                <w:szCs w:val="24"/>
                <w:lang w:val="en-US" w:eastAsia="zh-CN"/>
              </w:rPr>
              <w:t>更</w:t>
            </w:r>
            <w:r>
              <w:rPr>
                <w:rFonts w:hint="eastAsia" w:ascii="宋体" w:hAnsi="宋体" w:eastAsia="宋体" w:cs="宋体"/>
                <w:b w:val="0"/>
                <w:bCs/>
                <w:color w:val="auto"/>
                <w:spacing w:val="0"/>
                <w:sz w:val="24"/>
                <w:szCs w:val="24"/>
              </w:rPr>
              <w:t>不会因局部植被破坏而导致某一</w:t>
            </w:r>
            <w:r>
              <w:rPr>
                <w:rFonts w:hint="eastAsia" w:ascii="宋体" w:hAnsi="宋体" w:eastAsia="宋体" w:cs="宋体"/>
                <w:b w:val="0"/>
                <w:bCs/>
                <w:color w:val="auto"/>
                <w:spacing w:val="0"/>
                <w:sz w:val="24"/>
                <w:szCs w:val="24"/>
                <w:lang w:val="en-US" w:eastAsia="zh-CN"/>
              </w:rPr>
              <w:t>植物</w:t>
            </w:r>
            <w:r>
              <w:rPr>
                <w:rFonts w:hint="eastAsia" w:ascii="宋体" w:hAnsi="宋体" w:eastAsia="宋体" w:cs="宋体"/>
                <w:b w:val="0"/>
                <w:bCs/>
                <w:color w:val="auto"/>
                <w:spacing w:val="0"/>
                <w:sz w:val="24"/>
                <w:szCs w:val="24"/>
              </w:rPr>
              <w:t>物种的消失。但是在施工过程中应该加强施工管理，严格控制施工范围，</w:t>
            </w:r>
            <w:r>
              <w:rPr>
                <w:rFonts w:hint="eastAsia" w:ascii="宋体" w:hAnsi="宋体" w:eastAsia="宋体" w:cs="宋体"/>
                <w:b w:val="0"/>
                <w:bCs/>
                <w:color w:val="auto"/>
                <w:spacing w:val="0"/>
                <w:sz w:val="24"/>
                <w:szCs w:val="24"/>
                <w:lang w:val="en-US" w:eastAsia="zh-CN"/>
              </w:rPr>
              <w:t>将</w:t>
            </w:r>
            <w:r>
              <w:rPr>
                <w:rFonts w:hint="eastAsia" w:ascii="宋体" w:hAnsi="宋体" w:eastAsia="宋体" w:cs="宋体"/>
                <w:b w:val="0"/>
                <w:bCs/>
                <w:color w:val="auto"/>
                <w:spacing w:val="0"/>
                <w:sz w:val="24"/>
                <w:szCs w:val="24"/>
              </w:rPr>
              <w:t>对植物群落的影响降到</w:t>
            </w:r>
            <w:r>
              <w:rPr>
                <w:rFonts w:hint="eastAsia" w:ascii="宋体" w:hAnsi="宋体" w:eastAsia="宋体" w:cs="宋体"/>
                <w:b w:val="0"/>
                <w:bCs/>
                <w:color w:val="auto"/>
                <w:spacing w:val="0"/>
                <w:sz w:val="24"/>
                <w:szCs w:val="24"/>
                <w:lang w:eastAsia="zh-CN"/>
              </w:rPr>
              <w:t>最低</w:t>
            </w:r>
            <w:r>
              <w:rPr>
                <w:rFonts w:hint="eastAsia" w:ascii="宋体" w:hAnsi="宋体" w:eastAsia="宋体" w:cs="宋体"/>
                <w:b w:val="0"/>
                <w:bCs/>
                <w:color w:val="auto"/>
                <w:spacing w:val="0"/>
                <w:sz w:val="24"/>
                <w:szCs w:val="24"/>
              </w:rPr>
              <w:t>。</w:t>
            </w:r>
          </w:p>
          <w:p w14:paraId="4165B15B">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宋体" w:hAnsi="宋体" w:eastAsia="宋体" w:cs="宋体"/>
                <w:b w:val="0"/>
                <w:bCs/>
                <w:color w:val="auto"/>
                <w:spacing w:val="0"/>
                <w:sz w:val="24"/>
                <w:szCs w:val="24"/>
                <w:lang w:val="en-US" w:eastAsia="zh-CN"/>
              </w:rPr>
            </w:pPr>
            <w:r>
              <w:rPr>
                <w:rFonts w:hint="eastAsia" w:ascii="宋体" w:hAnsi="宋体" w:eastAsia="宋体" w:cs="宋体"/>
                <w:b w:val="0"/>
                <w:bCs/>
                <w:color w:val="auto"/>
                <w:spacing w:val="0"/>
                <w:sz w:val="24"/>
                <w:szCs w:val="24"/>
              </w:rPr>
              <w:t>③</w:t>
            </w:r>
            <w:r>
              <w:rPr>
                <w:rFonts w:hint="eastAsia" w:eastAsia="宋体" w:cs="宋体"/>
                <w:b w:val="0"/>
                <w:bCs/>
                <w:color w:val="auto"/>
                <w:spacing w:val="0"/>
                <w:sz w:val="24"/>
                <w:szCs w:val="24"/>
                <w:lang w:val="en-US" w:eastAsia="zh-CN"/>
              </w:rPr>
              <w:t>对</w:t>
            </w:r>
            <w:r>
              <w:rPr>
                <w:rFonts w:hint="eastAsia" w:cs="宋体"/>
                <w:b w:val="0"/>
                <w:bCs/>
                <w:color w:val="auto"/>
                <w:spacing w:val="0"/>
                <w:sz w:val="24"/>
                <w:szCs w:val="24"/>
                <w:lang w:val="en-US" w:eastAsia="zh-CN"/>
              </w:rPr>
              <w:t>陆生</w:t>
            </w:r>
            <w:r>
              <w:rPr>
                <w:rFonts w:hint="eastAsia" w:eastAsia="宋体" w:cs="宋体"/>
                <w:b w:val="0"/>
                <w:bCs/>
                <w:color w:val="auto"/>
                <w:spacing w:val="0"/>
                <w:sz w:val="24"/>
                <w:szCs w:val="24"/>
                <w:lang w:val="en-US" w:eastAsia="zh-CN"/>
              </w:rPr>
              <w:t>动物的影响</w:t>
            </w:r>
          </w:p>
          <w:p w14:paraId="796760CD">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eastAsia" w:ascii="宋体" w:hAnsi="宋体" w:eastAsia="宋体" w:cs="宋体"/>
                <w:b w:val="0"/>
                <w:bCs/>
                <w:color w:val="auto"/>
                <w:spacing w:val="0"/>
                <w:sz w:val="24"/>
                <w:szCs w:val="24"/>
              </w:rPr>
            </w:pPr>
            <w:r>
              <w:rPr>
                <w:rFonts w:hint="eastAsia" w:eastAsia="宋体" w:cs="宋体"/>
                <w:b w:val="0"/>
                <w:bCs/>
                <w:color w:val="auto"/>
                <w:spacing w:val="0"/>
                <w:sz w:val="24"/>
                <w:szCs w:val="24"/>
                <w:lang w:eastAsia="zh-CN"/>
              </w:rPr>
              <w:t>工程</w:t>
            </w:r>
            <w:r>
              <w:rPr>
                <w:rFonts w:hint="eastAsia" w:ascii="宋体" w:hAnsi="宋体" w:eastAsia="宋体" w:cs="宋体"/>
                <w:b w:val="0"/>
                <w:bCs/>
                <w:color w:val="auto"/>
                <w:spacing w:val="0"/>
                <w:sz w:val="24"/>
                <w:szCs w:val="24"/>
              </w:rPr>
              <w:t>区人为活动较为频繁，区域内小动物均为当地常见物种，受影响的主要是行动较慢的动物，如蟾蜍类、蛙类</w:t>
            </w:r>
            <w:r>
              <w:rPr>
                <w:rFonts w:hint="eastAsia" w:eastAsia="宋体" w:cs="宋体"/>
                <w:b w:val="0"/>
                <w:bCs/>
                <w:color w:val="auto"/>
                <w:spacing w:val="0"/>
                <w:sz w:val="24"/>
                <w:szCs w:val="24"/>
                <w:lang w:eastAsia="zh-CN"/>
              </w:rPr>
              <w:t>。</w:t>
            </w:r>
            <w:r>
              <w:rPr>
                <w:rFonts w:hint="eastAsia" w:ascii="宋体" w:hAnsi="宋体" w:eastAsia="宋体" w:cs="宋体"/>
                <w:b w:val="0"/>
                <w:bCs/>
                <w:color w:val="auto"/>
                <w:spacing w:val="0"/>
                <w:sz w:val="24"/>
                <w:szCs w:val="24"/>
              </w:rPr>
              <w:t>其他的鸟类、爬行类和小型兽类行动较为敏捷，受到机械损伤的可能性极低。</w:t>
            </w:r>
            <w:r>
              <w:rPr>
                <w:rFonts w:hint="eastAsia" w:eastAsia="宋体" w:cs="宋体"/>
                <w:b w:val="0"/>
                <w:bCs/>
                <w:color w:val="auto"/>
                <w:spacing w:val="0"/>
                <w:sz w:val="24"/>
                <w:szCs w:val="24"/>
                <w:lang w:eastAsia="zh-CN"/>
              </w:rPr>
              <w:t>工程</w:t>
            </w:r>
            <w:r>
              <w:rPr>
                <w:rFonts w:hint="eastAsia" w:ascii="宋体" w:hAnsi="宋体" w:eastAsia="宋体" w:cs="宋体"/>
                <w:b w:val="0"/>
                <w:bCs/>
                <w:color w:val="auto"/>
                <w:spacing w:val="0"/>
                <w:sz w:val="24"/>
                <w:szCs w:val="24"/>
              </w:rPr>
              <w:t>实施过程中对野生动物原有栖息地或觅食地将造成一定时间的占压和破坏，施工噪声惊扰、人为破坏都将使区域动物远离，</w:t>
            </w:r>
            <w:r>
              <w:rPr>
                <w:rFonts w:hint="eastAsia" w:eastAsia="宋体" w:cs="宋体"/>
                <w:b w:val="0"/>
                <w:bCs/>
                <w:color w:val="auto"/>
                <w:spacing w:val="0"/>
                <w:sz w:val="24"/>
                <w:szCs w:val="24"/>
                <w:lang w:eastAsia="zh-CN"/>
              </w:rPr>
              <w:t>但</w:t>
            </w:r>
            <w:r>
              <w:rPr>
                <w:rFonts w:hint="eastAsia" w:cs="宋体"/>
                <w:b w:val="0"/>
                <w:bCs/>
                <w:color w:val="auto"/>
                <w:spacing w:val="0"/>
                <w:sz w:val="24"/>
                <w:szCs w:val="24"/>
                <w:lang w:val="en-US" w:eastAsia="zh-CN"/>
              </w:rPr>
              <w:t>工程</w:t>
            </w:r>
            <w:r>
              <w:rPr>
                <w:rFonts w:hint="eastAsia" w:ascii="宋体" w:hAnsi="宋体" w:eastAsia="宋体" w:cs="宋体"/>
                <w:b w:val="0"/>
                <w:bCs/>
                <w:color w:val="auto"/>
                <w:spacing w:val="0"/>
                <w:sz w:val="24"/>
                <w:szCs w:val="24"/>
              </w:rPr>
              <w:t>实施结束后</w:t>
            </w:r>
            <w:r>
              <w:rPr>
                <w:rFonts w:hint="eastAsia" w:eastAsia="宋体" w:cs="宋体"/>
                <w:b w:val="0"/>
                <w:bCs/>
                <w:color w:val="auto"/>
                <w:spacing w:val="0"/>
                <w:sz w:val="24"/>
                <w:szCs w:val="24"/>
                <w:lang w:eastAsia="zh-CN"/>
              </w:rPr>
              <w:t>，</w:t>
            </w:r>
            <w:r>
              <w:rPr>
                <w:rFonts w:hint="eastAsia" w:ascii="宋体" w:hAnsi="宋体" w:eastAsia="宋体" w:cs="宋体"/>
                <w:b w:val="0"/>
                <w:bCs/>
                <w:color w:val="auto"/>
                <w:spacing w:val="0"/>
                <w:sz w:val="24"/>
                <w:szCs w:val="24"/>
              </w:rPr>
              <w:t>植被逐渐恢复，野生动物亦将逐渐回归</w:t>
            </w:r>
            <w:r>
              <w:rPr>
                <w:rFonts w:hint="eastAsia" w:cs="宋体"/>
                <w:b w:val="0"/>
                <w:bCs/>
                <w:color w:val="auto"/>
                <w:spacing w:val="0"/>
                <w:sz w:val="24"/>
                <w:szCs w:val="24"/>
                <w:lang w:eastAsia="zh-CN"/>
              </w:rPr>
              <w:t>，</w:t>
            </w:r>
            <w:r>
              <w:rPr>
                <w:rFonts w:hint="eastAsia" w:eastAsia="宋体" w:cs="宋体"/>
                <w:b w:val="0"/>
                <w:bCs/>
                <w:color w:val="auto"/>
                <w:spacing w:val="0"/>
                <w:sz w:val="24"/>
                <w:szCs w:val="24"/>
                <w:lang w:eastAsia="zh-CN"/>
              </w:rPr>
              <w:t>预测</w:t>
            </w:r>
            <w:r>
              <w:rPr>
                <w:rFonts w:hint="eastAsia" w:ascii="宋体" w:hAnsi="宋体" w:eastAsia="宋体" w:cs="宋体"/>
                <w:b w:val="0"/>
                <w:bCs/>
                <w:color w:val="auto"/>
                <w:spacing w:val="0"/>
                <w:sz w:val="24"/>
                <w:szCs w:val="24"/>
              </w:rPr>
              <w:t>恢复后野生动物生存环境转好，种群数量将增加。总的来看，不会引起评价区内动物种类丰富度的减少，也不会引起种群个体数量发生很大变化，对于整个区域而言，动物物种丰富度亦不会减少</w:t>
            </w:r>
            <w:r>
              <w:rPr>
                <w:rFonts w:hint="eastAsia" w:eastAsia="宋体" w:cs="宋体"/>
                <w:b w:val="0"/>
                <w:bCs/>
                <w:color w:val="auto"/>
                <w:spacing w:val="0"/>
                <w:sz w:val="24"/>
                <w:szCs w:val="24"/>
                <w:lang w:eastAsia="zh-CN"/>
              </w:rPr>
              <w:t>。</w:t>
            </w:r>
            <w:r>
              <w:rPr>
                <w:rFonts w:hint="eastAsia" w:ascii="宋体" w:hAnsi="宋体" w:eastAsia="宋体" w:cs="宋体"/>
                <w:b w:val="0"/>
                <w:bCs/>
                <w:color w:val="auto"/>
                <w:spacing w:val="0"/>
                <w:sz w:val="24"/>
                <w:szCs w:val="24"/>
              </w:rPr>
              <w:t>经实地调查及对相关部门了解，</w:t>
            </w:r>
            <w:r>
              <w:rPr>
                <w:rFonts w:hint="eastAsia" w:eastAsia="宋体" w:cs="宋体"/>
                <w:b w:val="0"/>
                <w:bCs/>
                <w:color w:val="auto"/>
                <w:spacing w:val="0"/>
                <w:sz w:val="24"/>
                <w:szCs w:val="24"/>
                <w:lang w:eastAsia="zh-CN"/>
              </w:rPr>
              <w:t>工程</w:t>
            </w:r>
            <w:r>
              <w:rPr>
                <w:rFonts w:hint="eastAsia" w:ascii="宋体" w:hAnsi="宋体" w:eastAsia="宋体" w:cs="宋体"/>
                <w:b w:val="0"/>
                <w:bCs/>
                <w:color w:val="auto"/>
                <w:spacing w:val="0"/>
                <w:sz w:val="24"/>
                <w:szCs w:val="24"/>
              </w:rPr>
              <w:t>评价范围内无重点保护类野生动物及大中型兽类的栖息地和繁殖地。</w:t>
            </w:r>
          </w:p>
          <w:p w14:paraId="2A7E0591">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宋体" w:hAnsi="宋体" w:eastAsia="宋体" w:cs="宋体"/>
                <w:b w:val="0"/>
                <w:bCs/>
                <w:color w:val="auto"/>
                <w:spacing w:val="0"/>
                <w:sz w:val="24"/>
                <w:szCs w:val="24"/>
                <w:lang w:val="en-US" w:eastAsia="zh-CN"/>
              </w:rPr>
            </w:pPr>
            <w:r>
              <w:rPr>
                <w:rFonts w:hint="eastAsia" w:ascii="宋体" w:hAnsi="宋体" w:eastAsia="宋体" w:cs="宋体"/>
                <w:b w:val="0"/>
                <w:bCs/>
                <w:color w:val="auto"/>
                <w:spacing w:val="0"/>
                <w:sz w:val="24"/>
                <w:szCs w:val="24"/>
              </w:rPr>
              <w:t>④</w:t>
            </w:r>
            <w:r>
              <w:rPr>
                <w:rFonts w:hint="eastAsia" w:eastAsia="宋体" w:cs="宋体"/>
                <w:b w:val="0"/>
                <w:bCs/>
                <w:color w:val="auto"/>
                <w:spacing w:val="0"/>
                <w:sz w:val="24"/>
                <w:szCs w:val="24"/>
                <w:lang w:val="en-US" w:eastAsia="zh-CN"/>
              </w:rPr>
              <w:t>水土流失影响</w:t>
            </w:r>
          </w:p>
          <w:p w14:paraId="572E3ED3">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Times New Roman" w:hAnsi="Times New Roman" w:eastAsia="宋体" w:cs="Times New Roman"/>
                <w:b w:val="0"/>
                <w:bCs/>
                <w:color w:val="auto"/>
                <w:spacing w:val="0"/>
                <w:sz w:val="24"/>
                <w:szCs w:val="24"/>
                <w:lang w:val="en-US" w:eastAsia="zh-CN"/>
              </w:rPr>
            </w:pPr>
            <w:r>
              <w:rPr>
                <w:rFonts w:hint="eastAsia" w:ascii="宋体" w:hAnsi="宋体" w:eastAsia="宋体" w:cs="宋体"/>
                <w:b w:val="0"/>
                <w:bCs/>
                <w:color w:val="auto"/>
                <w:spacing w:val="0"/>
                <w:sz w:val="24"/>
                <w:szCs w:val="24"/>
              </w:rPr>
              <w:t>工程</w:t>
            </w:r>
            <w:r>
              <w:rPr>
                <w:rFonts w:hint="eastAsia" w:eastAsia="宋体" w:cs="宋体"/>
                <w:b w:val="0"/>
                <w:bCs/>
                <w:color w:val="auto"/>
                <w:spacing w:val="0"/>
                <w:sz w:val="24"/>
                <w:szCs w:val="24"/>
                <w:lang w:val="en-US" w:eastAsia="zh-CN"/>
              </w:rPr>
              <w:t>建设</w:t>
            </w:r>
            <w:r>
              <w:rPr>
                <w:rFonts w:hint="eastAsia" w:ascii="宋体" w:hAnsi="宋体" w:eastAsia="宋体" w:cs="宋体"/>
                <w:b w:val="0"/>
                <w:bCs/>
                <w:color w:val="auto"/>
                <w:spacing w:val="0"/>
                <w:sz w:val="24"/>
                <w:szCs w:val="24"/>
              </w:rPr>
              <w:t>扰动地表，破坏地表植被和表层土壤结构，改变了原地貌形状，降低了原来所具有的保持水土的功能</w:t>
            </w:r>
            <w:r>
              <w:rPr>
                <w:rFonts w:hint="eastAsia" w:eastAsia="宋体" w:cs="宋体"/>
                <w:b w:val="0"/>
                <w:bCs/>
                <w:color w:val="auto"/>
                <w:spacing w:val="0"/>
                <w:sz w:val="24"/>
                <w:szCs w:val="24"/>
                <w:lang w:eastAsia="zh-CN"/>
              </w:rPr>
              <w:t>。</w:t>
            </w:r>
            <w:r>
              <w:rPr>
                <w:rFonts w:hint="eastAsia" w:ascii="宋体" w:hAnsi="宋体" w:eastAsia="宋体" w:cs="宋体"/>
                <w:b w:val="0"/>
                <w:bCs/>
                <w:color w:val="auto"/>
                <w:spacing w:val="0"/>
                <w:sz w:val="24"/>
                <w:szCs w:val="24"/>
              </w:rPr>
              <w:t>裸地、弃土弃渣如不采取防护措施，遇上大雨时会因施工改变了地面径流条件而造成</w:t>
            </w:r>
            <w:r>
              <w:rPr>
                <w:rFonts w:hint="eastAsia" w:ascii="宋体" w:hAnsi="宋体" w:eastAsia="宋体" w:cs="宋体"/>
                <w:b w:val="0"/>
                <w:bCs/>
                <w:color w:val="auto"/>
                <w:spacing w:val="0"/>
                <w:sz w:val="24"/>
                <w:szCs w:val="24"/>
                <w:lang w:val="en-US" w:eastAsia="zh-CN"/>
              </w:rPr>
              <w:t>一定程度的</w:t>
            </w:r>
            <w:r>
              <w:rPr>
                <w:rFonts w:hint="eastAsia" w:ascii="宋体" w:hAnsi="宋体" w:eastAsia="宋体" w:cs="宋体"/>
                <w:b w:val="0"/>
                <w:bCs/>
                <w:color w:val="auto"/>
                <w:spacing w:val="0"/>
                <w:sz w:val="24"/>
                <w:szCs w:val="24"/>
              </w:rPr>
              <w:t>水土流失。工程对土壤的扰动范围主要集中在</w:t>
            </w:r>
            <w:r>
              <w:rPr>
                <w:rFonts w:hint="eastAsia" w:cs="宋体"/>
                <w:b w:val="0"/>
                <w:bCs/>
                <w:color w:val="auto"/>
                <w:spacing w:val="0"/>
                <w:sz w:val="24"/>
                <w:szCs w:val="24"/>
                <w:lang w:val="en-US" w:eastAsia="zh-CN"/>
              </w:rPr>
              <w:t>施工范围内</w:t>
            </w:r>
            <w:r>
              <w:rPr>
                <w:rFonts w:hint="eastAsia" w:ascii="宋体" w:hAnsi="宋体" w:eastAsia="宋体" w:cs="宋体"/>
                <w:b w:val="0"/>
                <w:bCs/>
                <w:color w:val="auto"/>
                <w:spacing w:val="0"/>
                <w:sz w:val="24"/>
                <w:szCs w:val="24"/>
              </w:rPr>
              <w:t>，影响范围有限</w:t>
            </w:r>
            <w:r>
              <w:rPr>
                <w:rFonts w:hint="eastAsia" w:eastAsia="宋体" w:cs="宋体"/>
                <w:b w:val="0"/>
                <w:bCs/>
                <w:color w:val="auto"/>
                <w:spacing w:val="0"/>
                <w:sz w:val="24"/>
                <w:szCs w:val="24"/>
                <w:lang w:eastAsia="zh-CN"/>
              </w:rPr>
              <w:t>；</w:t>
            </w:r>
            <w:r>
              <w:rPr>
                <w:rFonts w:hint="eastAsia" w:eastAsia="宋体" w:cs="宋体"/>
                <w:b w:val="0"/>
                <w:bCs/>
                <w:color w:val="auto"/>
                <w:spacing w:val="0"/>
                <w:sz w:val="24"/>
                <w:szCs w:val="24"/>
                <w:lang w:val="en-US" w:eastAsia="zh-CN"/>
              </w:rPr>
              <w:t>且</w:t>
            </w:r>
            <w:r>
              <w:rPr>
                <w:rFonts w:hint="eastAsia" w:ascii="宋体" w:hAnsi="宋体" w:eastAsia="宋体" w:cs="宋体"/>
                <w:b w:val="0"/>
                <w:bCs/>
                <w:color w:val="auto"/>
                <w:spacing w:val="0"/>
                <w:sz w:val="24"/>
                <w:szCs w:val="24"/>
              </w:rPr>
              <w:t>水土流失影响是局部、暂时性</w:t>
            </w:r>
            <w:r>
              <w:rPr>
                <w:rFonts w:hint="default" w:ascii="Times New Roman" w:hAnsi="Times New Roman" w:eastAsia="宋体" w:cs="Times New Roman"/>
                <w:b w:val="0"/>
                <w:bCs/>
                <w:color w:val="auto"/>
                <w:spacing w:val="0"/>
                <w:sz w:val="24"/>
                <w:szCs w:val="24"/>
              </w:rPr>
              <w:t>的，只要在施工过程中加强管理，文明施工，</w:t>
            </w:r>
            <w:r>
              <w:rPr>
                <w:rFonts w:hint="default" w:ascii="Times New Roman" w:hAnsi="Times New Roman" w:eastAsia="宋体" w:cs="Times New Roman"/>
                <w:b w:val="0"/>
                <w:bCs/>
                <w:color w:val="auto"/>
                <w:spacing w:val="0"/>
                <w:sz w:val="24"/>
                <w:szCs w:val="24"/>
                <w:lang w:eastAsia="zh-CN"/>
              </w:rPr>
              <w:t>落实水土保持方案中的相关要求，</w:t>
            </w:r>
            <w:r>
              <w:rPr>
                <w:rFonts w:hint="default" w:ascii="Times New Roman" w:hAnsi="Times New Roman" w:eastAsia="宋体" w:cs="Times New Roman"/>
                <w:b w:val="0"/>
                <w:bCs/>
                <w:color w:val="auto"/>
                <w:spacing w:val="0"/>
                <w:sz w:val="24"/>
                <w:szCs w:val="24"/>
              </w:rPr>
              <w:t>做好水土保持措施，对周围生态环境影响</w:t>
            </w:r>
            <w:r>
              <w:rPr>
                <w:rFonts w:hint="default" w:ascii="Times New Roman" w:hAnsi="Times New Roman" w:eastAsia="宋体" w:cs="Times New Roman"/>
                <w:b w:val="0"/>
                <w:bCs/>
                <w:color w:val="auto"/>
                <w:spacing w:val="0"/>
                <w:sz w:val="24"/>
                <w:szCs w:val="24"/>
                <w:lang w:val="en-US" w:eastAsia="zh-CN"/>
              </w:rPr>
              <w:t>较小。</w:t>
            </w:r>
          </w:p>
          <w:p w14:paraId="64C95EFA">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Times New Roman" w:hAnsi="Times New Roman" w:eastAsia="宋体" w:cs="Times New Roman"/>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val="en-US" w:eastAsia="zh-CN"/>
              </w:rPr>
              <w:t>⑤</w:t>
            </w:r>
            <w:r>
              <w:rPr>
                <w:rFonts w:hint="eastAsia" w:ascii="Times New Roman" w:hAnsi="Times New Roman" w:eastAsia="宋体" w:cs="Times New Roman"/>
                <w:b w:val="0"/>
                <w:bCs/>
                <w:color w:val="auto"/>
                <w:spacing w:val="0"/>
                <w:sz w:val="24"/>
                <w:szCs w:val="24"/>
                <w:lang w:val="en-US" w:eastAsia="zh-CN"/>
              </w:rPr>
              <w:t>对</w:t>
            </w:r>
            <w:r>
              <w:rPr>
                <w:rFonts w:hint="default" w:ascii="Times New Roman" w:hAnsi="Times New Roman" w:eastAsia="宋体" w:cs="Times New Roman"/>
                <w:b w:val="0"/>
                <w:bCs/>
                <w:color w:val="auto"/>
                <w:spacing w:val="0"/>
                <w:sz w:val="24"/>
                <w:szCs w:val="24"/>
                <w:lang w:val="en-US" w:eastAsia="zh-CN"/>
              </w:rPr>
              <w:t>陕西汉中朱鹮国家级自然保护区</w:t>
            </w:r>
            <w:r>
              <w:rPr>
                <w:rFonts w:hint="eastAsia" w:ascii="Times New Roman" w:hAnsi="Times New Roman" w:cs="Times New Roman"/>
                <w:b w:val="0"/>
                <w:bCs/>
                <w:color w:val="auto"/>
                <w:spacing w:val="0"/>
                <w:sz w:val="24"/>
                <w:szCs w:val="24"/>
                <w:lang w:val="en-US" w:eastAsia="zh-CN"/>
              </w:rPr>
              <w:t>的影响</w:t>
            </w:r>
          </w:p>
          <w:p w14:paraId="4E2B160E">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Times New Roman" w:hAnsi="Times New Roman" w:eastAsia="宋体" w:cs="Times New Roman"/>
                <w:b w:val="0"/>
                <w:bCs/>
                <w:color w:val="auto"/>
                <w:spacing w:val="0"/>
                <w:sz w:val="24"/>
                <w:szCs w:val="24"/>
                <w:lang w:eastAsia="zh-CN"/>
              </w:rPr>
            </w:pPr>
            <w:r>
              <w:rPr>
                <w:rFonts w:hint="eastAsia" w:ascii="Times New Roman" w:hAnsi="Times New Roman" w:cs="Times New Roman"/>
                <w:b w:val="0"/>
                <w:bCs/>
                <w:color w:val="auto"/>
                <w:spacing w:val="0"/>
                <w:sz w:val="24"/>
                <w:szCs w:val="24"/>
                <w:lang w:val="en-US" w:eastAsia="zh-CN"/>
              </w:rPr>
              <w:t>工程建设产生的</w:t>
            </w:r>
            <w:r>
              <w:rPr>
                <w:rFonts w:hint="default" w:ascii="Times New Roman" w:hAnsi="Times New Roman" w:eastAsia="宋体" w:cs="Times New Roman"/>
                <w:b w:val="0"/>
                <w:bCs/>
                <w:color w:val="auto"/>
                <w:spacing w:val="0"/>
                <w:sz w:val="24"/>
                <w:szCs w:val="24"/>
                <w:lang w:eastAsia="zh-CN"/>
              </w:rPr>
              <w:t>施工噪声（机械、车辆）和强光会惊吓朱鹮</w:t>
            </w:r>
            <w:r>
              <w:rPr>
                <w:rFonts w:hint="eastAsia" w:ascii="Times New Roman" w:hAnsi="Times New Roman"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eastAsia="zh-CN"/>
              </w:rPr>
              <w:t>在6月至10月的繁殖期影响尤为敏感，可能导致亲鸟弃巢或影响雏鸟成长</w:t>
            </w:r>
            <w:r>
              <w:rPr>
                <w:rFonts w:hint="eastAsia" w:ascii="Times New Roman" w:hAnsi="Times New Roman"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eastAsia="zh-CN"/>
              </w:rPr>
              <w:t>施工占地、扬尘和水土流失可能破坏植被、污染觅食地和水源</w:t>
            </w:r>
            <w:r>
              <w:rPr>
                <w:rFonts w:hint="eastAsia" w:ascii="Times New Roman" w:hAnsi="Times New Roman" w:cs="Times New Roman"/>
                <w:b w:val="0"/>
                <w:bCs/>
                <w:color w:val="auto"/>
                <w:spacing w:val="0"/>
                <w:sz w:val="24"/>
                <w:szCs w:val="24"/>
                <w:lang w:eastAsia="zh-CN"/>
              </w:rPr>
              <w:t>，</w:t>
            </w:r>
            <w:r>
              <w:rPr>
                <w:rFonts w:hint="eastAsia" w:ascii="Times New Roman" w:hAnsi="Times New Roman" w:cs="Times New Roman"/>
                <w:b w:val="0"/>
                <w:bCs/>
                <w:color w:val="auto"/>
                <w:spacing w:val="0"/>
                <w:sz w:val="24"/>
                <w:szCs w:val="24"/>
                <w:lang w:val="en-US" w:eastAsia="zh-CN"/>
              </w:rPr>
              <w:t>造成朱鹮</w:t>
            </w:r>
            <w:r>
              <w:rPr>
                <w:rFonts w:hint="default" w:ascii="Times New Roman" w:hAnsi="Times New Roman" w:eastAsia="宋体" w:cs="Times New Roman"/>
                <w:b w:val="0"/>
                <w:bCs/>
                <w:color w:val="auto"/>
                <w:spacing w:val="0"/>
                <w:sz w:val="24"/>
                <w:szCs w:val="24"/>
                <w:lang w:eastAsia="zh-CN"/>
              </w:rPr>
              <w:t>栖息地与生境破坏</w:t>
            </w:r>
            <w:r>
              <w:rPr>
                <w:rFonts w:hint="eastAsia" w:ascii="Times New Roman" w:hAnsi="Times New Roman"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eastAsia="zh-CN"/>
              </w:rPr>
              <w:t>管理不善可能导致施工人员捕猎，或鸟类误撞施工设施及运输车辆</w:t>
            </w:r>
            <w:r>
              <w:rPr>
                <w:rFonts w:hint="eastAsia" w:ascii="Times New Roman" w:hAnsi="Times New Roman" w:cs="Times New Roman"/>
                <w:b w:val="0"/>
                <w:bCs/>
                <w:color w:val="auto"/>
                <w:spacing w:val="0"/>
                <w:sz w:val="24"/>
                <w:szCs w:val="24"/>
                <w:lang w:eastAsia="zh-CN"/>
              </w:rPr>
              <w:t>，</w:t>
            </w:r>
            <w:r>
              <w:rPr>
                <w:rFonts w:hint="eastAsia" w:ascii="Times New Roman" w:hAnsi="Times New Roman" w:cs="Times New Roman"/>
                <w:b w:val="0"/>
                <w:bCs/>
                <w:color w:val="auto"/>
                <w:spacing w:val="0"/>
                <w:sz w:val="24"/>
                <w:szCs w:val="24"/>
                <w:lang w:val="en-US" w:eastAsia="zh-CN"/>
              </w:rPr>
              <w:t>造成朱鹮受伤</w:t>
            </w:r>
            <w:r>
              <w:rPr>
                <w:rFonts w:hint="eastAsia" w:ascii="Times New Roman" w:hAnsi="Times New Roman" w:cs="Times New Roman"/>
                <w:b w:val="0"/>
                <w:bCs/>
                <w:color w:val="auto"/>
                <w:spacing w:val="0"/>
                <w:sz w:val="24"/>
                <w:szCs w:val="24"/>
                <w:lang w:eastAsia="zh-CN"/>
              </w:rPr>
              <w:t>；</w:t>
            </w:r>
            <w:r>
              <w:rPr>
                <w:rFonts w:hint="eastAsia" w:ascii="Times New Roman" w:hAnsi="Times New Roman" w:cs="Times New Roman"/>
                <w:b w:val="0"/>
                <w:bCs/>
                <w:color w:val="auto"/>
                <w:spacing w:val="0"/>
                <w:sz w:val="24"/>
                <w:szCs w:val="24"/>
                <w:lang w:val="en-US" w:eastAsia="zh-CN"/>
              </w:rPr>
              <w:t>施工便道等</w:t>
            </w:r>
            <w:r>
              <w:rPr>
                <w:rFonts w:hint="default" w:ascii="Times New Roman" w:hAnsi="Times New Roman" w:eastAsia="宋体" w:cs="Times New Roman"/>
                <w:b w:val="0"/>
                <w:bCs/>
                <w:color w:val="auto"/>
                <w:spacing w:val="0"/>
                <w:sz w:val="24"/>
                <w:szCs w:val="24"/>
                <w:lang w:eastAsia="zh-CN"/>
              </w:rPr>
              <w:t>施工可能暂时阻断朱鹮飞行路线或觅食通道。</w:t>
            </w:r>
          </w:p>
          <w:p w14:paraId="7969D2BF">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宋体" w:hAnsi="宋体" w:eastAsia="宋体" w:cs="宋体"/>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val="en-US" w:eastAsia="zh-CN"/>
              </w:rPr>
              <w:t>2</w:t>
            </w:r>
            <w:r>
              <w:rPr>
                <w:rFonts w:hint="default" w:ascii="Times New Roman" w:hAnsi="Times New Roman" w:eastAsia="宋体" w:cs="Times New Roman"/>
                <w:b w:val="0"/>
                <w:bCs/>
                <w:color w:val="auto"/>
                <w:spacing w:val="0"/>
                <w:sz w:val="24"/>
                <w:szCs w:val="24"/>
                <w:lang w:eastAsia="zh-CN"/>
              </w:rPr>
              <w:t>）</w:t>
            </w:r>
            <w:r>
              <w:rPr>
                <w:rFonts w:hint="default" w:ascii="Times New Roman" w:hAnsi="Times New Roman" w:eastAsia="宋体" w:cs="Times New Roman"/>
                <w:b w:val="0"/>
                <w:bCs/>
                <w:color w:val="auto"/>
                <w:spacing w:val="0"/>
                <w:sz w:val="24"/>
                <w:szCs w:val="24"/>
                <w:lang w:val="en-US" w:eastAsia="zh-CN"/>
              </w:rPr>
              <w:t>对水生生</w:t>
            </w:r>
            <w:r>
              <w:rPr>
                <w:rFonts w:hint="eastAsia" w:eastAsia="宋体" w:cs="宋体"/>
                <w:b w:val="0"/>
                <w:bCs/>
                <w:color w:val="auto"/>
                <w:spacing w:val="0"/>
                <w:sz w:val="24"/>
                <w:szCs w:val="24"/>
                <w:lang w:val="en-US" w:eastAsia="zh-CN"/>
              </w:rPr>
              <w:t>态的影响</w:t>
            </w:r>
          </w:p>
          <w:p w14:paraId="54AC930F">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①施工污染对鱼类等水生生物区系的影响</w:t>
            </w:r>
          </w:p>
          <w:p w14:paraId="2021411B">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eastAsia" w:ascii="Times New Roman" w:hAnsi="Times New Roman" w:eastAsia="宋体" w:cs="Times New Roman"/>
                <w:color w:val="auto"/>
                <w:spacing w:val="0"/>
                <w:w w:val="100"/>
                <w:kern w:val="0"/>
                <w:position w:val="0"/>
                <w:sz w:val="24"/>
                <w:szCs w:val="24"/>
                <w:highlight w:val="none"/>
                <w:lang w:val="en-US" w:eastAsia="zh-CN"/>
              </w:rPr>
            </w:pPr>
            <w:r>
              <w:rPr>
                <w:rFonts w:hint="eastAsia" w:ascii="Times New Roman" w:hAnsi="Times New Roman" w:eastAsia="宋体" w:cs="Times New Roman"/>
                <w:color w:val="auto"/>
                <w:spacing w:val="0"/>
                <w:w w:val="100"/>
                <w:kern w:val="0"/>
                <w:position w:val="0"/>
                <w:sz w:val="24"/>
                <w:szCs w:val="24"/>
                <w:highlight w:val="none"/>
                <w:lang w:val="en-US" w:eastAsia="zh-CN"/>
              </w:rPr>
              <w:t>本工程</w:t>
            </w:r>
            <w:r>
              <w:rPr>
                <w:rFonts w:hint="eastAsia" w:cs="Times New Roman"/>
                <w:color w:val="auto"/>
                <w:spacing w:val="0"/>
                <w:w w:val="100"/>
                <w:kern w:val="0"/>
                <w:position w:val="0"/>
                <w:sz w:val="24"/>
                <w:szCs w:val="24"/>
                <w:highlight w:val="none"/>
                <w:lang w:val="en-US" w:eastAsia="zh-CN"/>
              </w:rPr>
              <w:t>修筑围堰和桩基施工</w:t>
            </w:r>
            <w:r>
              <w:rPr>
                <w:rFonts w:hint="eastAsia" w:ascii="Times New Roman" w:hAnsi="Times New Roman" w:cs="Times New Roman"/>
                <w:color w:val="auto"/>
                <w:spacing w:val="0"/>
                <w:w w:val="100"/>
                <w:kern w:val="0"/>
                <w:position w:val="0"/>
                <w:sz w:val="24"/>
                <w:szCs w:val="24"/>
                <w:highlight w:val="none"/>
                <w:lang w:val="en-US" w:eastAsia="zh-CN"/>
              </w:rPr>
              <w:t>涉水</w:t>
            </w:r>
            <w:r>
              <w:rPr>
                <w:rFonts w:hint="eastAsia" w:ascii="Times New Roman" w:hAnsi="Times New Roman" w:eastAsia="宋体" w:cs="Times New Roman"/>
                <w:color w:val="auto"/>
                <w:spacing w:val="0"/>
                <w:w w:val="100"/>
                <w:kern w:val="0"/>
                <w:position w:val="0"/>
                <w:sz w:val="24"/>
                <w:szCs w:val="24"/>
                <w:highlight w:val="none"/>
                <w:lang w:val="en-US" w:eastAsia="zh-CN"/>
              </w:rPr>
              <w:t>作业过程中，对河道底泥进行扰动，水体中悬浮物增加，施工期间，对水生生物的突出影响是由于水体透明度的下降，引起的浮游植物的减少，进而通过食物链影响下级生物的种群和数量。同时，由于破坏了底泥的物理化学环境，改变了水体界面的氧化还原条件，促进营养盐以可溶态形式向水中释放和回归，增加水体氮磷浓度，加重了水体的污染程度，给水生植物的光合作用及鱼类和浮游动物栖息环境带来不利影响。</w:t>
            </w:r>
          </w:p>
          <w:p w14:paraId="5448DD07">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②对鱼类等水生生物种群结构的影响</w:t>
            </w:r>
          </w:p>
          <w:p w14:paraId="70A235D1">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A.对鱼类种群结构的影响</w:t>
            </w:r>
          </w:p>
          <w:p w14:paraId="2F1BC97A">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eastAsia" w:cs="Times New Roman"/>
                <w:color w:val="auto"/>
                <w:spacing w:val="0"/>
                <w:w w:val="100"/>
                <w:kern w:val="0"/>
                <w:position w:val="0"/>
                <w:sz w:val="24"/>
                <w:szCs w:val="24"/>
                <w:highlight w:val="none"/>
                <w:lang w:val="en-US" w:eastAsia="zh-CN"/>
              </w:rPr>
              <w:t>工程施工</w:t>
            </w:r>
            <w:r>
              <w:rPr>
                <w:rFonts w:hint="default" w:ascii="Times New Roman" w:hAnsi="Times New Roman" w:eastAsia="宋体" w:cs="Times New Roman"/>
                <w:color w:val="auto"/>
                <w:spacing w:val="0"/>
                <w:w w:val="100"/>
                <w:kern w:val="0"/>
                <w:position w:val="0"/>
                <w:sz w:val="24"/>
                <w:szCs w:val="24"/>
                <w:highlight w:val="none"/>
                <w:lang w:val="en-US" w:eastAsia="zh-CN"/>
              </w:rPr>
              <w:t>产生的噪声振动会干扰鱼类的繁殖、索饵和越冬，甚至造成部分动物的胚胎发育终止。而对繁殖的干扰和胚胎发育的终止都会造成鱼、鱼苗和幼鱼的急剧减少，从而显著改变鱼类的种群结构。根据调查，该段河道内无鱼类</w:t>
            </w:r>
            <w:r>
              <w:rPr>
                <w:rFonts w:hint="eastAsia" w:ascii="Times New Roman" w:hAnsi="Times New Roman" w:eastAsia="宋体" w:cs="Times New Roman"/>
                <w:color w:val="auto"/>
                <w:spacing w:val="0"/>
                <w:w w:val="100"/>
                <w:kern w:val="0"/>
                <w:position w:val="0"/>
                <w:sz w:val="24"/>
                <w:szCs w:val="24"/>
                <w:highlight w:val="none"/>
                <w:lang w:val="en-US" w:eastAsia="zh-CN"/>
              </w:rPr>
              <w:t>“</w:t>
            </w:r>
            <w:r>
              <w:rPr>
                <w:rFonts w:hint="default" w:ascii="Times New Roman" w:hAnsi="Times New Roman" w:eastAsia="宋体" w:cs="Times New Roman"/>
                <w:color w:val="auto"/>
                <w:spacing w:val="0"/>
                <w:w w:val="100"/>
                <w:kern w:val="0"/>
                <w:position w:val="0"/>
                <w:sz w:val="24"/>
                <w:szCs w:val="24"/>
                <w:highlight w:val="none"/>
                <w:lang w:val="en-US" w:eastAsia="zh-CN"/>
              </w:rPr>
              <w:t>三场</w:t>
            </w:r>
            <w:r>
              <w:rPr>
                <w:rFonts w:hint="eastAsia" w:ascii="Times New Roman" w:hAnsi="Times New Roman" w:eastAsia="宋体" w:cs="Times New Roman"/>
                <w:color w:val="auto"/>
                <w:spacing w:val="0"/>
                <w:w w:val="100"/>
                <w:kern w:val="0"/>
                <w:position w:val="0"/>
                <w:sz w:val="24"/>
                <w:szCs w:val="24"/>
                <w:highlight w:val="none"/>
                <w:lang w:val="en-US" w:eastAsia="zh-CN"/>
              </w:rPr>
              <w:t>”</w:t>
            </w:r>
            <w:r>
              <w:rPr>
                <w:rFonts w:hint="default" w:ascii="Times New Roman" w:hAnsi="Times New Roman" w:eastAsia="宋体" w:cs="Times New Roman"/>
                <w:color w:val="auto"/>
                <w:spacing w:val="0"/>
                <w:w w:val="100"/>
                <w:kern w:val="0"/>
                <w:position w:val="0"/>
                <w:sz w:val="24"/>
                <w:szCs w:val="24"/>
                <w:highlight w:val="none"/>
                <w:lang w:val="en-US" w:eastAsia="zh-CN"/>
              </w:rPr>
              <w:t>分布，因此施工产生的噪声振动不会对鱼类的种群结构造成显著影响。</w:t>
            </w:r>
          </w:p>
          <w:p w14:paraId="6DB8E793">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B.</w:t>
            </w:r>
            <w:r>
              <w:rPr>
                <w:rFonts w:hint="eastAsia" w:cs="Times New Roman"/>
                <w:color w:val="auto"/>
                <w:spacing w:val="0"/>
                <w:w w:val="100"/>
                <w:kern w:val="0"/>
                <w:position w:val="0"/>
                <w:sz w:val="24"/>
                <w:szCs w:val="24"/>
                <w:highlight w:val="none"/>
                <w:lang w:val="en-US" w:eastAsia="zh-CN"/>
              </w:rPr>
              <w:t>对浮游生物</w:t>
            </w:r>
            <w:r>
              <w:rPr>
                <w:rFonts w:hint="default" w:ascii="Times New Roman" w:hAnsi="Times New Roman" w:eastAsia="宋体" w:cs="Times New Roman"/>
                <w:color w:val="auto"/>
                <w:spacing w:val="0"/>
                <w:w w:val="100"/>
                <w:kern w:val="0"/>
                <w:position w:val="0"/>
                <w:sz w:val="24"/>
                <w:szCs w:val="24"/>
                <w:highlight w:val="none"/>
                <w:lang w:val="en-US" w:eastAsia="zh-CN"/>
              </w:rPr>
              <w:t>种群结构的影响</w:t>
            </w:r>
          </w:p>
          <w:p w14:paraId="7C722C5E">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eastAsia" w:cs="Times New Roman"/>
                <w:color w:val="auto"/>
                <w:spacing w:val="0"/>
                <w:w w:val="100"/>
                <w:kern w:val="0"/>
                <w:position w:val="0"/>
                <w:sz w:val="24"/>
                <w:szCs w:val="24"/>
                <w:highlight w:val="none"/>
                <w:lang w:val="en-US" w:eastAsia="zh-CN"/>
              </w:rPr>
              <w:t>工程</w:t>
            </w:r>
            <w:r>
              <w:rPr>
                <w:rFonts w:hint="default" w:ascii="Times New Roman" w:hAnsi="Times New Roman" w:eastAsia="宋体" w:cs="Times New Roman"/>
                <w:color w:val="auto"/>
                <w:spacing w:val="0"/>
                <w:w w:val="100"/>
                <w:kern w:val="0"/>
                <w:position w:val="0"/>
                <w:sz w:val="24"/>
                <w:szCs w:val="24"/>
                <w:highlight w:val="none"/>
                <w:lang w:val="en-US" w:eastAsia="zh-CN"/>
              </w:rPr>
              <w:t>涉水施工对水体搅动及可能的水质环境污染使施工作业点及附近的浮游藻类、浮游动物的种类数量减少或消失。但</w:t>
            </w:r>
            <w:r>
              <w:rPr>
                <w:rFonts w:hint="eastAsia" w:cs="Times New Roman"/>
                <w:color w:val="auto"/>
                <w:spacing w:val="0"/>
                <w:w w:val="100"/>
                <w:kern w:val="0"/>
                <w:position w:val="0"/>
                <w:sz w:val="24"/>
                <w:szCs w:val="24"/>
                <w:highlight w:val="none"/>
                <w:lang w:val="en-US" w:eastAsia="zh-CN"/>
              </w:rPr>
              <w:t>工程量较小，</w:t>
            </w:r>
            <w:r>
              <w:rPr>
                <w:rFonts w:hint="default" w:ascii="Times New Roman" w:hAnsi="Times New Roman" w:eastAsia="宋体" w:cs="Times New Roman"/>
                <w:color w:val="auto"/>
                <w:spacing w:val="0"/>
                <w:w w:val="100"/>
                <w:kern w:val="0"/>
                <w:position w:val="0"/>
                <w:sz w:val="24"/>
                <w:szCs w:val="24"/>
                <w:highlight w:val="none"/>
                <w:lang w:val="en-US" w:eastAsia="zh-CN"/>
              </w:rPr>
              <w:t>施工扰动范围有限，加之浮游藻类、浮游动物的繁殖速度快，受光照、温度等的影响大，因而工程施工不会对评价区内浮游藻类、浮游动物造成不可逆的破坏，且项目施工影响短暂，施工结束后其影响</w:t>
            </w:r>
            <w:r>
              <w:rPr>
                <w:rFonts w:hint="eastAsia" w:cs="Times New Roman"/>
                <w:color w:val="auto"/>
                <w:spacing w:val="0"/>
                <w:w w:val="100"/>
                <w:kern w:val="0"/>
                <w:position w:val="0"/>
                <w:sz w:val="24"/>
                <w:szCs w:val="24"/>
                <w:highlight w:val="none"/>
                <w:lang w:val="en-US" w:eastAsia="zh-CN"/>
              </w:rPr>
              <w:t>也</w:t>
            </w:r>
            <w:r>
              <w:rPr>
                <w:rFonts w:hint="default" w:ascii="Times New Roman" w:hAnsi="Times New Roman" w:eastAsia="宋体" w:cs="Times New Roman"/>
                <w:color w:val="auto"/>
                <w:spacing w:val="0"/>
                <w:w w:val="100"/>
                <w:kern w:val="0"/>
                <w:position w:val="0"/>
                <w:sz w:val="24"/>
                <w:szCs w:val="24"/>
                <w:highlight w:val="none"/>
                <w:lang w:val="en-US" w:eastAsia="zh-CN"/>
              </w:rPr>
              <w:t>随之消失，区段浮游藻类、浮游动物能很快恢复。因此工程施工虽然会使浮游动物的生物量有一定</w:t>
            </w:r>
            <w:r>
              <w:rPr>
                <w:rFonts w:hint="eastAsia" w:cs="Times New Roman"/>
                <w:color w:val="auto"/>
                <w:spacing w:val="0"/>
                <w:w w:val="100"/>
                <w:kern w:val="0"/>
                <w:position w:val="0"/>
                <w:sz w:val="24"/>
                <w:szCs w:val="24"/>
                <w:highlight w:val="none"/>
                <w:lang w:val="en-US" w:eastAsia="zh-CN"/>
              </w:rPr>
              <w:t>的</w:t>
            </w:r>
            <w:r>
              <w:rPr>
                <w:rFonts w:hint="default" w:ascii="Times New Roman" w:hAnsi="Times New Roman" w:eastAsia="宋体" w:cs="Times New Roman"/>
                <w:color w:val="auto"/>
                <w:spacing w:val="0"/>
                <w:w w:val="100"/>
                <w:kern w:val="0"/>
                <w:position w:val="0"/>
                <w:sz w:val="24"/>
                <w:szCs w:val="24"/>
                <w:highlight w:val="none"/>
                <w:lang w:val="en-US" w:eastAsia="zh-CN"/>
              </w:rPr>
              <w:t>减少，但这种影响也只是局部的和暂时的</w:t>
            </w:r>
            <w:r>
              <w:rPr>
                <w:rFonts w:hint="eastAsia" w:cs="Times New Roman"/>
                <w:color w:val="auto"/>
                <w:spacing w:val="0"/>
                <w:w w:val="100"/>
                <w:kern w:val="0"/>
                <w:position w:val="0"/>
                <w:sz w:val="24"/>
                <w:szCs w:val="24"/>
                <w:highlight w:val="none"/>
                <w:lang w:val="en-US" w:eastAsia="zh-CN"/>
              </w:rPr>
              <w:t>。</w:t>
            </w:r>
          </w:p>
          <w:p w14:paraId="2770E6E3">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eastAsia" w:cs="Times New Roman"/>
                <w:color w:val="auto"/>
                <w:spacing w:val="0"/>
                <w:w w:val="100"/>
                <w:kern w:val="0"/>
                <w:position w:val="0"/>
                <w:sz w:val="24"/>
                <w:szCs w:val="24"/>
                <w:highlight w:val="none"/>
                <w:lang w:val="en-US" w:eastAsia="zh-CN"/>
              </w:rPr>
              <w:t>C.</w:t>
            </w:r>
            <w:r>
              <w:rPr>
                <w:rFonts w:hint="default" w:ascii="Times New Roman" w:hAnsi="Times New Roman" w:eastAsia="宋体" w:cs="Times New Roman"/>
                <w:color w:val="auto"/>
                <w:spacing w:val="0"/>
                <w:w w:val="100"/>
                <w:kern w:val="0"/>
                <w:position w:val="0"/>
                <w:sz w:val="24"/>
                <w:szCs w:val="24"/>
                <w:highlight w:val="none"/>
                <w:lang w:val="en-US" w:eastAsia="zh-CN"/>
              </w:rPr>
              <w:t>对底栖动物和水生植物群结构的影响</w:t>
            </w:r>
          </w:p>
          <w:p w14:paraId="5D28CB65">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工程</w:t>
            </w:r>
            <w:r>
              <w:rPr>
                <w:rFonts w:hint="eastAsia" w:cs="Times New Roman"/>
                <w:color w:val="auto"/>
                <w:spacing w:val="0"/>
                <w:w w:val="100"/>
                <w:kern w:val="0"/>
                <w:position w:val="0"/>
                <w:sz w:val="24"/>
                <w:szCs w:val="24"/>
                <w:highlight w:val="none"/>
                <w:lang w:val="en-US" w:eastAsia="zh-CN"/>
              </w:rPr>
              <w:t>修筑围堰及桩基钻孔</w:t>
            </w:r>
            <w:r>
              <w:rPr>
                <w:rFonts w:hint="eastAsia" w:ascii="Times New Roman" w:hAnsi="Times New Roman" w:eastAsia="宋体" w:cs="Times New Roman"/>
                <w:color w:val="auto"/>
                <w:spacing w:val="0"/>
                <w:w w:val="100"/>
                <w:kern w:val="0"/>
                <w:position w:val="0"/>
                <w:sz w:val="24"/>
                <w:szCs w:val="24"/>
                <w:highlight w:val="none"/>
                <w:lang w:val="en-US" w:eastAsia="zh-CN"/>
              </w:rPr>
              <w:t>对底栖动物的影响较大。施工作业过程中将破坏底栖动物及其栖息环境，工程区内水体底部的动物区系、种群、数量、种群结构和生态地位将受到较大程度的影响。同时，</w:t>
            </w:r>
            <w:r>
              <w:rPr>
                <w:rFonts w:hint="eastAsia" w:cs="Times New Roman"/>
                <w:color w:val="auto"/>
                <w:spacing w:val="0"/>
                <w:w w:val="100"/>
                <w:kern w:val="0"/>
                <w:position w:val="0"/>
                <w:sz w:val="24"/>
                <w:szCs w:val="24"/>
                <w:highlight w:val="none"/>
                <w:lang w:val="en-US" w:eastAsia="zh-CN"/>
              </w:rPr>
              <w:t>桩基钻孔施工</w:t>
            </w:r>
            <w:r>
              <w:rPr>
                <w:rFonts w:hint="eastAsia" w:ascii="Times New Roman" w:hAnsi="Times New Roman" w:eastAsia="宋体" w:cs="Times New Roman"/>
                <w:color w:val="auto"/>
                <w:spacing w:val="0"/>
                <w:w w:val="100"/>
                <w:kern w:val="0"/>
                <w:position w:val="0"/>
                <w:sz w:val="24"/>
                <w:szCs w:val="24"/>
                <w:highlight w:val="none"/>
                <w:lang w:val="en-US" w:eastAsia="zh-CN"/>
              </w:rPr>
              <w:t>将有部分底栖生物被清理，原有生态位的相对稳定将被打破。由于</w:t>
            </w:r>
            <w:r>
              <w:rPr>
                <w:rFonts w:hint="eastAsia" w:cs="Times New Roman"/>
                <w:color w:val="auto"/>
                <w:spacing w:val="0"/>
                <w:w w:val="100"/>
                <w:kern w:val="0"/>
                <w:position w:val="0"/>
                <w:sz w:val="24"/>
                <w:szCs w:val="24"/>
                <w:highlight w:val="none"/>
                <w:lang w:val="en-US" w:eastAsia="zh-CN"/>
              </w:rPr>
              <w:t>围堰及桩基钻孔施</w:t>
            </w:r>
            <w:r>
              <w:rPr>
                <w:rFonts w:hint="eastAsia" w:ascii="Times New Roman" w:hAnsi="Times New Roman" w:eastAsia="宋体" w:cs="Times New Roman"/>
                <w:color w:val="auto"/>
                <w:spacing w:val="0"/>
                <w:w w:val="100"/>
                <w:kern w:val="0"/>
                <w:position w:val="0"/>
                <w:sz w:val="24"/>
                <w:szCs w:val="24"/>
                <w:highlight w:val="none"/>
                <w:lang w:val="en-US" w:eastAsia="zh-CN"/>
              </w:rPr>
              <w:t>工期较短，结束后底栖生物会逐步恢复，因此</w:t>
            </w:r>
            <w:r>
              <w:rPr>
                <w:rFonts w:hint="eastAsia" w:cs="Times New Roman"/>
                <w:color w:val="auto"/>
                <w:spacing w:val="0"/>
                <w:w w:val="100"/>
                <w:kern w:val="0"/>
                <w:position w:val="0"/>
                <w:sz w:val="24"/>
                <w:szCs w:val="24"/>
                <w:highlight w:val="none"/>
                <w:lang w:val="en-US" w:eastAsia="zh-CN"/>
              </w:rPr>
              <w:t>主体工程施工</w:t>
            </w:r>
            <w:r>
              <w:rPr>
                <w:rFonts w:hint="eastAsia" w:ascii="Times New Roman" w:hAnsi="Times New Roman" w:eastAsia="宋体" w:cs="Times New Roman"/>
                <w:color w:val="auto"/>
                <w:spacing w:val="0"/>
                <w:w w:val="100"/>
                <w:kern w:val="0"/>
                <w:position w:val="0"/>
                <w:sz w:val="24"/>
                <w:szCs w:val="24"/>
                <w:highlight w:val="none"/>
                <w:lang w:val="en-US" w:eastAsia="zh-CN"/>
              </w:rPr>
              <w:t>不会造成底栖生物的大量消失和灭绝</w:t>
            </w:r>
            <w:r>
              <w:rPr>
                <w:rFonts w:hint="default" w:ascii="Times New Roman" w:hAnsi="Times New Roman" w:eastAsia="宋体" w:cs="Times New Roman"/>
                <w:color w:val="auto"/>
                <w:spacing w:val="0"/>
                <w:w w:val="100"/>
                <w:kern w:val="0"/>
                <w:position w:val="0"/>
                <w:sz w:val="24"/>
                <w:szCs w:val="24"/>
                <w:highlight w:val="none"/>
                <w:lang w:val="en-US" w:eastAsia="zh-CN"/>
              </w:rPr>
              <w:t>。</w:t>
            </w:r>
          </w:p>
          <w:p w14:paraId="0736D5F6">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Times New Roman" w:hAnsi="Times New Roman"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0"/>
                <w:position w:val="0"/>
                <w:sz w:val="24"/>
                <w:szCs w:val="24"/>
                <w:highlight w:val="none"/>
                <w:lang w:val="en-US" w:eastAsia="zh-CN"/>
              </w:rPr>
              <w:t>综上所述，本工程施工过程中由于扰动河流底泥引起水质变化，但</w:t>
            </w:r>
            <w:r>
              <w:rPr>
                <w:rFonts w:hint="eastAsia" w:ascii="Times New Roman" w:hAnsi="Times New Roman" w:cs="Times New Roman"/>
                <w:color w:val="auto"/>
                <w:spacing w:val="0"/>
                <w:w w:val="100"/>
                <w:kern w:val="0"/>
                <w:position w:val="0"/>
                <w:sz w:val="24"/>
                <w:szCs w:val="24"/>
                <w:highlight w:val="none"/>
                <w:lang w:val="en-US" w:eastAsia="zh-CN"/>
              </w:rPr>
              <w:t>工程量小、</w:t>
            </w:r>
            <w:r>
              <w:rPr>
                <w:rFonts w:hint="eastAsia" w:ascii="Times New Roman" w:hAnsi="Times New Roman" w:eastAsia="宋体" w:cs="Times New Roman"/>
                <w:color w:val="auto"/>
                <w:spacing w:val="0"/>
                <w:w w:val="100"/>
                <w:kern w:val="0"/>
                <w:position w:val="0"/>
                <w:sz w:val="24"/>
                <w:szCs w:val="24"/>
                <w:highlight w:val="none"/>
                <w:lang w:val="en-US" w:eastAsia="zh-CN"/>
              </w:rPr>
              <w:t>施工期短暂，施工影响范围及损失的生物量相对于整个评价水域而言很小。随着施工结束，水生生态将恢复到原有状态</w:t>
            </w:r>
            <w:r>
              <w:rPr>
                <w:rFonts w:hint="default" w:ascii="Times New Roman" w:hAnsi="Times New Roman" w:cs="Times New Roman"/>
                <w:b w:val="0"/>
                <w:bCs/>
                <w:color w:val="auto"/>
                <w:spacing w:val="0"/>
                <w:sz w:val="24"/>
                <w:szCs w:val="24"/>
              </w:rPr>
              <w:t>。</w:t>
            </w:r>
            <w:r>
              <w:rPr>
                <w:rFonts w:hint="eastAsia" w:ascii="Times New Roman" w:hAnsi="Times New Roman" w:eastAsia="宋体" w:cs="Times New Roman"/>
                <w:color w:val="auto"/>
                <w:spacing w:val="0"/>
                <w:w w:val="100"/>
                <w:kern w:val="2"/>
                <w:position w:val="0"/>
                <w:sz w:val="24"/>
                <w:szCs w:val="24"/>
                <w:highlight w:val="none"/>
                <w:lang w:val="en-US" w:eastAsia="zh-CN" w:bidi="ar-SA"/>
              </w:rPr>
              <w:t>根据</w:t>
            </w:r>
            <w:r>
              <w:rPr>
                <w:rFonts w:hint="eastAsia" w:ascii="Times New Roman" w:hAnsi="Times New Roman" w:cs="Times New Roman"/>
                <w:color w:val="auto"/>
                <w:spacing w:val="0"/>
                <w:w w:val="100"/>
                <w:kern w:val="2"/>
                <w:position w:val="0"/>
                <w:sz w:val="24"/>
                <w:szCs w:val="24"/>
                <w:highlight w:val="none"/>
                <w:lang w:val="en-US" w:eastAsia="zh-CN" w:bidi="ar-SA"/>
              </w:rPr>
              <w:t>汉江现状</w:t>
            </w:r>
            <w:r>
              <w:rPr>
                <w:rFonts w:hint="eastAsia" w:ascii="Times New Roman" w:hAnsi="Times New Roman" w:eastAsia="宋体" w:cs="Times New Roman"/>
                <w:color w:val="auto"/>
                <w:spacing w:val="0"/>
                <w:w w:val="100"/>
                <w:kern w:val="2"/>
                <w:position w:val="0"/>
                <w:sz w:val="24"/>
                <w:szCs w:val="24"/>
                <w:highlight w:val="none"/>
                <w:lang w:val="en-US" w:eastAsia="zh-CN" w:bidi="ar-SA"/>
              </w:rPr>
              <w:t>监测结果，</w:t>
            </w:r>
            <w:r>
              <w:rPr>
                <w:rFonts w:hint="eastAsia" w:ascii="Times New Roman" w:hAnsi="Times New Roman" w:cs="Times New Roman"/>
                <w:color w:val="auto"/>
                <w:spacing w:val="0"/>
                <w:w w:val="100"/>
                <w:kern w:val="2"/>
                <w:position w:val="0"/>
                <w:sz w:val="24"/>
                <w:szCs w:val="24"/>
                <w:highlight w:val="none"/>
                <w:lang w:val="en-US" w:eastAsia="zh-CN" w:bidi="ar-SA"/>
              </w:rPr>
              <w:t>其水质符合《地表水环境质量》（GB3838-2002）中的</w:t>
            </w:r>
            <w:r>
              <w:rPr>
                <w:rFonts w:hint="default" w:ascii="Times New Roman" w:hAnsi="Times New Roman" w:eastAsia="宋体" w:cs="Times New Roman"/>
                <w:color w:val="auto"/>
                <w:spacing w:val="0"/>
                <w:w w:val="100"/>
                <w:kern w:val="2"/>
                <w:position w:val="0"/>
                <w:sz w:val="24"/>
                <w:szCs w:val="24"/>
                <w:highlight w:val="none"/>
                <w:lang w:val="en-US" w:eastAsia="zh-CN" w:bidi="ar-SA"/>
              </w:rPr>
              <w:t>Ⅱ</w:t>
            </w:r>
            <w:r>
              <w:rPr>
                <w:rFonts w:hint="eastAsia" w:ascii="宋体" w:hAnsi="宋体" w:eastAsia="宋体" w:cs="宋体"/>
                <w:color w:val="auto"/>
                <w:spacing w:val="0"/>
                <w:w w:val="100"/>
                <w:kern w:val="2"/>
                <w:position w:val="0"/>
                <w:sz w:val="24"/>
                <w:szCs w:val="24"/>
                <w:highlight w:val="none"/>
                <w:lang w:val="en-US" w:eastAsia="zh-CN" w:bidi="ar-SA"/>
              </w:rPr>
              <w:t>类</w:t>
            </w:r>
            <w:r>
              <w:rPr>
                <w:rFonts w:hint="eastAsia" w:ascii="Times New Roman" w:hAnsi="Times New Roman" w:cs="Times New Roman"/>
                <w:color w:val="auto"/>
                <w:spacing w:val="0"/>
                <w:w w:val="100"/>
                <w:kern w:val="2"/>
                <w:position w:val="0"/>
                <w:sz w:val="24"/>
                <w:szCs w:val="24"/>
                <w:highlight w:val="none"/>
                <w:lang w:val="en-US" w:eastAsia="zh-CN" w:bidi="ar-SA"/>
              </w:rPr>
              <w:t>区标准要求</w:t>
            </w:r>
            <w:r>
              <w:rPr>
                <w:rFonts w:hint="default" w:ascii="Times New Roman" w:hAnsi="Times New Roman" w:cs="Times New Roman"/>
                <w:color w:val="auto"/>
                <w:spacing w:val="0"/>
                <w:w w:val="100"/>
                <w:kern w:val="2"/>
                <w:position w:val="0"/>
                <w:sz w:val="24"/>
                <w:szCs w:val="24"/>
                <w:highlight w:val="none"/>
                <w:lang w:val="en-US" w:eastAsia="zh-CN" w:bidi="ar-SA"/>
              </w:rPr>
              <w:t>。</w:t>
            </w:r>
          </w:p>
          <w:p w14:paraId="732A208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pacing w:val="0"/>
                <w:w w:val="100"/>
                <w:position w:val="0"/>
                <w:sz w:val="24"/>
                <w:szCs w:val="24"/>
                <w:highlight w:val="none"/>
                <w:lang w:val="en-US" w:eastAsia="zh-CN"/>
              </w:rPr>
            </w:pPr>
            <w:r>
              <w:rPr>
                <w:rFonts w:hint="eastAsia" w:cs="Times New Roman"/>
                <w:b/>
                <w:bCs/>
                <w:color w:val="auto"/>
                <w:spacing w:val="0"/>
                <w:w w:val="100"/>
                <w:position w:val="0"/>
                <w:sz w:val="24"/>
                <w:szCs w:val="24"/>
                <w:highlight w:val="none"/>
                <w:lang w:val="en-US" w:eastAsia="zh-CN"/>
              </w:rPr>
              <w:t>2、</w:t>
            </w:r>
            <w:r>
              <w:rPr>
                <w:rFonts w:hint="default" w:ascii="Times New Roman" w:hAnsi="Times New Roman" w:cs="Times New Roman"/>
                <w:b/>
                <w:bCs/>
                <w:color w:val="auto"/>
                <w:spacing w:val="0"/>
                <w:w w:val="100"/>
                <w:position w:val="0"/>
                <w:sz w:val="24"/>
                <w:szCs w:val="24"/>
                <w:highlight w:val="none"/>
                <w:lang w:val="en-US" w:eastAsia="zh-CN"/>
              </w:rPr>
              <w:t>大气环境影响分析</w:t>
            </w:r>
          </w:p>
          <w:p w14:paraId="510CB302">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default" w:ascii="Times New Roman" w:hAnsi="Times New Roman" w:cs="Times New Roman"/>
                <w:b w:val="0"/>
                <w:bCs/>
                <w:color w:val="auto"/>
                <w:spacing w:val="0"/>
                <w:sz w:val="24"/>
                <w:szCs w:val="24"/>
                <w:lang w:val="en-US" w:eastAsia="zh-CN"/>
              </w:rPr>
            </w:pPr>
            <w:r>
              <w:rPr>
                <w:rFonts w:hint="eastAsia" w:ascii="Times New Roman" w:hAnsi="Times New Roman" w:cs="Times New Roman"/>
                <w:b w:val="0"/>
                <w:bCs/>
                <w:color w:val="auto"/>
                <w:spacing w:val="0"/>
                <w:sz w:val="24"/>
                <w:szCs w:val="24"/>
                <w:lang w:val="en-US" w:eastAsia="zh-CN"/>
              </w:rPr>
              <w:t>本工程现场不设置混凝土搅拌设施，工程所需混凝土全部外购自洋县商砼站。施工期废气污染物主要来源于</w:t>
            </w:r>
            <w:r>
              <w:rPr>
                <w:rFonts w:hint="eastAsia" w:ascii="Times New Roman" w:hAnsi="Times New Roman" w:eastAsia="宋体" w:cs="宋体"/>
                <w:color w:val="auto"/>
                <w:lang w:val="en-US" w:eastAsia="zh-CN"/>
              </w:rPr>
              <w:t>清基、</w:t>
            </w:r>
            <w:r>
              <w:rPr>
                <w:rFonts w:hint="eastAsia" w:ascii="Times New Roman" w:hAnsi="Times New Roman" w:cs="宋体"/>
                <w:color w:val="auto"/>
                <w:lang w:val="en-US" w:eastAsia="zh-CN"/>
              </w:rPr>
              <w:t>土方</w:t>
            </w:r>
            <w:r>
              <w:rPr>
                <w:rFonts w:hint="eastAsia" w:ascii="Times New Roman" w:hAnsi="Times New Roman" w:eastAsia="宋体" w:cs="宋体"/>
                <w:color w:val="auto"/>
                <w:lang w:val="en-US" w:eastAsia="zh-CN"/>
              </w:rPr>
              <w:t>开挖和填筑</w:t>
            </w:r>
            <w:r>
              <w:rPr>
                <w:rFonts w:hint="eastAsia" w:ascii="Times New Roman" w:hAnsi="Times New Roman" w:cs="宋体"/>
                <w:color w:val="auto"/>
                <w:lang w:val="en-US" w:eastAsia="zh-CN"/>
              </w:rPr>
              <w:t>、施工便道修筑和拆除</w:t>
            </w:r>
            <w:r>
              <w:rPr>
                <w:rFonts w:hint="eastAsia" w:ascii="Times New Roman" w:hAnsi="Times New Roman" w:eastAsia="宋体" w:cs="宋体"/>
                <w:color w:val="auto"/>
                <w:lang w:val="en-US" w:eastAsia="zh-CN"/>
              </w:rPr>
              <w:t>过程中的施工扬尘、</w:t>
            </w:r>
            <w:r>
              <w:rPr>
                <w:rFonts w:hint="eastAsia" w:ascii="Times New Roman" w:hAnsi="Times New Roman" w:cs="宋体"/>
                <w:color w:val="auto"/>
                <w:lang w:val="en-US" w:eastAsia="zh-CN"/>
              </w:rPr>
              <w:t>建筑材料堆放扬尘、</w:t>
            </w:r>
            <w:r>
              <w:rPr>
                <w:rFonts w:hint="eastAsia" w:ascii="Times New Roman" w:hAnsi="Times New Roman" w:eastAsia="宋体" w:cs="宋体"/>
                <w:color w:val="auto"/>
                <w:lang w:val="en-US" w:eastAsia="zh-CN"/>
              </w:rPr>
              <w:t>运输车辆道路扬尘</w:t>
            </w:r>
            <w:r>
              <w:rPr>
                <w:rFonts w:hint="eastAsia" w:ascii="Times New Roman" w:hAnsi="Times New Roman" w:cs="宋体"/>
                <w:color w:val="auto"/>
                <w:lang w:val="en-US" w:eastAsia="zh-CN"/>
              </w:rPr>
              <w:t>和</w:t>
            </w:r>
            <w:r>
              <w:rPr>
                <w:rFonts w:hint="eastAsia" w:ascii="Times New Roman" w:hAnsi="Times New Roman" w:eastAsia="宋体" w:cs="宋体"/>
                <w:color w:val="auto"/>
                <w:lang w:val="en-US" w:eastAsia="zh-CN"/>
              </w:rPr>
              <w:t>施工机械燃油尾气</w:t>
            </w:r>
            <w:r>
              <w:rPr>
                <w:rFonts w:hint="default" w:ascii="Times New Roman" w:hAnsi="Times New Roman" w:cs="Times New Roman"/>
                <w:color w:val="auto"/>
                <w:sz w:val="24"/>
                <w:szCs w:val="24"/>
                <w:lang w:eastAsia="zh-CN"/>
              </w:rPr>
              <w:t>。</w:t>
            </w:r>
          </w:p>
          <w:p w14:paraId="28332A78">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eastAsia" w:eastAsia="宋体" w:cs="宋体"/>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val="en-US" w:eastAsia="zh-CN"/>
              </w:rPr>
              <w:t>（1）</w:t>
            </w:r>
            <w:r>
              <w:rPr>
                <w:rFonts w:hint="eastAsia" w:ascii="Times New Roman" w:hAnsi="Times New Roman" w:eastAsia="宋体" w:cs="Times New Roman"/>
                <w:b w:val="0"/>
                <w:bCs/>
                <w:color w:val="auto"/>
                <w:spacing w:val="0"/>
                <w:sz w:val="24"/>
                <w:szCs w:val="24"/>
                <w:lang w:val="en-US" w:eastAsia="zh-CN"/>
              </w:rPr>
              <w:t>扬尘影响分析</w:t>
            </w:r>
          </w:p>
          <w:p w14:paraId="74436C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①施工扬尘</w:t>
            </w:r>
          </w:p>
          <w:p w14:paraId="61AE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工程施工期间，产生扬尘的作业主要有各环节中土地平整、</w:t>
            </w:r>
            <w:r>
              <w:rPr>
                <w:rFonts w:hint="eastAsia" w:cs="Times New Roman"/>
                <w:color w:val="auto"/>
                <w:sz w:val="24"/>
                <w:szCs w:val="24"/>
                <w:lang w:val="en-US" w:eastAsia="zh-CN"/>
              </w:rPr>
              <w:t>土方</w:t>
            </w:r>
            <w:r>
              <w:rPr>
                <w:rFonts w:hint="eastAsia" w:ascii="Times New Roman" w:hAnsi="Times New Roman" w:cs="Times New Roman"/>
                <w:color w:val="auto"/>
                <w:sz w:val="24"/>
                <w:szCs w:val="24"/>
                <w:lang w:val="en-US" w:eastAsia="zh-CN"/>
              </w:rPr>
              <w:t>开挖、回填、</w:t>
            </w:r>
            <w:r>
              <w:rPr>
                <w:rFonts w:hint="eastAsia" w:cs="Times New Roman"/>
                <w:color w:val="auto"/>
                <w:sz w:val="24"/>
                <w:szCs w:val="24"/>
                <w:lang w:val="en-US" w:eastAsia="zh-CN"/>
              </w:rPr>
              <w:t>填筑</w:t>
            </w:r>
            <w:r>
              <w:rPr>
                <w:rFonts w:hint="eastAsia" w:ascii="Times New Roman" w:hAnsi="Times New Roman" w:cs="Times New Roman"/>
                <w:color w:val="auto"/>
                <w:sz w:val="24"/>
                <w:szCs w:val="24"/>
                <w:lang w:val="en-US" w:eastAsia="zh-CN"/>
              </w:rPr>
              <w:t>等过程，如遇干旱少雨的季节，在大风时，施工扬尘将更为严重。考虑到</w:t>
            </w:r>
            <w:r>
              <w:rPr>
                <w:rFonts w:hint="eastAsia" w:cs="Times New Roman"/>
                <w:color w:val="auto"/>
                <w:sz w:val="24"/>
                <w:szCs w:val="24"/>
                <w:lang w:val="en-US" w:eastAsia="zh-CN"/>
              </w:rPr>
              <w:t>主体</w:t>
            </w:r>
            <w:r>
              <w:rPr>
                <w:rFonts w:hint="eastAsia" w:ascii="Times New Roman" w:hAnsi="Times New Roman" w:cs="Times New Roman"/>
                <w:color w:val="auto"/>
                <w:sz w:val="24"/>
                <w:szCs w:val="24"/>
                <w:lang w:val="en-US" w:eastAsia="zh-CN"/>
              </w:rPr>
              <w:t>工程</w:t>
            </w:r>
            <w:r>
              <w:rPr>
                <w:rFonts w:hint="eastAsia" w:cs="Times New Roman"/>
                <w:color w:val="auto"/>
                <w:sz w:val="24"/>
                <w:szCs w:val="24"/>
                <w:lang w:val="en-US" w:eastAsia="zh-CN"/>
              </w:rPr>
              <w:t>位于河道内</w:t>
            </w:r>
            <w:r>
              <w:rPr>
                <w:rFonts w:hint="eastAsia" w:ascii="Times New Roman" w:hAnsi="Times New Roman" w:cs="Times New Roman"/>
                <w:color w:val="auto"/>
                <w:sz w:val="24"/>
                <w:szCs w:val="24"/>
                <w:lang w:val="en-US" w:eastAsia="zh-CN"/>
              </w:rPr>
              <w:t>，土壤含水率较高，因此各类扬尘产生量有限，同时项目施工周期短，强度低，工程结束后及时进行表土回填，恢复原貌，因此扬尘产生量较少。</w:t>
            </w:r>
          </w:p>
          <w:p w14:paraId="30D55F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宋体" w:hAnsi="宋体" w:eastAsia="宋体" w:cs="宋体"/>
                <w:color w:val="auto"/>
                <w:sz w:val="24"/>
                <w:szCs w:val="24"/>
                <w:lang w:val="en-US" w:eastAsia="zh-CN"/>
              </w:rPr>
              <w:t>②</w:t>
            </w:r>
            <w:r>
              <w:rPr>
                <w:rFonts w:hint="eastAsia" w:ascii="Times New Roman" w:hAnsi="Times New Roman" w:cs="Times New Roman"/>
                <w:color w:val="auto"/>
                <w:sz w:val="24"/>
                <w:szCs w:val="24"/>
                <w:lang w:val="en-US" w:eastAsia="zh-CN"/>
              </w:rPr>
              <w:t>堆场扬尘</w:t>
            </w:r>
          </w:p>
          <w:p w14:paraId="3B8B0E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pacing w:val="0"/>
                <w:w w:val="100"/>
                <w:kern w:val="2"/>
                <w:position w:val="0"/>
                <w:sz w:val="24"/>
                <w:szCs w:val="24"/>
                <w:highlight w:val="none"/>
                <w:lang w:val="en-US" w:eastAsia="zh-CN" w:bidi="ar-SA"/>
              </w:rPr>
            </w:pPr>
            <w:r>
              <w:rPr>
                <w:rFonts w:hint="eastAsia" w:cs="Times New Roman"/>
                <w:color w:val="auto"/>
                <w:sz w:val="24"/>
                <w:szCs w:val="24"/>
                <w:lang w:val="en-US" w:eastAsia="zh-CN"/>
              </w:rPr>
              <w:t>本项目施工期较短，</w:t>
            </w:r>
            <w:r>
              <w:rPr>
                <w:rFonts w:hint="eastAsia" w:ascii="Times New Roman" w:hAnsi="Times New Roman" w:cs="Times New Roman"/>
                <w:color w:val="auto"/>
                <w:sz w:val="24"/>
                <w:szCs w:val="24"/>
                <w:lang w:val="en-US" w:eastAsia="zh-CN"/>
              </w:rPr>
              <w:t>建筑材料虽然堆放时间较短，但是在堆放时间内产生堆场扬尘，堆场的扬尘包括料堆的风吹扬尘、装卸扬尘和过往车辆引起路面积尘二次扬尘等，</w:t>
            </w:r>
            <w:r>
              <w:rPr>
                <w:rFonts w:hint="eastAsia" w:ascii="Times New Roman" w:hAnsi="Times New Roman" w:eastAsia="宋体" w:cs="Times New Roman"/>
                <w:color w:val="auto"/>
                <w:spacing w:val="0"/>
                <w:w w:val="100"/>
                <w:kern w:val="2"/>
                <w:position w:val="0"/>
                <w:sz w:val="24"/>
                <w:szCs w:val="24"/>
                <w:highlight w:val="none"/>
                <w:lang w:val="en-US" w:eastAsia="zh-CN" w:bidi="ar-SA"/>
              </w:rPr>
              <w:t>项目在施工过程中采取物料遮盖、洒水</w:t>
            </w:r>
            <w:r>
              <w:rPr>
                <w:rFonts w:hint="eastAsia" w:cs="Times New Roman"/>
                <w:color w:val="auto"/>
                <w:spacing w:val="0"/>
                <w:w w:val="100"/>
                <w:kern w:val="2"/>
                <w:position w:val="0"/>
                <w:sz w:val="24"/>
                <w:szCs w:val="24"/>
                <w:highlight w:val="none"/>
                <w:lang w:val="en-US" w:eastAsia="zh-CN" w:bidi="ar-SA"/>
              </w:rPr>
              <w:t>等措施，</w:t>
            </w:r>
            <w:r>
              <w:rPr>
                <w:rFonts w:hint="eastAsia" w:ascii="Times New Roman" w:hAnsi="Times New Roman" w:eastAsia="宋体" w:cs="Times New Roman"/>
                <w:color w:val="auto"/>
                <w:spacing w:val="0"/>
                <w:w w:val="100"/>
                <w:kern w:val="2"/>
                <w:position w:val="0"/>
                <w:sz w:val="24"/>
                <w:szCs w:val="24"/>
                <w:highlight w:val="none"/>
                <w:lang w:val="en-US" w:eastAsia="zh-CN" w:bidi="ar-SA"/>
              </w:rPr>
              <w:t>有效抑制扬尘</w:t>
            </w:r>
            <w:r>
              <w:rPr>
                <w:rFonts w:hint="eastAsia" w:cs="Times New Roman"/>
                <w:color w:val="auto"/>
                <w:spacing w:val="0"/>
                <w:w w:val="100"/>
                <w:kern w:val="2"/>
                <w:position w:val="0"/>
                <w:sz w:val="24"/>
                <w:szCs w:val="24"/>
                <w:highlight w:val="none"/>
                <w:lang w:val="en-US" w:eastAsia="zh-CN" w:bidi="ar-SA"/>
              </w:rPr>
              <w:t>产生</w:t>
            </w:r>
            <w:r>
              <w:rPr>
                <w:rFonts w:hint="eastAsia" w:ascii="Times New Roman" w:hAnsi="Times New Roman" w:eastAsia="宋体" w:cs="Times New Roman"/>
                <w:color w:val="auto"/>
                <w:spacing w:val="0"/>
                <w:w w:val="100"/>
                <w:kern w:val="2"/>
                <w:position w:val="0"/>
                <w:sz w:val="24"/>
                <w:szCs w:val="24"/>
                <w:highlight w:val="none"/>
                <w:lang w:val="en-US" w:eastAsia="zh-CN" w:bidi="ar-SA"/>
              </w:rPr>
              <w:t>，</w:t>
            </w:r>
            <w:r>
              <w:rPr>
                <w:rFonts w:hint="eastAsia" w:ascii="Times New Roman" w:hAnsi="Times New Roman" w:cs="Times New Roman"/>
                <w:color w:val="auto"/>
                <w:sz w:val="24"/>
                <w:szCs w:val="24"/>
                <w:lang w:val="en-US" w:eastAsia="zh-CN"/>
              </w:rPr>
              <w:t>因此本</w:t>
            </w:r>
            <w:r>
              <w:rPr>
                <w:rFonts w:hint="eastAsia" w:cs="Times New Roman"/>
                <w:color w:val="auto"/>
                <w:sz w:val="24"/>
                <w:szCs w:val="24"/>
                <w:lang w:val="en-US" w:eastAsia="zh-CN"/>
              </w:rPr>
              <w:t>工程</w:t>
            </w:r>
            <w:r>
              <w:rPr>
                <w:rFonts w:hint="eastAsia" w:ascii="Times New Roman" w:hAnsi="Times New Roman" w:cs="Times New Roman"/>
                <w:color w:val="auto"/>
                <w:sz w:val="24"/>
                <w:szCs w:val="24"/>
                <w:lang w:val="en-US" w:eastAsia="zh-CN"/>
              </w:rPr>
              <w:t>在建设过程中尽量缩短物料堆放时间，采取有效的遮盖方式可有效降低堆场扬尘对周边环境的影响。</w:t>
            </w:r>
          </w:p>
          <w:p w14:paraId="4A29E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③运输扬尘</w:t>
            </w:r>
          </w:p>
          <w:p w14:paraId="34B972FF">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eastAsia" w:ascii="宋体" w:hAnsi="宋体" w:eastAsia="宋体" w:cs="宋体"/>
                <w:color w:val="auto"/>
                <w:sz w:val="24"/>
                <w:szCs w:val="24"/>
                <w:lang w:val="en-US" w:eastAsia="zh-CN"/>
              </w:rPr>
              <w:t>运输扬尘主要是由于施工车辆在施工道路上运输施工材料以及沉积在道路上其他排放源经来往车辆碾压而引起的，引起运输扬尘的因素较多，主要与车辆行驶速度、风速、路面积尘量和路面湿度有关，其中风速、风力还直接影响到扬尘的传输距离。本工程施工运输利用工程区域内的道路，多为水泥路面，部分路段距离居民点较近，施工运输产生的道路扬尘将会对道路沿线的村庄产生一定的影响。由于本工程规模较小，施工期较短，同时采取一定的防护措施，如洒水降尘、控制运输车辆速度等减少扬尘的产生和污染措施，施工运输道路扬尘对道路沿线居民的影响较小。</w:t>
            </w:r>
          </w:p>
          <w:p w14:paraId="0A8F1CA3">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eastAsia" w:eastAsia="宋体" w:cs="宋体"/>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val="en-US" w:eastAsia="zh-CN"/>
              </w:rPr>
              <w:t>（2）施</w:t>
            </w:r>
            <w:r>
              <w:rPr>
                <w:rFonts w:hint="eastAsia" w:eastAsia="宋体" w:cs="宋体"/>
                <w:b w:val="0"/>
                <w:bCs/>
                <w:color w:val="auto"/>
                <w:spacing w:val="0"/>
                <w:sz w:val="24"/>
                <w:szCs w:val="24"/>
                <w:lang w:val="en-US" w:eastAsia="zh-CN"/>
              </w:rPr>
              <w:t>工机械燃油废气</w:t>
            </w:r>
          </w:p>
          <w:p w14:paraId="0713390D">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default" w:eastAsia="宋体" w:cs="宋体"/>
                <w:b w:val="0"/>
                <w:bCs/>
                <w:color w:val="auto"/>
                <w:spacing w:val="0"/>
                <w:sz w:val="24"/>
                <w:szCs w:val="24"/>
                <w:lang w:val="en-US" w:eastAsia="zh-CN"/>
              </w:rPr>
            </w:pPr>
            <w:r>
              <w:rPr>
                <w:rFonts w:hint="default" w:ascii="Times New Roman" w:hAnsi="Times New Roman" w:eastAsia="宋体" w:cs="Times New Roman"/>
                <w:b w:val="0"/>
                <w:bCs/>
                <w:color w:val="auto"/>
                <w:spacing w:val="0"/>
                <w:sz w:val="24"/>
                <w:szCs w:val="24"/>
                <w:lang w:val="en-US" w:eastAsia="zh-CN"/>
              </w:rPr>
              <w:t>施工机械主要有</w:t>
            </w:r>
            <w:r>
              <w:rPr>
                <w:rFonts w:hint="eastAsia" w:ascii="Times New Roman" w:hAnsi="Times New Roman" w:eastAsia="宋体" w:cs="Times New Roman"/>
                <w:b w:val="0"/>
                <w:bCs/>
                <w:color w:val="auto"/>
                <w:spacing w:val="0"/>
                <w:sz w:val="24"/>
                <w:szCs w:val="24"/>
                <w:lang w:val="en-US" w:eastAsia="zh-CN"/>
              </w:rPr>
              <w:t>挖掘机、装载机，以及其他柴</w:t>
            </w:r>
            <w:r>
              <w:rPr>
                <w:rFonts w:hint="default" w:ascii="Times New Roman" w:hAnsi="Times New Roman" w:eastAsia="宋体" w:cs="Times New Roman"/>
                <w:b w:val="0"/>
                <w:bCs/>
                <w:color w:val="auto"/>
                <w:spacing w:val="0"/>
                <w:sz w:val="24"/>
                <w:szCs w:val="24"/>
                <w:lang w:val="en-US" w:eastAsia="zh-CN"/>
              </w:rPr>
              <w:t>油动力机械</w:t>
            </w:r>
            <w:r>
              <w:rPr>
                <w:rFonts w:hint="eastAsia" w:ascii="Times New Roman" w:hAnsi="Times New Roman" w:eastAsia="宋体" w:cs="Times New Roman"/>
                <w:b w:val="0"/>
                <w:bCs/>
                <w:color w:val="auto"/>
                <w:spacing w:val="0"/>
                <w:sz w:val="24"/>
                <w:szCs w:val="24"/>
                <w:lang w:val="en-US" w:eastAsia="zh-CN"/>
              </w:rPr>
              <w:t>和运输汽车</w:t>
            </w:r>
            <w:r>
              <w:rPr>
                <w:rFonts w:hint="default" w:ascii="Times New Roman" w:hAnsi="Times New Roman" w:eastAsia="宋体" w:cs="Times New Roman"/>
                <w:b w:val="0"/>
                <w:bCs/>
                <w:color w:val="auto"/>
                <w:spacing w:val="0"/>
                <w:sz w:val="24"/>
                <w:szCs w:val="24"/>
                <w:lang w:val="en-US" w:eastAsia="zh-CN"/>
              </w:rPr>
              <w:t>，排放的</w:t>
            </w:r>
            <w:r>
              <w:rPr>
                <w:rFonts w:hint="eastAsia" w:ascii="Times New Roman" w:hAnsi="Times New Roman" w:eastAsia="宋体" w:cs="Times New Roman"/>
                <w:b w:val="0"/>
                <w:bCs/>
                <w:color w:val="auto"/>
                <w:spacing w:val="0"/>
                <w:sz w:val="24"/>
                <w:szCs w:val="24"/>
                <w:lang w:val="en-US" w:eastAsia="zh-CN"/>
              </w:rPr>
              <w:t>废气</w:t>
            </w:r>
            <w:r>
              <w:rPr>
                <w:rFonts w:hint="default" w:ascii="Times New Roman" w:hAnsi="Times New Roman" w:eastAsia="宋体" w:cs="Times New Roman"/>
                <w:b w:val="0"/>
                <w:bCs/>
                <w:color w:val="auto"/>
                <w:spacing w:val="0"/>
                <w:sz w:val="24"/>
                <w:szCs w:val="24"/>
                <w:lang w:val="en-US" w:eastAsia="zh-CN"/>
              </w:rPr>
              <w:t>污染物主要</w:t>
            </w:r>
            <w:r>
              <w:rPr>
                <w:rFonts w:hint="eastAsia" w:ascii="Times New Roman" w:hAnsi="Times New Roman" w:eastAsia="宋体" w:cs="Times New Roman"/>
                <w:b w:val="0"/>
                <w:bCs/>
                <w:color w:val="auto"/>
                <w:spacing w:val="0"/>
                <w:sz w:val="24"/>
                <w:szCs w:val="24"/>
                <w:lang w:val="en-US" w:eastAsia="zh-CN"/>
              </w:rPr>
              <w:t>为</w:t>
            </w:r>
            <w:r>
              <w:rPr>
                <w:rFonts w:hint="default" w:ascii="Times New Roman" w:hAnsi="Times New Roman" w:eastAsia="宋体" w:cs="Times New Roman"/>
                <w:b w:val="0"/>
                <w:bCs/>
                <w:color w:val="auto"/>
                <w:spacing w:val="0"/>
                <w:sz w:val="24"/>
                <w:szCs w:val="24"/>
                <w:lang w:val="en-US" w:eastAsia="zh-CN"/>
              </w:rPr>
              <w:t>CO、NO</w:t>
            </w:r>
            <w:r>
              <w:rPr>
                <w:rFonts w:hint="eastAsia" w:ascii="Times New Roman" w:hAnsi="Times New Roman" w:eastAsia="宋体" w:cs="Times New Roman"/>
                <w:b w:val="0"/>
                <w:bCs/>
                <w:color w:val="auto"/>
                <w:spacing w:val="0"/>
                <w:sz w:val="24"/>
                <w:szCs w:val="24"/>
                <w:vertAlign w:val="subscript"/>
                <w:lang w:val="en-US" w:eastAsia="zh-CN"/>
              </w:rPr>
              <w:t>X</w:t>
            </w:r>
            <w:r>
              <w:rPr>
                <w:rFonts w:hint="default" w:ascii="Times New Roman" w:hAnsi="Times New Roman" w:eastAsia="宋体" w:cs="Times New Roman"/>
                <w:b w:val="0"/>
                <w:bCs/>
                <w:color w:val="auto"/>
                <w:spacing w:val="0"/>
                <w:sz w:val="24"/>
                <w:szCs w:val="24"/>
                <w:lang w:val="en-US" w:eastAsia="zh-CN"/>
              </w:rPr>
              <w:t>、THC。施工机械多为大型机械，单车排放系数较大，但施工机械数量较少且分散，通过对施工机械、运输车辆进行定期检修，</w:t>
            </w:r>
            <w:r>
              <w:rPr>
                <w:rFonts w:hint="eastAsia" w:ascii="Times New Roman" w:hAnsi="Times New Roman" w:eastAsia="宋体" w:cs="Times New Roman"/>
                <w:b w:val="0"/>
                <w:bCs/>
                <w:color w:val="auto"/>
                <w:spacing w:val="0"/>
                <w:sz w:val="24"/>
                <w:szCs w:val="24"/>
                <w:lang w:val="en-US" w:eastAsia="zh-CN"/>
              </w:rPr>
              <w:t>可</w:t>
            </w:r>
            <w:r>
              <w:rPr>
                <w:rFonts w:hint="default" w:ascii="Times New Roman" w:hAnsi="Times New Roman" w:eastAsia="宋体" w:cs="Times New Roman"/>
                <w:b w:val="0"/>
                <w:bCs/>
                <w:color w:val="auto"/>
                <w:spacing w:val="0"/>
                <w:sz w:val="24"/>
                <w:szCs w:val="24"/>
                <w:lang w:val="en-US" w:eastAsia="zh-CN"/>
              </w:rPr>
              <w:t>减少</w:t>
            </w:r>
            <w:r>
              <w:rPr>
                <w:rFonts w:hint="eastAsia" w:ascii="Times New Roman" w:hAnsi="Times New Roman" w:eastAsia="宋体" w:cs="Times New Roman"/>
                <w:b w:val="0"/>
                <w:bCs/>
                <w:color w:val="auto"/>
                <w:spacing w:val="0"/>
                <w:sz w:val="24"/>
                <w:szCs w:val="24"/>
                <w:lang w:val="en-US" w:eastAsia="zh-CN"/>
              </w:rPr>
              <w:t>废气</w:t>
            </w:r>
            <w:r>
              <w:rPr>
                <w:rFonts w:hint="default" w:ascii="Times New Roman" w:hAnsi="Times New Roman" w:eastAsia="宋体" w:cs="Times New Roman"/>
                <w:b w:val="0"/>
                <w:bCs/>
                <w:color w:val="auto"/>
                <w:spacing w:val="0"/>
                <w:sz w:val="24"/>
                <w:szCs w:val="24"/>
                <w:lang w:val="en-US" w:eastAsia="zh-CN"/>
              </w:rPr>
              <w:t>排放量</w:t>
            </w:r>
            <w:r>
              <w:rPr>
                <w:rFonts w:hint="eastAsia" w:ascii="Times New Roman" w:hAnsi="Times New Roman" w:eastAsia="宋体" w:cs="Times New Roman"/>
                <w:b w:val="0"/>
                <w:bCs/>
                <w:color w:val="auto"/>
                <w:spacing w:val="0"/>
                <w:sz w:val="24"/>
                <w:szCs w:val="24"/>
                <w:lang w:val="en-US" w:eastAsia="zh-CN"/>
              </w:rPr>
              <w:t>；</w:t>
            </w:r>
            <w:r>
              <w:rPr>
                <w:rFonts w:hint="default" w:eastAsia="宋体" w:cs="宋体"/>
                <w:b w:val="0"/>
                <w:bCs/>
                <w:color w:val="auto"/>
                <w:spacing w:val="0"/>
                <w:sz w:val="24"/>
                <w:szCs w:val="24"/>
                <w:lang w:val="en-US" w:eastAsia="zh-CN"/>
              </w:rPr>
              <w:t>且处于农村地区，</w:t>
            </w:r>
            <w:r>
              <w:rPr>
                <w:rFonts w:hint="default" w:ascii="Times New Roman" w:hAnsi="Times New Roman" w:eastAsia="宋体" w:cs="Times New Roman"/>
                <w:b w:val="0"/>
                <w:bCs/>
                <w:color w:val="auto"/>
                <w:spacing w:val="0"/>
                <w:sz w:val="24"/>
                <w:szCs w:val="24"/>
                <w:lang w:val="en-US" w:eastAsia="zh-CN"/>
              </w:rPr>
              <w:t>地面开阔</w:t>
            </w:r>
            <w:r>
              <w:rPr>
                <w:rFonts w:hint="eastAsia" w:ascii="Times New Roman" w:hAnsi="Times New Roman" w:eastAsia="宋体" w:cs="Times New Roman"/>
                <w:b w:val="0"/>
                <w:bCs/>
                <w:color w:val="auto"/>
                <w:spacing w:val="0"/>
                <w:sz w:val="24"/>
                <w:szCs w:val="24"/>
                <w:lang w:val="en-US" w:eastAsia="zh-CN"/>
              </w:rPr>
              <w:t>，</w:t>
            </w:r>
            <w:r>
              <w:rPr>
                <w:rFonts w:hint="default" w:eastAsia="宋体" w:cs="宋体"/>
                <w:b w:val="0"/>
                <w:bCs/>
                <w:color w:val="auto"/>
                <w:spacing w:val="0"/>
                <w:sz w:val="24"/>
                <w:szCs w:val="24"/>
                <w:lang w:val="en-US" w:eastAsia="zh-CN"/>
              </w:rPr>
              <w:t>扩散条件和稀释条件较好，对周边</w:t>
            </w:r>
            <w:r>
              <w:rPr>
                <w:rFonts w:hint="eastAsia" w:eastAsia="宋体" w:cs="宋体"/>
                <w:b w:val="0"/>
                <w:bCs/>
                <w:color w:val="auto"/>
                <w:spacing w:val="0"/>
                <w:sz w:val="24"/>
                <w:szCs w:val="24"/>
                <w:lang w:val="en-US" w:eastAsia="zh-CN"/>
              </w:rPr>
              <w:t>大气环境</w:t>
            </w:r>
            <w:r>
              <w:rPr>
                <w:rFonts w:hint="default" w:eastAsia="宋体" w:cs="宋体"/>
                <w:b w:val="0"/>
                <w:bCs/>
                <w:color w:val="auto"/>
                <w:spacing w:val="0"/>
                <w:sz w:val="24"/>
                <w:szCs w:val="24"/>
                <w:lang w:val="en-US" w:eastAsia="zh-CN"/>
              </w:rPr>
              <w:t>影响较小。同时随着施工期的结束，影响也随之</w:t>
            </w:r>
            <w:r>
              <w:rPr>
                <w:rFonts w:hint="eastAsia" w:eastAsia="宋体" w:cs="宋体"/>
                <w:b w:val="0"/>
                <w:bCs/>
                <w:color w:val="auto"/>
                <w:spacing w:val="0"/>
                <w:sz w:val="24"/>
                <w:szCs w:val="24"/>
                <w:lang w:val="en-US" w:eastAsia="zh-CN"/>
              </w:rPr>
              <w:t>消失</w:t>
            </w:r>
            <w:r>
              <w:rPr>
                <w:rFonts w:hint="default" w:eastAsia="宋体" w:cs="宋体"/>
                <w:b w:val="0"/>
                <w:bCs/>
                <w:color w:val="auto"/>
                <w:spacing w:val="0"/>
                <w:sz w:val="24"/>
                <w:szCs w:val="24"/>
                <w:lang w:val="en-US" w:eastAsia="zh-CN"/>
              </w:rPr>
              <w:t>。</w:t>
            </w:r>
            <w:r>
              <w:rPr>
                <w:rFonts w:hint="eastAsia" w:cs="Times New Roman"/>
                <w:color w:val="auto"/>
              </w:rPr>
              <w:t>评价要求建设单位使用符合环保要求的机械及优质燃料油，减少燃油废气产生。</w:t>
            </w:r>
          </w:p>
          <w:p w14:paraId="0643A54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auto"/>
                <w:spacing w:val="0"/>
                <w:w w:val="100"/>
                <w:position w:val="0"/>
                <w:sz w:val="24"/>
                <w:szCs w:val="24"/>
                <w:highlight w:val="none"/>
                <w:lang w:val="en-US" w:eastAsia="zh-CN"/>
              </w:rPr>
            </w:pPr>
            <w:r>
              <w:rPr>
                <w:rFonts w:hint="eastAsia" w:cs="Times New Roman"/>
                <w:b/>
                <w:bCs/>
                <w:color w:val="auto"/>
                <w:spacing w:val="0"/>
                <w:w w:val="100"/>
                <w:position w:val="0"/>
                <w:sz w:val="24"/>
                <w:szCs w:val="24"/>
                <w:highlight w:val="none"/>
                <w:lang w:val="en-US" w:eastAsia="zh-CN"/>
              </w:rPr>
              <w:t>3、</w:t>
            </w:r>
            <w:r>
              <w:rPr>
                <w:rFonts w:hint="default" w:ascii="Times New Roman" w:hAnsi="Times New Roman" w:cs="Times New Roman"/>
                <w:b/>
                <w:bCs/>
                <w:color w:val="auto"/>
                <w:spacing w:val="0"/>
                <w:w w:val="100"/>
                <w:position w:val="0"/>
                <w:sz w:val="24"/>
                <w:szCs w:val="24"/>
                <w:highlight w:val="none"/>
                <w:lang w:val="en-US" w:eastAsia="zh-CN"/>
              </w:rPr>
              <w:t>水环境影响分析</w:t>
            </w:r>
          </w:p>
          <w:p w14:paraId="58B10045">
            <w:pPr>
              <w:pStyle w:val="23"/>
              <w:numPr>
                <w:ilvl w:val="0"/>
                <w:numId w:val="0"/>
              </w:numPr>
              <w:autoSpaceDE/>
              <w:autoSpaceDN/>
              <w:adjustRightInd/>
              <w:spacing w:line="360" w:lineRule="auto"/>
              <w:ind w:firstLine="480" w:firstLineChars="200"/>
              <w:textAlignment w:val="baseline"/>
              <w:rPr>
                <w:rFonts w:hint="eastAsia" w:ascii="宋体" w:hAnsi="宋体" w:eastAsia="宋体" w:cs="宋体"/>
                <w:bCs/>
                <w:color w:val="auto"/>
                <w:szCs w:val="24"/>
                <w:lang w:val="en-US" w:eastAsia="zh-CN"/>
              </w:rPr>
            </w:pPr>
            <w:r>
              <w:rPr>
                <w:rFonts w:hint="eastAsia" w:ascii="宋体" w:hAnsi="宋体" w:eastAsia="宋体" w:cs="宋体"/>
                <w:bCs/>
                <w:color w:val="auto"/>
                <w:szCs w:val="24"/>
                <w:lang w:val="en-US" w:eastAsia="zh-CN"/>
              </w:rPr>
              <w:t>（1）水文情势影响分析</w:t>
            </w:r>
          </w:p>
          <w:p w14:paraId="61836B2E">
            <w:pPr>
              <w:pStyle w:val="23"/>
              <w:numPr>
                <w:ilvl w:val="0"/>
                <w:numId w:val="0"/>
              </w:numPr>
              <w:autoSpaceDE/>
              <w:autoSpaceDN/>
              <w:adjustRightInd/>
              <w:spacing w:line="360" w:lineRule="auto"/>
              <w:ind w:firstLine="480" w:firstLineChars="200"/>
              <w:textAlignment w:val="baseline"/>
              <w:rPr>
                <w:rFonts w:hint="default" w:ascii="宋体" w:hAnsi="宋体" w:eastAsia="宋体" w:cs="宋体"/>
                <w:bCs/>
                <w:color w:val="auto"/>
                <w:sz w:val="24"/>
                <w:szCs w:val="24"/>
                <w:lang w:val="en-US"/>
              </w:rPr>
            </w:pPr>
            <w:r>
              <w:rPr>
                <w:rFonts w:hint="eastAsia" w:ascii="宋体" w:hAnsi="宋体" w:eastAsia="宋体" w:cs="宋体"/>
                <w:bCs/>
                <w:color w:val="auto"/>
                <w:szCs w:val="24"/>
                <w:lang w:val="en-US" w:eastAsia="zh-CN"/>
              </w:rPr>
              <w:t>本工程</w:t>
            </w:r>
            <w:r>
              <w:rPr>
                <w:rFonts w:hint="eastAsia" w:cs="宋体"/>
                <w:bCs/>
                <w:color w:val="auto"/>
                <w:szCs w:val="24"/>
                <w:lang w:val="en-US" w:eastAsia="zh-CN"/>
              </w:rPr>
              <w:t>施工期采用</w:t>
            </w:r>
            <w:r>
              <w:rPr>
                <w:rFonts w:hint="eastAsia"/>
                <w:lang w:val="en-US" w:eastAsia="zh-CN"/>
              </w:rPr>
              <w:t>钢板桩围堰及草袋围堰，围堰设置会改变水在河道内的流向，</w:t>
            </w:r>
            <w:r>
              <w:rPr>
                <w:rFonts w:hint="eastAsia" w:cs="宋体"/>
                <w:bCs/>
                <w:color w:val="auto"/>
                <w:szCs w:val="24"/>
                <w:lang w:val="en-US" w:eastAsia="zh-CN"/>
              </w:rPr>
              <w:t>但</w:t>
            </w:r>
            <w:r>
              <w:rPr>
                <w:rFonts w:hint="eastAsia" w:ascii="宋体" w:hAnsi="宋体" w:eastAsia="宋体" w:cs="宋体"/>
                <w:bCs/>
                <w:color w:val="auto"/>
                <w:szCs w:val="24"/>
                <w:lang w:val="en-US" w:eastAsia="zh-CN"/>
              </w:rPr>
              <w:t>不</w:t>
            </w:r>
            <w:r>
              <w:rPr>
                <w:rFonts w:hint="eastAsia" w:cs="宋体"/>
                <w:bCs/>
                <w:color w:val="auto"/>
                <w:szCs w:val="24"/>
                <w:lang w:val="en-US" w:eastAsia="zh-CN"/>
              </w:rPr>
              <w:t>会</w:t>
            </w:r>
            <w:r>
              <w:rPr>
                <w:rFonts w:hint="eastAsia" w:ascii="宋体" w:hAnsi="宋体" w:eastAsia="宋体" w:cs="宋体"/>
                <w:bCs/>
                <w:color w:val="auto"/>
                <w:szCs w:val="24"/>
                <w:lang w:val="en-US" w:eastAsia="zh-CN"/>
              </w:rPr>
              <w:t>改变河流主体流向、流速等水文参数，</w:t>
            </w:r>
            <w:r>
              <w:rPr>
                <w:rFonts w:hint="eastAsia" w:cs="宋体"/>
                <w:bCs/>
                <w:color w:val="auto"/>
                <w:szCs w:val="24"/>
                <w:lang w:val="en-US" w:eastAsia="zh-CN"/>
              </w:rPr>
              <w:t>不会</w:t>
            </w:r>
            <w:r>
              <w:rPr>
                <w:rFonts w:hint="eastAsia" w:ascii="宋体" w:hAnsi="宋体" w:eastAsia="宋体" w:cs="宋体"/>
                <w:bCs/>
                <w:color w:val="auto"/>
                <w:szCs w:val="24"/>
                <w:lang w:val="en-US" w:eastAsia="zh-CN"/>
              </w:rPr>
              <w:t>对水文情势产生大的影响。</w:t>
            </w:r>
            <w:r>
              <w:rPr>
                <w:rFonts w:hint="default" w:ascii="Times New Roman" w:hAnsi="Times New Roman" w:cs="Times New Roman"/>
                <w:color w:val="auto"/>
                <w:highlight w:val="none"/>
              </w:rPr>
              <w:t>本次</w:t>
            </w:r>
            <w:r>
              <w:rPr>
                <w:rFonts w:hint="eastAsia" w:ascii="Times New Roman" w:hAnsi="Times New Roman" w:cs="Times New Roman"/>
                <w:color w:val="auto"/>
                <w:highlight w:val="none"/>
                <w:lang w:val="en-US" w:eastAsia="zh-CN"/>
              </w:rPr>
              <w:t>工程工程量较小</w:t>
            </w:r>
            <w:r>
              <w:rPr>
                <w:rFonts w:hint="default" w:ascii="Times New Roman" w:hAnsi="Times New Roman" w:cs="Times New Roman"/>
                <w:color w:val="auto"/>
                <w:highlight w:val="none"/>
              </w:rPr>
              <w:t>，</w:t>
            </w:r>
            <w:r>
              <w:rPr>
                <w:rFonts w:hint="eastAsia" w:cs="宋体"/>
                <w:bCs/>
                <w:color w:val="auto"/>
                <w:szCs w:val="24"/>
                <w:lang w:val="en-US" w:eastAsia="zh-CN"/>
              </w:rPr>
              <w:t>施工周期</w:t>
            </w:r>
            <w:r>
              <w:rPr>
                <w:rFonts w:hint="eastAsia" w:ascii="宋体" w:hAnsi="宋体" w:eastAsia="宋体" w:cs="宋体"/>
                <w:bCs/>
                <w:color w:val="auto"/>
                <w:szCs w:val="24"/>
                <w:lang w:val="en-US" w:eastAsia="zh-CN"/>
              </w:rPr>
              <w:t>短</w:t>
            </w:r>
            <w:r>
              <w:rPr>
                <w:rFonts w:hint="eastAsia" w:cs="宋体"/>
                <w:bCs/>
                <w:color w:val="auto"/>
                <w:szCs w:val="24"/>
                <w:lang w:val="en-US" w:eastAsia="zh-CN"/>
              </w:rPr>
              <w:t>，因此工程施工</w:t>
            </w:r>
            <w:r>
              <w:rPr>
                <w:rFonts w:hint="eastAsia" w:ascii="Times New Roman" w:hAnsi="Times New Roman" w:cs="Times New Roman"/>
                <w:color w:val="auto"/>
                <w:highlight w:val="none"/>
                <w:lang w:val="en-US" w:eastAsia="zh-CN"/>
              </w:rPr>
              <w:t>不会</w:t>
            </w:r>
            <w:r>
              <w:rPr>
                <w:rFonts w:hint="eastAsia" w:ascii="宋体" w:hAnsi="宋体" w:eastAsia="宋体" w:cs="宋体"/>
                <w:bCs/>
                <w:color w:val="auto"/>
                <w:szCs w:val="24"/>
                <w:lang w:val="en-US" w:eastAsia="zh-CN"/>
              </w:rPr>
              <w:t>对河道水文情势产生大的影响。</w:t>
            </w:r>
          </w:p>
          <w:p w14:paraId="22047025">
            <w:pPr>
              <w:pStyle w:val="23"/>
              <w:numPr>
                <w:ilvl w:val="0"/>
                <w:numId w:val="0"/>
              </w:numPr>
              <w:autoSpaceDE/>
              <w:autoSpaceDN/>
              <w:adjustRightInd/>
              <w:spacing w:line="360" w:lineRule="auto"/>
              <w:ind w:firstLine="480" w:firstLineChars="200"/>
              <w:textAlignment w:val="baseline"/>
              <w:rPr>
                <w:rFonts w:hint="default" w:ascii="宋体" w:hAnsi="宋体" w:eastAsia="宋体" w:cs="宋体"/>
                <w:bCs/>
                <w:color w:val="auto"/>
                <w:szCs w:val="24"/>
                <w:lang w:val="en-US" w:eastAsia="zh-CN"/>
              </w:rPr>
            </w:pPr>
            <w:r>
              <w:rPr>
                <w:rFonts w:hint="eastAsia" w:ascii="宋体" w:hAnsi="宋体" w:eastAsia="宋体" w:cs="宋体"/>
                <w:bCs/>
                <w:color w:val="auto"/>
                <w:szCs w:val="24"/>
                <w:lang w:val="en-US" w:eastAsia="zh-CN"/>
              </w:rPr>
              <w:t>（2）地表水环境影响分析</w:t>
            </w:r>
          </w:p>
          <w:p w14:paraId="36F1CEE7">
            <w:pPr>
              <w:pStyle w:val="23"/>
              <w:numPr>
                <w:ilvl w:val="0"/>
                <w:numId w:val="0"/>
              </w:numPr>
              <w:spacing w:line="360" w:lineRule="auto"/>
              <w:ind w:firstLine="480" w:firstLineChars="20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rPr>
              <w:t>施工期废水包括施工人员生活污水和施工废水。</w:t>
            </w:r>
          </w:p>
          <w:p w14:paraId="5C8D73DA">
            <w:pPr>
              <w:pStyle w:val="1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施工废水</w:t>
            </w:r>
          </w:p>
          <w:p w14:paraId="1D7F8552">
            <w:pPr>
              <w:pStyle w:val="1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w:t>
            </w:r>
            <w:r>
              <w:rPr>
                <w:rFonts w:hint="eastAsia" w:cs="Times New Roman"/>
                <w:color w:val="auto"/>
                <w:sz w:val="24"/>
                <w:szCs w:val="24"/>
                <w:lang w:val="en-US" w:eastAsia="zh-CN"/>
              </w:rPr>
              <w:t>工程</w:t>
            </w:r>
            <w:r>
              <w:rPr>
                <w:rFonts w:hint="default" w:ascii="Times New Roman" w:hAnsi="Times New Roman" w:eastAsia="宋体" w:cs="Times New Roman"/>
                <w:color w:val="auto"/>
                <w:sz w:val="24"/>
                <w:szCs w:val="24"/>
              </w:rPr>
              <w:t>施工废水主要</w:t>
            </w:r>
            <w:r>
              <w:rPr>
                <w:rFonts w:hint="eastAsia" w:cs="Times New Roman"/>
                <w:color w:val="auto"/>
                <w:sz w:val="24"/>
                <w:szCs w:val="24"/>
                <w:lang w:val="en-US" w:eastAsia="zh-CN"/>
              </w:rPr>
              <w:t>为</w:t>
            </w:r>
            <w:r>
              <w:rPr>
                <w:rFonts w:hint="eastAsia" w:ascii="Times New Roman" w:hAnsi="Times New Roman" w:eastAsia="宋体" w:cs="Times New Roman"/>
                <w:color w:val="auto"/>
                <w:sz w:val="24"/>
                <w:szCs w:val="24"/>
                <w:lang w:val="en-US" w:eastAsia="zh-CN"/>
              </w:rPr>
              <w:t>施工</w:t>
            </w:r>
            <w:r>
              <w:rPr>
                <w:rFonts w:hint="default" w:ascii="Times New Roman" w:hAnsi="Times New Roman" w:eastAsia="宋体" w:cs="Times New Roman"/>
                <w:color w:val="auto"/>
                <w:sz w:val="24"/>
                <w:szCs w:val="24"/>
              </w:rPr>
              <w:t>机械</w:t>
            </w:r>
            <w:r>
              <w:rPr>
                <w:rFonts w:hint="eastAsia" w:cs="Times New Roman"/>
                <w:color w:val="auto"/>
                <w:sz w:val="24"/>
                <w:szCs w:val="24"/>
                <w:lang w:val="en-US" w:eastAsia="zh-CN"/>
              </w:rPr>
              <w:t>设备</w:t>
            </w:r>
            <w:r>
              <w:rPr>
                <w:rFonts w:hint="default" w:ascii="Times New Roman" w:hAnsi="Times New Roman" w:eastAsia="宋体" w:cs="Times New Roman"/>
                <w:color w:val="auto"/>
                <w:sz w:val="24"/>
                <w:szCs w:val="24"/>
              </w:rPr>
              <w:t>冲洗废水。废水类型较为简单，主要污染物为COD、SS</w:t>
            </w:r>
            <w:r>
              <w:rPr>
                <w:rFonts w:hint="eastAsia" w:ascii="Times New Roman" w:hAnsi="Times New Roman" w:eastAsia="宋体" w:cs="Times New Roman"/>
                <w:color w:val="auto"/>
                <w:sz w:val="24"/>
                <w:szCs w:val="24"/>
                <w:lang w:val="en-US" w:eastAsia="zh-CN"/>
              </w:rPr>
              <w:t>和少量石油类</w:t>
            </w:r>
            <w:r>
              <w:rPr>
                <w:rFonts w:hint="default" w:ascii="Times New Roman" w:hAnsi="Times New Roman" w:eastAsia="宋体" w:cs="Times New Roman"/>
                <w:color w:val="auto"/>
                <w:sz w:val="24"/>
                <w:szCs w:val="24"/>
              </w:rPr>
              <w:t>。评价要求建设单位在施工场地设置临时沉淀池，施工产生的各类废水汇集至沉淀池，经沉淀处理后回用于施工场地洒水抑尘，不外排。</w:t>
            </w:r>
          </w:p>
          <w:p w14:paraId="5AF18344">
            <w:pPr>
              <w:pStyle w:val="16"/>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生活污水</w:t>
            </w:r>
          </w:p>
          <w:p w14:paraId="066EEFA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rPr>
              <w:t>本项目不设施工生活区，施工人员</w:t>
            </w:r>
            <w:r>
              <w:rPr>
                <w:rFonts w:hint="eastAsia" w:ascii="Times New Roman" w:hAnsi="Times New Roman" w:eastAsia="宋体" w:cs="Times New Roman"/>
                <w:color w:val="auto"/>
                <w:sz w:val="24"/>
                <w:szCs w:val="24"/>
                <w:lang w:eastAsia="zh-CN"/>
              </w:rPr>
              <w:t>食宿均依托</w:t>
            </w:r>
            <w:r>
              <w:rPr>
                <w:rFonts w:hint="default" w:ascii="Times New Roman" w:hAnsi="Times New Roman" w:eastAsia="宋体" w:cs="Times New Roman"/>
                <w:color w:val="auto"/>
                <w:sz w:val="24"/>
                <w:szCs w:val="24"/>
              </w:rPr>
              <w:t>沿线村民</w:t>
            </w:r>
            <w:r>
              <w:rPr>
                <w:rFonts w:hint="eastAsia" w:ascii="Times New Roman" w:hAnsi="Times New Roman" w:eastAsia="宋体" w:cs="Times New Roman"/>
                <w:color w:val="auto"/>
                <w:sz w:val="24"/>
                <w:szCs w:val="24"/>
                <w:lang w:eastAsia="zh-CN"/>
              </w:rPr>
              <w:t>设施</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highlight w:val="none"/>
              </w:rPr>
              <w:t>主要污染因子为COD、BOD</w:t>
            </w:r>
            <w:r>
              <w:rPr>
                <w:rFonts w:hint="default" w:ascii="Times New Roman" w:hAnsi="Times New Roman" w:eastAsia="宋体" w:cs="Times New Roman"/>
                <w:color w:val="auto"/>
                <w:sz w:val="24"/>
                <w:szCs w:val="24"/>
                <w:highlight w:val="none"/>
                <w:vertAlign w:val="subscript"/>
              </w:rPr>
              <w:t>5</w:t>
            </w:r>
            <w:r>
              <w:rPr>
                <w:rFonts w:hint="default" w:ascii="Times New Roman" w:hAnsi="Times New Roman" w:eastAsia="宋体" w:cs="Times New Roman"/>
                <w:color w:val="auto"/>
                <w:sz w:val="24"/>
                <w:szCs w:val="24"/>
                <w:highlight w:val="none"/>
              </w:rPr>
              <w:t>、SS、NH</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-N</w:t>
            </w:r>
            <w:r>
              <w:rPr>
                <w:rFonts w:hint="eastAsia" w:ascii="Times New Roman" w:hAnsi="Times New Roman" w:eastAsia="宋体" w:cs="Times New Roman"/>
                <w:color w:val="auto"/>
                <w:sz w:val="24"/>
                <w:szCs w:val="24"/>
                <w:highlight w:val="none"/>
                <w:lang w:val="en-US" w:eastAsia="zh-CN"/>
              </w:rPr>
              <w:t>等，依托</w:t>
            </w:r>
            <w:r>
              <w:rPr>
                <w:rFonts w:hint="eastAsia" w:cs="Times New Roman"/>
                <w:color w:val="auto"/>
                <w:sz w:val="24"/>
                <w:szCs w:val="24"/>
                <w:highlight w:val="none"/>
                <w:lang w:val="en-US" w:eastAsia="zh-CN"/>
              </w:rPr>
              <w:t>附近</w:t>
            </w:r>
            <w:r>
              <w:rPr>
                <w:rFonts w:hint="eastAsia" w:ascii="Times New Roman" w:hAnsi="Times New Roman" w:eastAsia="宋体" w:cs="Times New Roman"/>
                <w:color w:val="auto"/>
                <w:sz w:val="24"/>
                <w:szCs w:val="24"/>
                <w:highlight w:val="none"/>
                <w:lang w:val="en-US" w:eastAsia="zh-CN"/>
              </w:rPr>
              <w:t>村民自建化粪池处理后，由附近农户清掏后用于周边农地施肥，综合利用。</w:t>
            </w:r>
          </w:p>
          <w:p w14:paraId="2EC3A73C">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设施工程施工泥浆水影响</w:t>
            </w:r>
          </w:p>
          <w:p w14:paraId="2C554E2F">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工程施工期采用钢板桩围堰及草袋围堰，</w:t>
            </w:r>
            <w:r>
              <w:rPr>
                <w:rFonts w:hint="eastAsia" w:cs="Times New Roman"/>
                <w:color w:val="auto"/>
                <w:sz w:val="24"/>
                <w:szCs w:val="24"/>
                <w:highlight w:val="none"/>
                <w:lang w:val="en-US" w:eastAsia="zh-CN"/>
              </w:rPr>
              <w:t>桩基钻孔、清孔、灌注混凝土过程中排出的泥渣、钻渣，由于量大浊度高，若在施工过程中泄漏或没有得到及时处理，其产生的悬浮物将对水体环境造成较大影响。扰动河床产生SS，时间短暂，大量悬浮物停留于围堰内，随着距离增大，影响将逐渐减轻，工程结束后影响消失。护筒内的废水含有大量的悬浮物和少量石油类，抽出后经岸边设置的泥浆池沉淀处理后回用于施工场地，所以抽出废水不能直接排入水体，必须经过处理后首先考虑回用。钻孔过程产生的泥浆其水分储量较少，必须经岸边设置的泥浆池处理后回用于场地洒水。除上述三个节点外，其余节点的污染物仍是SS，但污染物产生量和影响相对比前面工序小得多，做好防护措施后影响较轻。在落实好以上措施下，涉水工程施工对汉江的影响较小。</w:t>
            </w:r>
          </w:p>
          <w:p w14:paraId="6BB0203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color w:val="auto"/>
                <w:spacing w:val="0"/>
                <w:w w:val="100"/>
                <w:position w:val="0"/>
                <w:sz w:val="24"/>
                <w:szCs w:val="24"/>
                <w:highlight w:val="none"/>
                <w:lang w:val="en-US" w:eastAsia="zh-CN"/>
              </w:rPr>
            </w:pPr>
            <w:r>
              <w:rPr>
                <w:rFonts w:hint="eastAsia" w:cs="Times New Roman"/>
                <w:b/>
                <w:bCs/>
                <w:color w:val="auto"/>
                <w:spacing w:val="0"/>
                <w:w w:val="100"/>
                <w:position w:val="0"/>
                <w:sz w:val="24"/>
                <w:szCs w:val="24"/>
                <w:highlight w:val="none"/>
                <w:lang w:val="en-US" w:eastAsia="zh-CN"/>
              </w:rPr>
              <w:t>4、</w:t>
            </w:r>
            <w:r>
              <w:rPr>
                <w:rFonts w:hint="default" w:cs="Times New Roman"/>
                <w:b/>
                <w:bCs/>
                <w:color w:val="auto"/>
                <w:spacing w:val="0"/>
                <w:w w:val="100"/>
                <w:position w:val="0"/>
                <w:sz w:val="24"/>
                <w:szCs w:val="24"/>
                <w:highlight w:val="none"/>
                <w:lang w:val="en-US" w:eastAsia="zh-CN"/>
              </w:rPr>
              <w:t>声环境影响分析</w:t>
            </w:r>
          </w:p>
          <w:p w14:paraId="5DF652F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（1）噪声源</w:t>
            </w:r>
          </w:p>
          <w:p w14:paraId="5199BD9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施工期噪声主要来源于机械噪声、施工作业噪声和施工车辆噪声。机械噪声主要来源于小型挖掘机、装载机等，多为点源；施工作业噪声主要指一些零星的敲打声、装卸车辆的撞击声、拆装模板的撞击声等，多为瞬时噪声；施工车辆噪声属于交通噪声。</w:t>
            </w:r>
            <w:r>
              <w:rPr>
                <w:rFonts w:hint="default" w:ascii="Times New Roman" w:hAnsi="Times New Roman" w:eastAsia="宋体" w:cs="Times New Roman"/>
                <w:color w:val="auto"/>
                <w:sz w:val="24"/>
                <w:szCs w:val="24"/>
                <w:highlight w:val="none"/>
                <w:lang w:val="en-US" w:eastAsia="zh-CN"/>
              </w:rPr>
              <w:t>本工程施工期间主要噪声源及源强见表4-1。</w:t>
            </w:r>
          </w:p>
          <w:p w14:paraId="68C94946">
            <w:pPr>
              <w:spacing w:before="72"/>
              <w:ind w:firstLine="442"/>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表4-1施工期主要机械设备噪声源强表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231"/>
              <w:gridCol w:w="1571"/>
              <w:gridCol w:w="1720"/>
              <w:gridCol w:w="1865"/>
            </w:tblGrid>
            <w:tr w14:paraId="28F0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1" w:type="dxa"/>
                  <w:vAlign w:val="center"/>
                </w:tcPr>
                <w:p w14:paraId="79927EBF">
                  <w:pPr>
                    <w:pStyle w:val="38"/>
                    <w:spacing w:before="42" w:line="217"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6"/>
                      <w:sz w:val="21"/>
                      <w:szCs w:val="21"/>
                    </w:rPr>
                    <w:t>设备名称</w:t>
                  </w:r>
                </w:p>
              </w:tc>
              <w:tc>
                <w:tcPr>
                  <w:tcW w:w="1231" w:type="dxa"/>
                  <w:vAlign w:val="center"/>
                </w:tcPr>
                <w:p w14:paraId="5EACD86A">
                  <w:pPr>
                    <w:pStyle w:val="38"/>
                    <w:spacing w:before="42" w:line="217"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3"/>
                      <w:sz w:val="21"/>
                      <w:szCs w:val="21"/>
                    </w:rPr>
                    <w:t>单位</w:t>
                  </w:r>
                </w:p>
              </w:tc>
              <w:tc>
                <w:tcPr>
                  <w:tcW w:w="1571" w:type="dxa"/>
                  <w:vAlign w:val="center"/>
                </w:tcPr>
                <w:p w14:paraId="70CC864C">
                  <w:pPr>
                    <w:pStyle w:val="38"/>
                    <w:spacing w:before="42" w:line="217"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3"/>
                      <w:sz w:val="21"/>
                      <w:szCs w:val="21"/>
                    </w:rPr>
                    <w:t>数量</w:t>
                  </w:r>
                </w:p>
              </w:tc>
              <w:tc>
                <w:tcPr>
                  <w:tcW w:w="1720" w:type="dxa"/>
                  <w:vAlign w:val="center"/>
                </w:tcPr>
                <w:p w14:paraId="1A6712DF">
                  <w:pPr>
                    <w:pStyle w:val="38"/>
                    <w:spacing w:before="12" w:line="265" w:lineRule="exact"/>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5"/>
                      <w:position w:val="1"/>
                      <w:sz w:val="21"/>
                      <w:szCs w:val="21"/>
                    </w:rPr>
                    <w:t>声级</w:t>
                  </w:r>
                  <w:r>
                    <w:rPr>
                      <w:rFonts w:ascii="Times New Roman" w:hAnsi="Times New Roman" w:eastAsia="宋体" w:cs="Times New Roman"/>
                      <w:color w:val="auto"/>
                      <w:position w:val="1"/>
                      <w:sz w:val="21"/>
                      <w:szCs w:val="21"/>
                    </w:rPr>
                    <w:t>dB</w:t>
                  </w:r>
                  <w:r>
                    <w:rPr>
                      <w:rFonts w:ascii="Times New Roman" w:hAnsi="Times New Roman" w:eastAsia="宋体"/>
                      <w:color w:val="auto"/>
                      <w:spacing w:val="5"/>
                      <w:position w:val="1"/>
                      <w:sz w:val="21"/>
                      <w:szCs w:val="21"/>
                    </w:rPr>
                    <w:t>（</w:t>
                  </w:r>
                  <w:r>
                    <w:rPr>
                      <w:rFonts w:ascii="Times New Roman" w:hAnsi="Times New Roman" w:eastAsia="宋体" w:cs="Times New Roman"/>
                      <w:color w:val="auto"/>
                      <w:spacing w:val="5"/>
                      <w:position w:val="1"/>
                      <w:sz w:val="21"/>
                      <w:szCs w:val="21"/>
                    </w:rPr>
                    <w:t>A</w:t>
                  </w:r>
                  <w:r>
                    <w:rPr>
                      <w:rFonts w:ascii="Times New Roman" w:hAnsi="Times New Roman" w:eastAsia="宋体"/>
                      <w:color w:val="auto"/>
                      <w:spacing w:val="5"/>
                      <w:position w:val="1"/>
                      <w:sz w:val="21"/>
                      <w:szCs w:val="21"/>
                    </w:rPr>
                    <w:t>）</w:t>
                  </w:r>
                </w:p>
              </w:tc>
              <w:tc>
                <w:tcPr>
                  <w:tcW w:w="1865" w:type="dxa"/>
                  <w:vAlign w:val="center"/>
                </w:tcPr>
                <w:p w14:paraId="2B7E8B2B">
                  <w:pPr>
                    <w:pStyle w:val="38"/>
                    <w:spacing w:before="42" w:line="217"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7"/>
                      <w:sz w:val="21"/>
                      <w:szCs w:val="21"/>
                    </w:rPr>
                    <w:t>距声源距离（</w:t>
                  </w:r>
                  <w:r>
                    <w:rPr>
                      <w:rFonts w:ascii="Times New Roman" w:hAnsi="Times New Roman" w:eastAsia="宋体" w:cs="Times New Roman"/>
                      <w:color w:val="auto"/>
                      <w:spacing w:val="7"/>
                      <w:sz w:val="21"/>
                      <w:szCs w:val="21"/>
                    </w:rPr>
                    <w:t>m</w:t>
                  </w:r>
                  <w:r>
                    <w:rPr>
                      <w:rFonts w:ascii="Times New Roman" w:hAnsi="Times New Roman" w:eastAsia="宋体"/>
                      <w:color w:val="auto"/>
                      <w:spacing w:val="7"/>
                      <w:sz w:val="21"/>
                      <w:szCs w:val="21"/>
                    </w:rPr>
                    <w:t>）</w:t>
                  </w:r>
                </w:p>
              </w:tc>
            </w:tr>
            <w:tr w14:paraId="044C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471" w:type="dxa"/>
                  <w:vAlign w:val="center"/>
                </w:tcPr>
                <w:p w14:paraId="6D5A4995">
                  <w:pPr>
                    <w:pStyle w:val="38"/>
                    <w:spacing w:before="45" w:line="216"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ascii="Times New Roman" w:hAnsi="Times New Roman"/>
                      <w:color w:val="auto"/>
                      <w:spacing w:val="6"/>
                      <w:sz w:val="21"/>
                      <w:szCs w:val="21"/>
                      <w:lang w:val="en-US" w:eastAsia="zh-CN"/>
                    </w:rPr>
                    <w:t>钻机</w:t>
                  </w:r>
                </w:p>
              </w:tc>
              <w:tc>
                <w:tcPr>
                  <w:tcW w:w="1231" w:type="dxa"/>
                  <w:vAlign w:val="center"/>
                </w:tcPr>
                <w:p w14:paraId="7E76DBB6">
                  <w:pPr>
                    <w:pStyle w:val="38"/>
                    <w:spacing w:before="45" w:line="216"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1"/>
                      <w:sz w:val="21"/>
                      <w:szCs w:val="21"/>
                    </w:rPr>
                    <w:t>辆</w:t>
                  </w:r>
                </w:p>
              </w:tc>
              <w:tc>
                <w:tcPr>
                  <w:tcW w:w="1571" w:type="dxa"/>
                  <w:vAlign w:val="center"/>
                </w:tcPr>
                <w:p w14:paraId="71378D43">
                  <w:pPr>
                    <w:spacing w:before="14" w:line="265"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cs="Times New Roman"/>
                      <w:color w:val="auto"/>
                      <w:spacing w:val="1"/>
                      <w:position w:val="1"/>
                      <w:sz w:val="21"/>
                      <w:szCs w:val="21"/>
                      <w:lang w:val="en-US" w:eastAsia="zh-CN"/>
                    </w:rPr>
                    <w:t>1</w:t>
                  </w:r>
                </w:p>
              </w:tc>
              <w:tc>
                <w:tcPr>
                  <w:tcW w:w="1720" w:type="dxa"/>
                  <w:vAlign w:val="center"/>
                </w:tcPr>
                <w:p w14:paraId="52B2AC28">
                  <w:pPr>
                    <w:spacing w:before="14" w:line="265" w:lineRule="exact"/>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spacing w:val="-2"/>
                      <w:position w:val="1"/>
                      <w:sz w:val="21"/>
                      <w:szCs w:val="21"/>
                      <w:lang w:val="en-US" w:eastAsia="zh-CN"/>
                    </w:rPr>
                    <w:t>90</w:t>
                  </w:r>
                </w:p>
              </w:tc>
              <w:tc>
                <w:tcPr>
                  <w:tcW w:w="1865" w:type="dxa"/>
                  <w:vAlign w:val="center"/>
                </w:tcPr>
                <w:p w14:paraId="528AEB32">
                  <w:pPr>
                    <w:spacing w:before="84" w:line="192" w:lineRule="auto"/>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cs="Times New Roman"/>
                      <w:color w:val="auto"/>
                      <w:sz w:val="21"/>
                      <w:szCs w:val="21"/>
                      <w:lang w:val="en-US" w:eastAsia="zh-CN"/>
                    </w:rPr>
                    <w:t>1</w:t>
                  </w:r>
                </w:p>
              </w:tc>
            </w:tr>
            <w:tr w14:paraId="4D6F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471" w:type="dxa"/>
                  <w:vAlign w:val="center"/>
                </w:tcPr>
                <w:p w14:paraId="029A01A7">
                  <w:pPr>
                    <w:pStyle w:val="38"/>
                    <w:spacing w:before="43" w:line="216"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7"/>
                      <w:sz w:val="21"/>
                      <w:szCs w:val="21"/>
                    </w:rPr>
                    <w:t>挖掘机</w:t>
                  </w:r>
                </w:p>
              </w:tc>
              <w:tc>
                <w:tcPr>
                  <w:tcW w:w="1231" w:type="dxa"/>
                  <w:vAlign w:val="center"/>
                </w:tcPr>
                <w:p w14:paraId="4520CA54">
                  <w:pPr>
                    <w:pStyle w:val="38"/>
                    <w:spacing w:before="43" w:line="216"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1"/>
                      <w:sz w:val="21"/>
                      <w:szCs w:val="21"/>
                    </w:rPr>
                    <w:t>辆</w:t>
                  </w:r>
                </w:p>
              </w:tc>
              <w:tc>
                <w:tcPr>
                  <w:tcW w:w="1571" w:type="dxa"/>
                  <w:vAlign w:val="center"/>
                </w:tcPr>
                <w:p w14:paraId="39CD1ABB">
                  <w:pPr>
                    <w:spacing w:before="13" w:line="264"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cs="Times New Roman"/>
                      <w:color w:val="auto"/>
                      <w:spacing w:val="1"/>
                      <w:position w:val="1"/>
                      <w:sz w:val="21"/>
                      <w:szCs w:val="21"/>
                      <w:lang w:val="en-US" w:eastAsia="zh-CN"/>
                    </w:rPr>
                    <w:t>1</w:t>
                  </w:r>
                </w:p>
              </w:tc>
              <w:tc>
                <w:tcPr>
                  <w:tcW w:w="1720" w:type="dxa"/>
                  <w:vAlign w:val="center"/>
                </w:tcPr>
                <w:p w14:paraId="6869FA2A">
                  <w:pPr>
                    <w:spacing w:before="13" w:line="264"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ascii="Times New Roman" w:hAnsi="Times New Roman" w:eastAsia="宋体" w:cs="Times New Roman"/>
                      <w:color w:val="auto"/>
                      <w:spacing w:val="-2"/>
                      <w:position w:val="1"/>
                      <w:sz w:val="21"/>
                      <w:szCs w:val="21"/>
                    </w:rPr>
                    <w:t>8</w:t>
                  </w:r>
                  <w:r>
                    <w:rPr>
                      <w:rFonts w:hint="eastAsia" w:cs="Times New Roman"/>
                      <w:color w:val="auto"/>
                      <w:spacing w:val="-2"/>
                      <w:position w:val="1"/>
                      <w:sz w:val="21"/>
                      <w:szCs w:val="21"/>
                      <w:lang w:val="en-US" w:eastAsia="zh-CN"/>
                    </w:rPr>
                    <w:t>5</w:t>
                  </w:r>
                </w:p>
              </w:tc>
              <w:tc>
                <w:tcPr>
                  <w:tcW w:w="1865" w:type="dxa"/>
                  <w:vAlign w:val="center"/>
                </w:tcPr>
                <w:p w14:paraId="5806742B">
                  <w:pPr>
                    <w:spacing w:before="83" w:line="192"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sz w:val="21"/>
                      <w:szCs w:val="21"/>
                      <w:lang w:val="en-US" w:eastAsia="zh-CN"/>
                    </w:rPr>
                    <w:t>1</w:t>
                  </w:r>
                </w:p>
              </w:tc>
            </w:tr>
            <w:tr w14:paraId="6201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471" w:type="dxa"/>
                  <w:vAlign w:val="center"/>
                </w:tcPr>
                <w:p w14:paraId="0A26F337">
                  <w:pPr>
                    <w:pStyle w:val="38"/>
                    <w:spacing w:before="46" w:line="215"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6"/>
                      <w:sz w:val="21"/>
                      <w:szCs w:val="21"/>
                    </w:rPr>
                    <w:t>装载机</w:t>
                  </w:r>
                </w:p>
              </w:tc>
              <w:tc>
                <w:tcPr>
                  <w:tcW w:w="1231" w:type="dxa"/>
                  <w:vAlign w:val="center"/>
                </w:tcPr>
                <w:p w14:paraId="116D952E">
                  <w:pPr>
                    <w:pStyle w:val="38"/>
                    <w:spacing w:before="46" w:line="215"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1"/>
                      <w:sz w:val="21"/>
                      <w:szCs w:val="21"/>
                    </w:rPr>
                    <w:t>辆</w:t>
                  </w:r>
                </w:p>
              </w:tc>
              <w:tc>
                <w:tcPr>
                  <w:tcW w:w="1571" w:type="dxa"/>
                  <w:vAlign w:val="center"/>
                </w:tcPr>
                <w:p w14:paraId="31CCA4A9">
                  <w:pPr>
                    <w:spacing w:before="15" w:line="264"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cs="Times New Roman"/>
                      <w:color w:val="auto"/>
                      <w:spacing w:val="1"/>
                      <w:position w:val="1"/>
                      <w:sz w:val="21"/>
                      <w:szCs w:val="21"/>
                      <w:lang w:val="en-US" w:eastAsia="zh-CN"/>
                    </w:rPr>
                    <w:t>1</w:t>
                  </w:r>
                </w:p>
              </w:tc>
              <w:tc>
                <w:tcPr>
                  <w:tcW w:w="1720" w:type="dxa"/>
                  <w:vAlign w:val="center"/>
                </w:tcPr>
                <w:p w14:paraId="0B277480">
                  <w:pPr>
                    <w:spacing w:before="15" w:line="264" w:lineRule="exact"/>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position w:val="1"/>
                      <w:sz w:val="21"/>
                      <w:szCs w:val="21"/>
                      <w:lang w:val="en-US" w:eastAsia="zh-CN"/>
                    </w:rPr>
                    <w:t>90</w:t>
                  </w:r>
                </w:p>
              </w:tc>
              <w:tc>
                <w:tcPr>
                  <w:tcW w:w="1865" w:type="dxa"/>
                  <w:vAlign w:val="center"/>
                </w:tcPr>
                <w:p w14:paraId="2CE98C3A">
                  <w:pPr>
                    <w:spacing w:before="85" w:line="192"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sz w:val="21"/>
                      <w:szCs w:val="21"/>
                      <w:lang w:val="en-US" w:eastAsia="zh-CN"/>
                    </w:rPr>
                    <w:t>1</w:t>
                  </w:r>
                </w:p>
              </w:tc>
            </w:tr>
            <w:tr w14:paraId="72ED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471" w:type="dxa"/>
                  <w:vAlign w:val="center"/>
                </w:tcPr>
                <w:p w14:paraId="090FB449">
                  <w:pPr>
                    <w:pStyle w:val="38"/>
                    <w:spacing w:before="45" w:line="216" w:lineRule="auto"/>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ascii="Times New Roman" w:hAnsi="Times New Roman"/>
                      <w:color w:val="auto"/>
                      <w:spacing w:val="7"/>
                      <w:sz w:val="21"/>
                      <w:szCs w:val="21"/>
                      <w:lang w:val="en-US" w:eastAsia="zh-CN"/>
                    </w:rPr>
                    <w:t>泥浆泵</w:t>
                  </w:r>
                </w:p>
              </w:tc>
              <w:tc>
                <w:tcPr>
                  <w:tcW w:w="1231" w:type="dxa"/>
                  <w:vAlign w:val="center"/>
                </w:tcPr>
                <w:p w14:paraId="73D5546A">
                  <w:pPr>
                    <w:pStyle w:val="38"/>
                    <w:spacing w:before="45" w:line="216"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z w:val="21"/>
                      <w:szCs w:val="21"/>
                    </w:rPr>
                    <w:t>台</w:t>
                  </w:r>
                </w:p>
              </w:tc>
              <w:tc>
                <w:tcPr>
                  <w:tcW w:w="1571" w:type="dxa"/>
                  <w:vAlign w:val="center"/>
                </w:tcPr>
                <w:p w14:paraId="11C71677">
                  <w:pPr>
                    <w:spacing w:before="14" w:line="265"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cs="Times New Roman"/>
                      <w:color w:val="auto"/>
                      <w:position w:val="1"/>
                      <w:sz w:val="21"/>
                      <w:szCs w:val="21"/>
                      <w:lang w:val="en-US" w:eastAsia="zh-CN"/>
                    </w:rPr>
                    <w:t>3</w:t>
                  </w:r>
                </w:p>
              </w:tc>
              <w:tc>
                <w:tcPr>
                  <w:tcW w:w="1720" w:type="dxa"/>
                  <w:vAlign w:val="center"/>
                </w:tcPr>
                <w:p w14:paraId="4F3E44E6">
                  <w:pPr>
                    <w:spacing w:before="14" w:line="265" w:lineRule="exact"/>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position w:val="1"/>
                      <w:sz w:val="21"/>
                      <w:szCs w:val="21"/>
                      <w:lang w:val="en-US" w:eastAsia="zh-CN"/>
                    </w:rPr>
                    <w:t>85</w:t>
                  </w:r>
                </w:p>
              </w:tc>
              <w:tc>
                <w:tcPr>
                  <w:tcW w:w="1865" w:type="dxa"/>
                  <w:vAlign w:val="center"/>
                </w:tcPr>
                <w:p w14:paraId="76EDC178">
                  <w:pPr>
                    <w:spacing w:before="84" w:line="192"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sz w:val="21"/>
                      <w:szCs w:val="21"/>
                      <w:lang w:val="en-US" w:eastAsia="zh-CN"/>
                    </w:rPr>
                    <w:t>1</w:t>
                  </w:r>
                </w:p>
              </w:tc>
            </w:tr>
            <w:tr w14:paraId="0D81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471" w:type="dxa"/>
                  <w:vAlign w:val="center"/>
                </w:tcPr>
                <w:p w14:paraId="54AD0E21">
                  <w:pPr>
                    <w:pStyle w:val="38"/>
                    <w:spacing w:before="46" w:line="215"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default" w:ascii="Times New Roman" w:hAnsi="Times New Roman" w:eastAsia="宋体"/>
                      <w:color w:val="auto"/>
                      <w:sz w:val="21"/>
                      <w:szCs w:val="21"/>
                      <w:vertAlign w:val="baseline"/>
                      <w:lang w:val="en-US" w:eastAsia="zh-CN"/>
                    </w:rPr>
                    <w:t>起重机</w:t>
                  </w:r>
                </w:p>
              </w:tc>
              <w:tc>
                <w:tcPr>
                  <w:tcW w:w="1231" w:type="dxa"/>
                  <w:vAlign w:val="center"/>
                </w:tcPr>
                <w:p w14:paraId="5CD53E14">
                  <w:pPr>
                    <w:pStyle w:val="38"/>
                    <w:spacing w:before="46" w:line="215"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color w:val="auto"/>
                      <w:spacing w:val="1"/>
                      <w:sz w:val="21"/>
                      <w:szCs w:val="21"/>
                    </w:rPr>
                    <w:t>辆</w:t>
                  </w:r>
                </w:p>
              </w:tc>
              <w:tc>
                <w:tcPr>
                  <w:tcW w:w="1571" w:type="dxa"/>
                  <w:vAlign w:val="center"/>
                </w:tcPr>
                <w:p w14:paraId="533CFC38">
                  <w:pPr>
                    <w:spacing w:before="15" w:line="264"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hint="eastAsia" w:cs="Times New Roman"/>
                      <w:color w:val="auto"/>
                      <w:spacing w:val="1"/>
                      <w:position w:val="1"/>
                      <w:sz w:val="21"/>
                      <w:szCs w:val="21"/>
                      <w:lang w:val="en-US" w:eastAsia="zh-CN"/>
                    </w:rPr>
                    <w:t>1</w:t>
                  </w:r>
                </w:p>
              </w:tc>
              <w:tc>
                <w:tcPr>
                  <w:tcW w:w="1720" w:type="dxa"/>
                  <w:vAlign w:val="center"/>
                </w:tcPr>
                <w:p w14:paraId="38BC0B79">
                  <w:pPr>
                    <w:spacing w:before="15" w:line="264" w:lineRule="exact"/>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position w:val="1"/>
                      <w:sz w:val="21"/>
                      <w:szCs w:val="21"/>
                      <w:lang w:val="en-US" w:eastAsia="zh-CN"/>
                    </w:rPr>
                    <w:t>90</w:t>
                  </w:r>
                </w:p>
              </w:tc>
              <w:tc>
                <w:tcPr>
                  <w:tcW w:w="1865" w:type="dxa"/>
                  <w:vAlign w:val="center"/>
                </w:tcPr>
                <w:p w14:paraId="185BF267">
                  <w:pPr>
                    <w:spacing w:before="85" w:line="192"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sz w:val="21"/>
                      <w:szCs w:val="21"/>
                      <w:lang w:val="en-US" w:eastAsia="zh-CN"/>
                    </w:rPr>
                    <w:t>1</w:t>
                  </w:r>
                </w:p>
              </w:tc>
            </w:tr>
            <w:tr w14:paraId="694F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471" w:type="dxa"/>
                  <w:vAlign w:val="center"/>
                </w:tcPr>
                <w:p w14:paraId="3665DA22">
                  <w:pPr>
                    <w:pStyle w:val="38"/>
                    <w:spacing w:before="47" w:line="214"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default" w:ascii="Times New Roman" w:hAnsi="Times New Roman" w:eastAsia="宋体"/>
                      <w:color w:val="auto"/>
                      <w:sz w:val="21"/>
                      <w:szCs w:val="21"/>
                      <w:vertAlign w:val="baseline"/>
                      <w:lang w:val="en-US" w:eastAsia="zh-CN"/>
                    </w:rPr>
                    <w:t>载重</w:t>
                  </w:r>
                  <w:r>
                    <w:rPr>
                      <w:rFonts w:hint="eastAsia" w:ascii="Times New Roman" w:hAnsi="Times New Roman" w:eastAsia="宋体"/>
                      <w:color w:val="auto"/>
                      <w:sz w:val="21"/>
                      <w:szCs w:val="21"/>
                      <w:vertAlign w:val="baseline"/>
                      <w:lang w:val="en-US" w:eastAsia="zh-CN"/>
                    </w:rPr>
                    <w:t>汽车</w:t>
                  </w:r>
                </w:p>
              </w:tc>
              <w:tc>
                <w:tcPr>
                  <w:tcW w:w="1231" w:type="dxa"/>
                  <w:vAlign w:val="center"/>
                </w:tcPr>
                <w:p w14:paraId="15E37897">
                  <w:pPr>
                    <w:pStyle w:val="38"/>
                    <w:spacing w:before="47" w:line="214" w:lineRule="auto"/>
                    <w:ind w:left="0" w:leftChars="0" w:firstLine="0" w:firstLineChars="0"/>
                    <w:jc w:val="center"/>
                    <w:rPr>
                      <w:rFonts w:hint="eastAsia" w:ascii="Times New Roman" w:hAnsi="Times New Roman" w:eastAsia="宋体"/>
                      <w:color w:val="auto"/>
                      <w:sz w:val="21"/>
                      <w:szCs w:val="21"/>
                      <w:vertAlign w:val="baseline"/>
                      <w:lang w:val="en-US" w:eastAsia="zh-CN"/>
                    </w:rPr>
                  </w:pPr>
                  <w:r>
                    <w:rPr>
                      <w:color w:val="auto"/>
                      <w:spacing w:val="1"/>
                      <w:sz w:val="21"/>
                      <w:szCs w:val="21"/>
                    </w:rPr>
                    <w:t>辆</w:t>
                  </w:r>
                </w:p>
              </w:tc>
              <w:tc>
                <w:tcPr>
                  <w:tcW w:w="1571" w:type="dxa"/>
                  <w:vAlign w:val="center"/>
                </w:tcPr>
                <w:p w14:paraId="0038E2EA">
                  <w:pPr>
                    <w:spacing w:before="16" w:line="263" w:lineRule="exact"/>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olor w:val="auto"/>
                      <w:sz w:val="21"/>
                      <w:szCs w:val="21"/>
                      <w:vertAlign w:val="baseline"/>
                      <w:lang w:val="en-US" w:eastAsia="zh-CN"/>
                    </w:rPr>
                    <w:t>2</w:t>
                  </w:r>
                </w:p>
              </w:tc>
              <w:tc>
                <w:tcPr>
                  <w:tcW w:w="1720" w:type="dxa"/>
                  <w:vAlign w:val="center"/>
                </w:tcPr>
                <w:p w14:paraId="3ADF1B97">
                  <w:pPr>
                    <w:spacing w:before="16" w:line="263" w:lineRule="exact"/>
                    <w:ind w:left="0" w:leftChars="0" w:firstLine="0" w:firstLineChars="0"/>
                    <w:jc w:val="center"/>
                    <w:rPr>
                      <w:rFonts w:hint="eastAsia" w:ascii="Times New Roman" w:hAnsi="Times New Roman" w:eastAsia="宋体"/>
                      <w:color w:val="auto"/>
                      <w:sz w:val="21"/>
                      <w:szCs w:val="21"/>
                      <w:vertAlign w:val="baseline"/>
                      <w:lang w:val="en-US" w:eastAsia="zh-CN"/>
                    </w:rPr>
                  </w:pPr>
                  <w:r>
                    <w:rPr>
                      <w:rFonts w:ascii="Times New Roman" w:hAnsi="Times New Roman" w:eastAsia="宋体" w:cs="Times New Roman"/>
                      <w:color w:val="auto"/>
                      <w:spacing w:val="-2"/>
                      <w:position w:val="1"/>
                      <w:sz w:val="21"/>
                      <w:szCs w:val="21"/>
                    </w:rPr>
                    <w:t>8</w:t>
                  </w:r>
                  <w:r>
                    <w:rPr>
                      <w:rFonts w:hint="eastAsia" w:cs="Times New Roman"/>
                      <w:color w:val="auto"/>
                      <w:spacing w:val="-2"/>
                      <w:position w:val="1"/>
                      <w:sz w:val="21"/>
                      <w:szCs w:val="21"/>
                      <w:lang w:val="en-US" w:eastAsia="zh-CN"/>
                    </w:rPr>
                    <w:t>0</w:t>
                  </w:r>
                </w:p>
              </w:tc>
              <w:tc>
                <w:tcPr>
                  <w:tcW w:w="1865" w:type="dxa"/>
                  <w:vAlign w:val="center"/>
                </w:tcPr>
                <w:p w14:paraId="06EC7260">
                  <w:pPr>
                    <w:spacing w:before="86" w:line="192" w:lineRule="auto"/>
                    <w:ind w:left="0" w:leftChars="0" w:firstLine="0" w:firstLineChars="0"/>
                    <w:jc w:val="center"/>
                    <w:rPr>
                      <w:rFonts w:hint="default" w:ascii="Times New Roman" w:hAnsi="Times New Roman" w:eastAsia="宋体"/>
                      <w:color w:val="auto"/>
                      <w:sz w:val="21"/>
                      <w:szCs w:val="21"/>
                      <w:vertAlign w:val="baseline"/>
                      <w:lang w:val="en-US" w:eastAsia="zh-CN"/>
                    </w:rPr>
                  </w:pPr>
                  <w:r>
                    <w:rPr>
                      <w:rFonts w:hint="eastAsia" w:cs="Times New Roman"/>
                      <w:color w:val="auto"/>
                      <w:sz w:val="21"/>
                      <w:szCs w:val="21"/>
                      <w:lang w:val="en-US" w:eastAsia="zh-CN"/>
                    </w:rPr>
                    <w:t>1</w:t>
                  </w:r>
                </w:p>
              </w:tc>
            </w:tr>
            <w:tr w14:paraId="6F8D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471" w:type="dxa"/>
                  <w:vAlign w:val="center"/>
                </w:tcPr>
                <w:p w14:paraId="75F44506">
                  <w:pPr>
                    <w:pStyle w:val="38"/>
                    <w:spacing w:before="47" w:line="214" w:lineRule="auto"/>
                    <w:ind w:left="0" w:leftChars="0" w:firstLine="0" w:firstLineChars="0"/>
                    <w:jc w:val="center"/>
                    <w:rPr>
                      <w:rFonts w:hint="default" w:ascii="Times New Roman" w:hAnsi="Times New Roman"/>
                      <w:color w:val="auto"/>
                      <w:sz w:val="21"/>
                      <w:szCs w:val="21"/>
                      <w:vertAlign w:val="baseline"/>
                      <w:lang w:val="en-US" w:eastAsia="zh-CN"/>
                    </w:rPr>
                  </w:pPr>
                  <w:r>
                    <w:rPr>
                      <w:rFonts w:hint="eastAsia" w:ascii="Times New Roman" w:hAnsi="Times New Roman"/>
                      <w:color w:val="auto"/>
                      <w:sz w:val="21"/>
                      <w:szCs w:val="21"/>
                      <w:vertAlign w:val="baseline"/>
                      <w:lang w:val="en-US" w:eastAsia="zh-CN"/>
                    </w:rPr>
                    <w:t>切割机</w:t>
                  </w:r>
                </w:p>
              </w:tc>
              <w:tc>
                <w:tcPr>
                  <w:tcW w:w="1231" w:type="dxa"/>
                  <w:vAlign w:val="center"/>
                </w:tcPr>
                <w:p w14:paraId="1EF7C6D2">
                  <w:pPr>
                    <w:pStyle w:val="38"/>
                    <w:spacing w:before="47" w:line="214" w:lineRule="auto"/>
                    <w:ind w:left="0" w:leftChars="0" w:firstLine="0" w:firstLineChars="0"/>
                    <w:jc w:val="center"/>
                    <w:rPr>
                      <w:rFonts w:hint="eastAsia"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台</w:t>
                  </w:r>
                </w:p>
              </w:tc>
              <w:tc>
                <w:tcPr>
                  <w:tcW w:w="1571" w:type="dxa"/>
                  <w:vAlign w:val="center"/>
                </w:tcPr>
                <w:p w14:paraId="693B04DF">
                  <w:pPr>
                    <w:spacing w:before="16" w:line="263" w:lineRule="exact"/>
                    <w:ind w:left="0" w:leftChars="0" w:firstLine="0" w:firstLineChars="0"/>
                    <w:jc w:val="center"/>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1720" w:type="dxa"/>
                  <w:vAlign w:val="center"/>
                </w:tcPr>
                <w:p w14:paraId="69C56F72">
                  <w:pPr>
                    <w:spacing w:before="16" w:line="263" w:lineRule="exact"/>
                    <w:ind w:left="0" w:leftChars="0" w:firstLine="0" w:firstLineChars="0"/>
                    <w:jc w:val="center"/>
                    <w:rPr>
                      <w:rFonts w:hint="default" w:cs="Times New Roman"/>
                      <w:color w:val="auto"/>
                      <w:spacing w:val="-2"/>
                      <w:position w:val="1"/>
                      <w:sz w:val="21"/>
                      <w:szCs w:val="21"/>
                      <w:lang w:val="en-US" w:eastAsia="zh-CN"/>
                    </w:rPr>
                  </w:pPr>
                  <w:r>
                    <w:rPr>
                      <w:rFonts w:hint="eastAsia" w:cs="Times New Roman"/>
                      <w:color w:val="auto"/>
                      <w:spacing w:val="-2"/>
                      <w:position w:val="1"/>
                      <w:sz w:val="21"/>
                      <w:szCs w:val="21"/>
                      <w:lang w:val="en-US" w:eastAsia="zh-CN"/>
                    </w:rPr>
                    <w:t>80</w:t>
                  </w:r>
                </w:p>
              </w:tc>
              <w:tc>
                <w:tcPr>
                  <w:tcW w:w="1865" w:type="dxa"/>
                  <w:vAlign w:val="center"/>
                </w:tcPr>
                <w:p w14:paraId="3528DFE0">
                  <w:pPr>
                    <w:spacing w:before="86" w:line="192" w:lineRule="auto"/>
                    <w:ind w:left="0" w:leftChars="0" w:firstLine="0" w:firstLineChars="0"/>
                    <w:jc w:val="center"/>
                    <w:rPr>
                      <w:rFonts w:hint="default" w:cs="Times New Roman"/>
                      <w:color w:val="auto"/>
                      <w:sz w:val="21"/>
                      <w:szCs w:val="21"/>
                      <w:lang w:val="en-US" w:eastAsia="zh-CN"/>
                    </w:rPr>
                  </w:pPr>
                  <w:r>
                    <w:rPr>
                      <w:rFonts w:hint="eastAsia" w:cs="Times New Roman"/>
                      <w:color w:val="auto"/>
                      <w:sz w:val="21"/>
                      <w:szCs w:val="21"/>
                      <w:lang w:val="en-US" w:eastAsia="zh-CN"/>
                    </w:rPr>
                    <w:t>1</w:t>
                  </w:r>
                </w:p>
              </w:tc>
            </w:tr>
          </w:tbl>
          <w:p w14:paraId="1BE96D1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val="0"/>
                <w:bCs/>
                <w:color w:val="auto"/>
                <w:kern w:val="0"/>
                <w:sz w:val="24"/>
                <w:szCs w:val="24"/>
                <w:highlight w:val="none"/>
                <w:lang w:val="en-US" w:eastAsia="zh-CN"/>
              </w:rPr>
            </w:pPr>
            <w:r>
              <w:rPr>
                <w:rFonts w:hint="eastAsia" w:ascii="Times New Roman" w:hAnsi="Times New Roman" w:eastAsia="宋体" w:cs="Times New Roman"/>
                <w:b w:val="0"/>
                <w:bCs/>
                <w:color w:val="auto"/>
                <w:kern w:val="0"/>
                <w:sz w:val="24"/>
                <w:szCs w:val="24"/>
                <w:highlight w:val="none"/>
                <w:lang w:val="en-US" w:eastAsia="zh-CN"/>
              </w:rPr>
              <w:t>（</w:t>
            </w:r>
            <w:r>
              <w:rPr>
                <w:rFonts w:hint="eastAsia" w:cs="Times New Roman"/>
                <w:b w:val="0"/>
                <w:bCs/>
                <w:color w:val="auto"/>
                <w:kern w:val="0"/>
                <w:sz w:val="24"/>
                <w:szCs w:val="24"/>
                <w:highlight w:val="none"/>
                <w:lang w:val="en-US" w:eastAsia="zh-CN"/>
              </w:rPr>
              <w:t>2</w:t>
            </w:r>
            <w:r>
              <w:rPr>
                <w:rFonts w:hint="eastAsia" w:ascii="Times New Roman" w:hAnsi="Times New Roman" w:eastAsia="宋体" w:cs="Times New Roman"/>
                <w:b w:val="0"/>
                <w:bCs/>
                <w:color w:val="auto"/>
                <w:kern w:val="0"/>
                <w:sz w:val="24"/>
                <w:szCs w:val="24"/>
                <w:highlight w:val="none"/>
                <w:lang w:val="en-US" w:eastAsia="zh-CN"/>
              </w:rPr>
              <w:t>）噪声</w:t>
            </w:r>
            <w:r>
              <w:rPr>
                <w:rFonts w:hint="eastAsia" w:cs="Times New Roman"/>
                <w:b w:val="0"/>
                <w:bCs/>
                <w:color w:val="auto"/>
                <w:kern w:val="0"/>
                <w:sz w:val="24"/>
                <w:szCs w:val="24"/>
                <w:highlight w:val="none"/>
                <w:lang w:val="en-US" w:eastAsia="zh-CN"/>
              </w:rPr>
              <w:t>影响分析</w:t>
            </w:r>
          </w:p>
          <w:p w14:paraId="330E79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color w:val="000000"/>
                <w:kern w:val="0"/>
                <w:sz w:val="24"/>
                <w:szCs w:val="24"/>
                <w:highlight w:val="none"/>
                <w:lang w:val="en-US" w:eastAsia="zh-CN"/>
              </w:rPr>
            </w:pPr>
            <w:r>
              <w:rPr>
                <w:rFonts w:hint="eastAsia" w:ascii="Times New Roman" w:hAnsi="Times New Roman" w:eastAsia="宋体" w:cs="Times New Roman"/>
                <w:b w:val="0"/>
                <w:bCs/>
                <w:color w:val="000000"/>
                <w:kern w:val="0"/>
                <w:sz w:val="24"/>
                <w:szCs w:val="24"/>
                <w:highlight w:val="none"/>
                <w:lang w:val="en-US" w:eastAsia="zh-CN"/>
              </w:rPr>
              <w:t>单台施工机械噪声随距离的衰减计算公式如下：</w:t>
            </w:r>
          </w:p>
          <w:p w14:paraId="01265E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color w:val="000000"/>
                <w:kern w:val="0"/>
                <w:sz w:val="24"/>
                <w:szCs w:val="24"/>
                <w:highlight w:val="none"/>
                <w:lang w:val="en-US" w:eastAsia="zh-CN"/>
              </w:rPr>
            </w:pPr>
            <w:r>
              <w:rPr>
                <w:color w:val="000000"/>
              </w:rPr>
              <w:drawing>
                <wp:inline distT="0" distB="0" distL="114300" distR="114300">
                  <wp:extent cx="1663700" cy="299720"/>
                  <wp:effectExtent l="0" t="0" r="1270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a:stretch>
                            <a:fillRect/>
                          </a:stretch>
                        </pic:blipFill>
                        <pic:spPr>
                          <a:xfrm>
                            <a:off x="0" y="0"/>
                            <a:ext cx="1663700" cy="299720"/>
                          </a:xfrm>
                          <a:prstGeom prst="rect">
                            <a:avLst/>
                          </a:prstGeom>
                          <a:noFill/>
                          <a:ln>
                            <a:noFill/>
                          </a:ln>
                        </pic:spPr>
                      </pic:pic>
                    </a:graphicData>
                  </a:graphic>
                </wp:inline>
              </w:drawing>
            </w:r>
          </w:p>
          <w:p w14:paraId="0AD29F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color w:val="000000"/>
                <w:kern w:val="0"/>
                <w:sz w:val="24"/>
                <w:szCs w:val="24"/>
                <w:highlight w:val="none"/>
                <w:lang w:val="en-US" w:eastAsia="zh-CN"/>
              </w:rPr>
            </w:pPr>
            <w:r>
              <w:rPr>
                <w:rFonts w:hint="eastAsia" w:ascii="Times New Roman" w:hAnsi="Times New Roman" w:eastAsia="宋体" w:cs="Times New Roman"/>
                <w:b w:val="0"/>
                <w:bCs/>
                <w:color w:val="000000"/>
                <w:kern w:val="0"/>
                <w:sz w:val="24"/>
                <w:szCs w:val="24"/>
                <w:highlight w:val="none"/>
                <w:lang w:val="en-US" w:eastAsia="zh-CN"/>
              </w:rPr>
              <w:t>式中：</w:t>
            </w:r>
            <w:r>
              <w:rPr>
                <w:rFonts w:hint="eastAsia" w:ascii="Times New Roman" w:hAnsi="Times New Roman" w:eastAsia="宋体" w:cs="Times New Roman"/>
                <w:b w:val="0"/>
                <w:bCs/>
                <w:i/>
                <w:iCs/>
                <w:color w:val="000000"/>
                <w:kern w:val="0"/>
                <w:sz w:val="24"/>
                <w:szCs w:val="24"/>
                <w:highlight w:val="none"/>
                <w:lang w:val="en-US" w:eastAsia="zh-CN"/>
              </w:rPr>
              <w:t>L</w:t>
            </w:r>
            <w:r>
              <w:rPr>
                <w:rFonts w:hint="eastAsia" w:ascii="Times New Roman" w:hAnsi="Times New Roman" w:eastAsia="宋体" w:cs="Times New Roman"/>
                <w:b w:val="0"/>
                <w:bCs/>
                <w:i/>
                <w:iCs/>
                <w:color w:val="000000"/>
                <w:kern w:val="0"/>
                <w:sz w:val="24"/>
                <w:szCs w:val="24"/>
                <w:highlight w:val="none"/>
                <w:vertAlign w:val="subscript"/>
                <w:lang w:val="en-US" w:eastAsia="zh-CN"/>
              </w:rPr>
              <w:t>A</w:t>
            </w:r>
            <w:r>
              <w:rPr>
                <w:rFonts w:hint="eastAsia" w:ascii="Times New Roman" w:hAnsi="Times New Roman" w:eastAsia="宋体" w:cs="Times New Roman"/>
                <w:b w:val="0"/>
                <w:bCs/>
                <w:i/>
                <w:iCs/>
                <w:color w:val="000000"/>
                <w:kern w:val="0"/>
                <w:sz w:val="24"/>
                <w:szCs w:val="24"/>
                <w:highlight w:val="none"/>
                <w:lang w:val="en-US" w:eastAsia="zh-CN"/>
              </w:rPr>
              <w:t>(r)</w:t>
            </w:r>
            <w:r>
              <w:rPr>
                <w:rFonts w:hint="eastAsia" w:ascii="Times New Roman" w:hAnsi="Times New Roman" w:eastAsia="宋体" w:cs="Times New Roman"/>
                <w:b w:val="0"/>
                <w:bCs/>
                <w:color w:val="000000"/>
                <w:kern w:val="0"/>
                <w:sz w:val="24"/>
                <w:szCs w:val="24"/>
                <w:highlight w:val="none"/>
                <w:lang w:val="en-US" w:eastAsia="zh-CN"/>
              </w:rPr>
              <w:t>——预测点的噪声值；</w:t>
            </w:r>
          </w:p>
          <w:p w14:paraId="17D6C926">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eastAsia" w:ascii="Times New Roman" w:hAnsi="Times New Roman" w:eastAsia="宋体" w:cs="Times New Roman"/>
                <w:b w:val="0"/>
                <w:bCs/>
                <w:color w:val="000000"/>
                <w:kern w:val="0"/>
                <w:sz w:val="24"/>
                <w:szCs w:val="24"/>
                <w:highlight w:val="none"/>
                <w:lang w:val="en-US" w:eastAsia="zh-CN"/>
              </w:rPr>
            </w:pPr>
            <w:r>
              <w:rPr>
                <w:rFonts w:hint="eastAsia" w:ascii="Times New Roman" w:hAnsi="Times New Roman" w:eastAsia="宋体" w:cs="Times New Roman"/>
                <w:b w:val="0"/>
                <w:bCs/>
                <w:i/>
                <w:iCs/>
                <w:color w:val="000000"/>
                <w:kern w:val="0"/>
                <w:sz w:val="24"/>
                <w:szCs w:val="24"/>
                <w:highlight w:val="none"/>
                <w:lang w:val="en-US" w:eastAsia="zh-CN"/>
              </w:rPr>
              <w:t>L</w:t>
            </w:r>
            <w:r>
              <w:rPr>
                <w:rFonts w:hint="eastAsia" w:ascii="Times New Roman" w:hAnsi="Times New Roman" w:eastAsia="宋体" w:cs="Times New Roman"/>
                <w:b w:val="0"/>
                <w:bCs/>
                <w:i/>
                <w:iCs/>
                <w:color w:val="000000"/>
                <w:kern w:val="0"/>
                <w:sz w:val="24"/>
                <w:szCs w:val="24"/>
                <w:highlight w:val="none"/>
                <w:vertAlign w:val="subscript"/>
                <w:lang w:val="en-US" w:eastAsia="zh-CN"/>
              </w:rPr>
              <w:t>A</w:t>
            </w:r>
            <w:r>
              <w:rPr>
                <w:rFonts w:hint="eastAsia" w:ascii="Times New Roman" w:hAnsi="Times New Roman" w:eastAsia="宋体" w:cs="Times New Roman"/>
                <w:b w:val="0"/>
                <w:bCs/>
                <w:i/>
                <w:iCs/>
                <w:color w:val="000000"/>
                <w:kern w:val="0"/>
                <w:sz w:val="24"/>
                <w:szCs w:val="24"/>
                <w:highlight w:val="none"/>
                <w:lang w:val="en-US" w:eastAsia="zh-CN"/>
              </w:rPr>
              <w:t>(r</w:t>
            </w:r>
            <w:r>
              <w:rPr>
                <w:rFonts w:hint="eastAsia" w:ascii="Times New Roman" w:hAnsi="Times New Roman" w:eastAsia="宋体" w:cs="Times New Roman"/>
                <w:b w:val="0"/>
                <w:bCs/>
                <w:i/>
                <w:iCs/>
                <w:color w:val="000000"/>
                <w:kern w:val="0"/>
                <w:sz w:val="24"/>
                <w:szCs w:val="24"/>
                <w:highlight w:val="none"/>
                <w:vertAlign w:val="subscript"/>
                <w:lang w:val="en-US" w:eastAsia="zh-CN"/>
              </w:rPr>
              <w:t>0</w:t>
            </w:r>
            <w:r>
              <w:rPr>
                <w:rFonts w:hint="eastAsia" w:ascii="Times New Roman" w:hAnsi="Times New Roman" w:eastAsia="宋体" w:cs="Times New Roman"/>
                <w:b w:val="0"/>
                <w:bCs/>
                <w:i/>
                <w:iCs/>
                <w:color w:val="000000"/>
                <w:kern w:val="0"/>
                <w:sz w:val="24"/>
                <w:szCs w:val="24"/>
                <w:highlight w:val="none"/>
                <w:lang w:val="en-US" w:eastAsia="zh-CN"/>
              </w:rPr>
              <w:t>)</w:t>
            </w:r>
            <w:r>
              <w:rPr>
                <w:rFonts w:hint="eastAsia" w:ascii="Times New Roman" w:hAnsi="Times New Roman" w:eastAsia="宋体" w:cs="Times New Roman"/>
                <w:b w:val="0"/>
                <w:bCs/>
                <w:color w:val="000000"/>
                <w:kern w:val="0"/>
                <w:sz w:val="24"/>
                <w:szCs w:val="24"/>
                <w:highlight w:val="none"/>
                <w:lang w:val="en-US" w:eastAsia="zh-CN"/>
              </w:rPr>
              <w:t>——参照点的噪声值；</w:t>
            </w:r>
          </w:p>
          <w:p w14:paraId="482734F1">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eastAsia" w:ascii="Times New Roman" w:hAnsi="Times New Roman" w:eastAsia="宋体" w:cs="Times New Roman"/>
                <w:b w:val="0"/>
                <w:bCs/>
                <w:color w:val="000000"/>
                <w:kern w:val="0"/>
                <w:sz w:val="24"/>
                <w:szCs w:val="24"/>
                <w:highlight w:val="none"/>
                <w:lang w:val="en-US" w:eastAsia="zh-CN"/>
              </w:rPr>
            </w:pPr>
            <w:r>
              <w:rPr>
                <w:rFonts w:hint="eastAsia" w:ascii="Times New Roman" w:hAnsi="Times New Roman" w:eastAsia="宋体" w:cs="Times New Roman"/>
                <w:b w:val="0"/>
                <w:bCs/>
                <w:i/>
                <w:iCs/>
                <w:color w:val="000000"/>
                <w:kern w:val="0"/>
                <w:sz w:val="24"/>
                <w:szCs w:val="24"/>
                <w:highlight w:val="none"/>
                <w:lang w:val="en-US" w:eastAsia="zh-CN"/>
              </w:rPr>
              <w:t>r</w:t>
            </w:r>
            <w:r>
              <w:rPr>
                <w:rFonts w:hint="eastAsia" w:ascii="Times New Roman" w:hAnsi="Times New Roman" w:eastAsia="宋体" w:cs="Times New Roman"/>
                <w:b w:val="0"/>
                <w:bCs/>
                <w:color w:val="000000"/>
                <w:kern w:val="0"/>
                <w:sz w:val="24"/>
                <w:szCs w:val="24"/>
                <w:highlight w:val="none"/>
                <w:lang w:val="en-US" w:eastAsia="zh-CN"/>
              </w:rPr>
              <w:t>、</w:t>
            </w:r>
            <w:r>
              <w:rPr>
                <w:rFonts w:hint="eastAsia" w:ascii="Times New Roman" w:hAnsi="Times New Roman" w:eastAsia="宋体" w:cs="Times New Roman"/>
                <w:b w:val="0"/>
                <w:bCs/>
                <w:i/>
                <w:iCs/>
                <w:color w:val="000000"/>
                <w:kern w:val="0"/>
                <w:sz w:val="24"/>
                <w:szCs w:val="24"/>
                <w:highlight w:val="none"/>
                <w:lang w:val="en-US" w:eastAsia="zh-CN"/>
              </w:rPr>
              <w:t>r</w:t>
            </w:r>
            <w:r>
              <w:rPr>
                <w:rFonts w:hint="eastAsia" w:ascii="Times New Roman" w:hAnsi="Times New Roman" w:eastAsia="宋体" w:cs="Times New Roman"/>
                <w:b w:val="0"/>
                <w:bCs/>
                <w:i/>
                <w:iCs/>
                <w:color w:val="000000"/>
                <w:kern w:val="0"/>
                <w:sz w:val="24"/>
                <w:szCs w:val="24"/>
                <w:highlight w:val="none"/>
                <w:vertAlign w:val="subscript"/>
                <w:lang w:val="en-US" w:eastAsia="zh-CN"/>
              </w:rPr>
              <w:t>0</w:t>
            </w:r>
            <w:r>
              <w:rPr>
                <w:rFonts w:hint="eastAsia" w:ascii="Times New Roman" w:hAnsi="Times New Roman" w:eastAsia="宋体" w:cs="Times New Roman"/>
                <w:b w:val="0"/>
                <w:bCs/>
                <w:color w:val="000000"/>
                <w:kern w:val="0"/>
                <w:sz w:val="24"/>
                <w:szCs w:val="24"/>
                <w:highlight w:val="none"/>
                <w:lang w:val="en-US" w:eastAsia="zh-CN"/>
              </w:rPr>
              <w:t>——预测点、参照点到噪声源处的距离。</w:t>
            </w:r>
          </w:p>
          <w:p w14:paraId="7A157574">
            <w:pPr>
              <w:keepNext w:val="0"/>
              <w:keepLines w:val="0"/>
              <w:pageBreakBefore w:val="0"/>
              <w:widowControl w:val="0"/>
              <w:suppressLineNumbers w:val="0"/>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施工区各类施工机械运行时噪声源强及衰减情况预测结果见表4-2。</w:t>
            </w:r>
          </w:p>
          <w:p w14:paraId="0464574B">
            <w:pPr>
              <w:spacing w:before="72"/>
              <w:ind w:firstLine="442"/>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表4-2施工机械设备噪声源强及衰减值预测结果表   单位：dB(A)</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712"/>
              <w:gridCol w:w="712"/>
              <w:gridCol w:w="712"/>
              <w:gridCol w:w="712"/>
              <w:gridCol w:w="712"/>
              <w:gridCol w:w="712"/>
              <w:gridCol w:w="713"/>
              <w:gridCol w:w="713"/>
              <w:gridCol w:w="717"/>
            </w:tblGrid>
            <w:tr w14:paraId="4D45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Merge w:val="restart"/>
                  <w:vAlign w:val="center"/>
                </w:tcPr>
                <w:p w14:paraId="7279DFC4">
                  <w:pPr>
                    <w:ind w:left="0" w:leftChars="0" w:firstLine="0" w:firstLineChars="0"/>
                    <w:jc w:val="center"/>
                    <w:rPr>
                      <w:rFonts w:hint="eastAsia"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噪声源</w:t>
                  </w:r>
                </w:p>
              </w:tc>
              <w:tc>
                <w:tcPr>
                  <w:tcW w:w="4079" w:type="pct"/>
                  <w:gridSpan w:val="9"/>
                  <w:vAlign w:val="center"/>
                </w:tcPr>
                <w:p w14:paraId="22D0909A">
                  <w:pPr>
                    <w:ind w:left="0" w:leftChars="0" w:firstLine="0" w:firstLineChars="0"/>
                    <w:jc w:val="center"/>
                    <w:rPr>
                      <w:rFonts w:ascii="Times New Roman" w:hAnsi="Times New Roman" w:eastAsia="Times New Roman" w:cs="Times New Roman"/>
                      <w:b w:val="0"/>
                      <w:bCs w:val="0"/>
                      <w:color w:val="000000" w:themeColor="text1"/>
                      <w:spacing w:val="-2"/>
                      <w:sz w:val="21"/>
                      <w:szCs w:val="21"/>
                      <w:vertAlign w:val="baseline"/>
                      <w14:textFill>
                        <w14:solidFill>
                          <w14:schemeClr w14:val="tx1"/>
                        </w14:solidFill>
                      </w14:textFill>
                    </w:rPr>
                  </w:pPr>
                  <w:r>
                    <w:rPr>
                      <w:color w:val="000000" w:themeColor="text1"/>
                      <w:spacing w:val="8"/>
                      <w:sz w:val="21"/>
                      <w:szCs w:val="21"/>
                      <w14:textFill>
                        <w14:solidFill>
                          <w14:schemeClr w14:val="tx1"/>
                        </w14:solidFill>
                      </w14:textFill>
                    </w:rPr>
                    <w:t>至不同距离噪声值</w:t>
                  </w:r>
                </w:p>
              </w:tc>
            </w:tr>
            <w:tr w14:paraId="4392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Merge w:val="continue"/>
                  <w:vAlign w:val="center"/>
                </w:tcPr>
                <w:p w14:paraId="7E995B3E">
                  <w:pPr>
                    <w:jc w:val="center"/>
                    <w:rPr>
                      <w:rFonts w:ascii="Times New Roman" w:hAnsi="Times New Roman" w:eastAsia="Times New Roman" w:cs="Times New Roman"/>
                      <w:b w:val="0"/>
                      <w:bCs w:val="0"/>
                      <w:color w:val="000000" w:themeColor="text1"/>
                      <w:spacing w:val="-2"/>
                      <w:sz w:val="21"/>
                      <w:szCs w:val="21"/>
                      <w:vertAlign w:val="baseline"/>
                      <w14:textFill>
                        <w14:solidFill>
                          <w14:schemeClr w14:val="tx1"/>
                        </w14:solidFill>
                      </w14:textFill>
                    </w:rPr>
                  </w:pPr>
                </w:p>
              </w:tc>
              <w:tc>
                <w:tcPr>
                  <w:tcW w:w="452" w:type="pct"/>
                  <w:vAlign w:val="center"/>
                </w:tcPr>
                <w:p w14:paraId="11D0FD15">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10m</w:t>
                  </w:r>
                </w:p>
              </w:tc>
              <w:tc>
                <w:tcPr>
                  <w:tcW w:w="452" w:type="pct"/>
                  <w:vAlign w:val="center"/>
                </w:tcPr>
                <w:p w14:paraId="37A7A169">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20m</w:t>
                  </w:r>
                </w:p>
              </w:tc>
              <w:tc>
                <w:tcPr>
                  <w:tcW w:w="452" w:type="pct"/>
                  <w:vAlign w:val="center"/>
                </w:tcPr>
                <w:p w14:paraId="76F38BA7">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30m</w:t>
                  </w:r>
                </w:p>
              </w:tc>
              <w:tc>
                <w:tcPr>
                  <w:tcW w:w="452" w:type="pct"/>
                  <w:vAlign w:val="center"/>
                </w:tcPr>
                <w:p w14:paraId="3E8E3DA9">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40m</w:t>
                  </w:r>
                </w:p>
              </w:tc>
              <w:tc>
                <w:tcPr>
                  <w:tcW w:w="452" w:type="pct"/>
                  <w:vAlign w:val="center"/>
                </w:tcPr>
                <w:p w14:paraId="6CA31047">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50m</w:t>
                  </w:r>
                </w:p>
              </w:tc>
              <w:tc>
                <w:tcPr>
                  <w:tcW w:w="452" w:type="pct"/>
                  <w:vAlign w:val="center"/>
                </w:tcPr>
                <w:p w14:paraId="409438BA">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60m</w:t>
                  </w:r>
                </w:p>
              </w:tc>
              <w:tc>
                <w:tcPr>
                  <w:tcW w:w="453" w:type="pct"/>
                  <w:vAlign w:val="center"/>
                </w:tcPr>
                <w:p w14:paraId="67F66346">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70m</w:t>
                  </w:r>
                </w:p>
              </w:tc>
              <w:tc>
                <w:tcPr>
                  <w:tcW w:w="453" w:type="pct"/>
                  <w:vAlign w:val="center"/>
                </w:tcPr>
                <w:p w14:paraId="6A8AB01E">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80m</w:t>
                  </w:r>
                </w:p>
              </w:tc>
              <w:tc>
                <w:tcPr>
                  <w:tcW w:w="455" w:type="pct"/>
                  <w:vAlign w:val="center"/>
                </w:tcPr>
                <w:p w14:paraId="45309057">
                  <w:pPr>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eastAsia="宋体" w:cs="Times New Roman"/>
                      <w:b w:val="0"/>
                      <w:bCs w:val="0"/>
                      <w:color w:val="000000" w:themeColor="text1"/>
                      <w:spacing w:val="-2"/>
                      <w:sz w:val="21"/>
                      <w:szCs w:val="21"/>
                      <w:vertAlign w:val="baseline"/>
                      <w:lang w:val="en-US" w:eastAsia="zh-CN"/>
                      <w14:textFill>
                        <w14:solidFill>
                          <w14:schemeClr w14:val="tx1"/>
                        </w14:solidFill>
                      </w14:textFill>
                    </w:rPr>
                    <w:t>90m</w:t>
                  </w:r>
                </w:p>
              </w:tc>
            </w:tr>
            <w:tr w14:paraId="4F71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4E9D0251">
                  <w:pPr>
                    <w:pStyle w:val="38"/>
                    <w:spacing w:before="45" w:line="216" w:lineRule="auto"/>
                    <w:ind w:left="0" w:leftChars="0" w:firstLine="0" w:firstLineChars="0"/>
                    <w:jc w:val="center"/>
                    <w:rPr>
                      <w:rFonts w:hint="default"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hint="eastAsia" w:ascii="Times New Roman" w:hAnsi="Times New Roman"/>
                      <w:color w:val="auto"/>
                      <w:spacing w:val="6"/>
                      <w:sz w:val="21"/>
                      <w:szCs w:val="21"/>
                      <w:lang w:val="en-US" w:eastAsia="zh-CN"/>
                    </w:rPr>
                    <w:t>钻机</w:t>
                  </w:r>
                </w:p>
              </w:tc>
              <w:tc>
                <w:tcPr>
                  <w:tcW w:w="712" w:type="dxa"/>
                  <w:vAlign w:val="center"/>
                </w:tcPr>
                <w:p w14:paraId="23AFE001">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62 </w:t>
                  </w:r>
                </w:p>
              </w:tc>
              <w:tc>
                <w:tcPr>
                  <w:tcW w:w="712" w:type="dxa"/>
                  <w:vAlign w:val="center"/>
                </w:tcPr>
                <w:p w14:paraId="72920630">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56 </w:t>
                  </w:r>
                </w:p>
              </w:tc>
              <w:tc>
                <w:tcPr>
                  <w:tcW w:w="712" w:type="dxa"/>
                  <w:vAlign w:val="center"/>
                </w:tcPr>
                <w:p w14:paraId="5B41CD7F">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52 </w:t>
                  </w:r>
                </w:p>
              </w:tc>
              <w:tc>
                <w:tcPr>
                  <w:tcW w:w="712" w:type="dxa"/>
                  <w:vAlign w:val="center"/>
                </w:tcPr>
                <w:p w14:paraId="5F2932CE">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50 </w:t>
                  </w:r>
                </w:p>
              </w:tc>
              <w:tc>
                <w:tcPr>
                  <w:tcW w:w="712" w:type="dxa"/>
                  <w:vAlign w:val="center"/>
                </w:tcPr>
                <w:p w14:paraId="194ACFA8">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48 </w:t>
                  </w:r>
                </w:p>
              </w:tc>
              <w:tc>
                <w:tcPr>
                  <w:tcW w:w="712" w:type="dxa"/>
                  <w:vAlign w:val="center"/>
                </w:tcPr>
                <w:p w14:paraId="1FE47F6E">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46 </w:t>
                  </w:r>
                </w:p>
              </w:tc>
              <w:tc>
                <w:tcPr>
                  <w:tcW w:w="713" w:type="dxa"/>
                  <w:vAlign w:val="center"/>
                </w:tcPr>
                <w:p w14:paraId="1A3506C6">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45 </w:t>
                  </w:r>
                </w:p>
              </w:tc>
              <w:tc>
                <w:tcPr>
                  <w:tcW w:w="713" w:type="dxa"/>
                  <w:vAlign w:val="center"/>
                </w:tcPr>
                <w:p w14:paraId="053DD54D">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44 </w:t>
                  </w:r>
                </w:p>
              </w:tc>
              <w:tc>
                <w:tcPr>
                  <w:tcW w:w="717" w:type="dxa"/>
                  <w:vAlign w:val="center"/>
                </w:tcPr>
                <w:p w14:paraId="240F1F9B">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43 </w:t>
                  </w:r>
                </w:p>
              </w:tc>
            </w:tr>
            <w:tr w14:paraId="4B07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2CC94472">
                  <w:pPr>
                    <w:pStyle w:val="38"/>
                    <w:spacing w:before="43" w:line="216" w:lineRule="auto"/>
                    <w:ind w:left="0" w:leftChars="0" w:firstLine="0" w:firstLineChars="0"/>
                    <w:jc w:val="center"/>
                    <w:rPr>
                      <w:rFonts w:hint="eastAsia" w:ascii="Times New Roman" w:hAnsi="Times New Roman" w:eastAsia="宋体" w:cs="Times New Roman"/>
                      <w:b w:val="0"/>
                      <w:bCs w:val="0"/>
                      <w:color w:val="000000" w:themeColor="text1"/>
                      <w:spacing w:val="-2"/>
                      <w:sz w:val="21"/>
                      <w:szCs w:val="21"/>
                      <w:vertAlign w:val="baseline"/>
                      <w:lang w:val="en-US" w:eastAsia="zh-CN"/>
                      <w14:textFill>
                        <w14:solidFill>
                          <w14:schemeClr w14:val="tx1"/>
                        </w14:solidFill>
                      </w14:textFill>
                    </w:rPr>
                  </w:pPr>
                  <w:r>
                    <w:rPr>
                      <w:rFonts w:ascii="Times New Roman" w:hAnsi="Times New Roman" w:eastAsia="宋体"/>
                      <w:color w:val="auto"/>
                      <w:spacing w:val="7"/>
                      <w:sz w:val="21"/>
                      <w:szCs w:val="21"/>
                    </w:rPr>
                    <w:t>挖掘机</w:t>
                  </w:r>
                </w:p>
              </w:tc>
              <w:tc>
                <w:tcPr>
                  <w:tcW w:w="712" w:type="dxa"/>
                  <w:vAlign w:val="center"/>
                </w:tcPr>
                <w:p w14:paraId="5D774FBB">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65 </w:t>
                  </w:r>
                </w:p>
              </w:tc>
              <w:tc>
                <w:tcPr>
                  <w:tcW w:w="712" w:type="dxa"/>
                  <w:vAlign w:val="center"/>
                </w:tcPr>
                <w:p w14:paraId="64DFC529">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59 </w:t>
                  </w:r>
                </w:p>
              </w:tc>
              <w:tc>
                <w:tcPr>
                  <w:tcW w:w="712" w:type="dxa"/>
                  <w:vAlign w:val="center"/>
                </w:tcPr>
                <w:p w14:paraId="7199B287">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55 </w:t>
                  </w:r>
                </w:p>
              </w:tc>
              <w:tc>
                <w:tcPr>
                  <w:tcW w:w="712" w:type="dxa"/>
                  <w:vAlign w:val="center"/>
                </w:tcPr>
                <w:p w14:paraId="1078BA26">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712" w:type="dxa"/>
                  <w:vAlign w:val="center"/>
                </w:tcPr>
                <w:p w14:paraId="13994545">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51 </w:t>
                  </w:r>
                </w:p>
              </w:tc>
              <w:tc>
                <w:tcPr>
                  <w:tcW w:w="712" w:type="dxa"/>
                  <w:vAlign w:val="center"/>
                </w:tcPr>
                <w:p w14:paraId="5F168CD9">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49 </w:t>
                  </w:r>
                </w:p>
              </w:tc>
              <w:tc>
                <w:tcPr>
                  <w:tcW w:w="713" w:type="dxa"/>
                  <w:vAlign w:val="center"/>
                </w:tcPr>
                <w:p w14:paraId="5FD4B0A9">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48 </w:t>
                  </w:r>
                </w:p>
              </w:tc>
              <w:tc>
                <w:tcPr>
                  <w:tcW w:w="713" w:type="dxa"/>
                  <w:vAlign w:val="center"/>
                </w:tcPr>
                <w:p w14:paraId="06F6AE8C">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47 </w:t>
                  </w:r>
                </w:p>
              </w:tc>
              <w:tc>
                <w:tcPr>
                  <w:tcW w:w="717" w:type="dxa"/>
                  <w:vAlign w:val="center"/>
                </w:tcPr>
                <w:p w14:paraId="29058409">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46 </w:t>
                  </w:r>
                </w:p>
              </w:tc>
            </w:tr>
            <w:tr w14:paraId="4DE9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45DEE47B">
                  <w:pPr>
                    <w:pStyle w:val="38"/>
                    <w:spacing w:before="46" w:line="215" w:lineRule="auto"/>
                    <w:ind w:left="0" w:leftChars="0" w:firstLine="0" w:firstLineChars="0"/>
                    <w:jc w:val="center"/>
                    <w:rPr>
                      <w:rFonts w:ascii="Times New Roman" w:hAnsi="Times New Roman" w:eastAsia="Times New Roman" w:cs="Times New Roman"/>
                      <w:b w:val="0"/>
                      <w:bCs w:val="0"/>
                      <w:color w:val="000000" w:themeColor="text1"/>
                      <w:spacing w:val="-2"/>
                      <w:sz w:val="21"/>
                      <w:szCs w:val="21"/>
                      <w:vertAlign w:val="baseline"/>
                      <w14:textFill>
                        <w14:solidFill>
                          <w14:schemeClr w14:val="tx1"/>
                        </w14:solidFill>
                      </w14:textFill>
                    </w:rPr>
                  </w:pPr>
                  <w:r>
                    <w:rPr>
                      <w:rFonts w:ascii="Times New Roman" w:hAnsi="Times New Roman" w:eastAsia="宋体"/>
                      <w:color w:val="auto"/>
                      <w:spacing w:val="6"/>
                      <w:sz w:val="21"/>
                      <w:szCs w:val="21"/>
                    </w:rPr>
                    <w:t>装载机</w:t>
                  </w:r>
                </w:p>
              </w:tc>
              <w:tc>
                <w:tcPr>
                  <w:tcW w:w="712" w:type="dxa"/>
                  <w:vAlign w:val="center"/>
                </w:tcPr>
                <w:p w14:paraId="3E34B25C">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70 </w:t>
                  </w:r>
                </w:p>
              </w:tc>
              <w:tc>
                <w:tcPr>
                  <w:tcW w:w="712" w:type="dxa"/>
                  <w:vAlign w:val="center"/>
                </w:tcPr>
                <w:p w14:paraId="3A79623F">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64 </w:t>
                  </w:r>
                </w:p>
              </w:tc>
              <w:tc>
                <w:tcPr>
                  <w:tcW w:w="712" w:type="dxa"/>
                  <w:vAlign w:val="center"/>
                </w:tcPr>
                <w:p w14:paraId="343A7799">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60 </w:t>
                  </w:r>
                </w:p>
              </w:tc>
              <w:tc>
                <w:tcPr>
                  <w:tcW w:w="712" w:type="dxa"/>
                  <w:vAlign w:val="center"/>
                </w:tcPr>
                <w:p w14:paraId="6D382F71">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58 </w:t>
                  </w:r>
                </w:p>
              </w:tc>
              <w:tc>
                <w:tcPr>
                  <w:tcW w:w="712" w:type="dxa"/>
                  <w:vAlign w:val="center"/>
                </w:tcPr>
                <w:p w14:paraId="7B1E5CC4">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56 </w:t>
                  </w:r>
                </w:p>
              </w:tc>
              <w:tc>
                <w:tcPr>
                  <w:tcW w:w="712" w:type="dxa"/>
                  <w:vAlign w:val="center"/>
                </w:tcPr>
                <w:p w14:paraId="78919A8E">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54 </w:t>
                  </w:r>
                </w:p>
              </w:tc>
              <w:tc>
                <w:tcPr>
                  <w:tcW w:w="713" w:type="dxa"/>
                  <w:vAlign w:val="center"/>
                </w:tcPr>
                <w:p w14:paraId="5B7DFA6D">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713" w:type="dxa"/>
                  <w:vAlign w:val="center"/>
                </w:tcPr>
                <w:p w14:paraId="7AC9F4FD">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52 </w:t>
                  </w:r>
                </w:p>
              </w:tc>
              <w:tc>
                <w:tcPr>
                  <w:tcW w:w="717" w:type="dxa"/>
                  <w:vAlign w:val="center"/>
                </w:tcPr>
                <w:p w14:paraId="592B62A6">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51 </w:t>
                  </w:r>
                </w:p>
              </w:tc>
            </w:tr>
            <w:tr w14:paraId="212E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3FD9CD30">
                  <w:pPr>
                    <w:pStyle w:val="38"/>
                    <w:spacing w:before="45" w:line="216" w:lineRule="auto"/>
                    <w:ind w:left="0" w:leftChars="0" w:firstLine="0" w:firstLineChars="0"/>
                    <w:jc w:val="center"/>
                    <w:rPr>
                      <w:rFonts w:ascii="Times New Roman" w:hAnsi="Times New Roman" w:eastAsia="Times New Roman" w:cs="Times New Roman"/>
                      <w:b w:val="0"/>
                      <w:bCs w:val="0"/>
                      <w:color w:val="000000" w:themeColor="text1"/>
                      <w:spacing w:val="-2"/>
                      <w:sz w:val="21"/>
                      <w:szCs w:val="21"/>
                      <w:vertAlign w:val="baseline"/>
                      <w14:textFill>
                        <w14:solidFill>
                          <w14:schemeClr w14:val="tx1"/>
                        </w14:solidFill>
                      </w14:textFill>
                    </w:rPr>
                  </w:pPr>
                  <w:r>
                    <w:rPr>
                      <w:rFonts w:hint="eastAsia" w:ascii="Times New Roman" w:hAnsi="Times New Roman"/>
                      <w:color w:val="auto"/>
                      <w:spacing w:val="7"/>
                      <w:sz w:val="21"/>
                      <w:szCs w:val="21"/>
                      <w:lang w:val="en-US" w:eastAsia="zh-CN"/>
                    </w:rPr>
                    <w:t>泥浆泵</w:t>
                  </w:r>
                </w:p>
              </w:tc>
              <w:tc>
                <w:tcPr>
                  <w:tcW w:w="712" w:type="dxa"/>
                  <w:vAlign w:val="center"/>
                </w:tcPr>
                <w:p w14:paraId="165AEB7D">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65 </w:t>
                  </w:r>
                </w:p>
              </w:tc>
              <w:tc>
                <w:tcPr>
                  <w:tcW w:w="712" w:type="dxa"/>
                  <w:vAlign w:val="center"/>
                </w:tcPr>
                <w:p w14:paraId="3E3AA4EF">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59 </w:t>
                  </w:r>
                </w:p>
              </w:tc>
              <w:tc>
                <w:tcPr>
                  <w:tcW w:w="712" w:type="dxa"/>
                  <w:vAlign w:val="center"/>
                </w:tcPr>
                <w:p w14:paraId="60507C94">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55 </w:t>
                  </w:r>
                </w:p>
              </w:tc>
              <w:tc>
                <w:tcPr>
                  <w:tcW w:w="712" w:type="dxa"/>
                  <w:vAlign w:val="center"/>
                </w:tcPr>
                <w:p w14:paraId="4C19D0FF">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712" w:type="dxa"/>
                  <w:vAlign w:val="center"/>
                </w:tcPr>
                <w:p w14:paraId="6043BE59">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51 </w:t>
                  </w:r>
                </w:p>
              </w:tc>
              <w:tc>
                <w:tcPr>
                  <w:tcW w:w="712" w:type="dxa"/>
                  <w:vAlign w:val="center"/>
                </w:tcPr>
                <w:p w14:paraId="68047AA5">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49 </w:t>
                  </w:r>
                </w:p>
              </w:tc>
              <w:tc>
                <w:tcPr>
                  <w:tcW w:w="713" w:type="dxa"/>
                  <w:vAlign w:val="center"/>
                </w:tcPr>
                <w:p w14:paraId="27790FAF">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48 </w:t>
                  </w:r>
                </w:p>
              </w:tc>
              <w:tc>
                <w:tcPr>
                  <w:tcW w:w="713" w:type="dxa"/>
                  <w:vAlign w:val="center"/>
                </w:tcPr>
                <w:p w14:paraId="4A123ECA">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47 </w:t>
                  </w:r>
                </w:p>
              </w:tc>
              <w:tc>
                <w:tcPr>
                  <w:tcW w:w="717" w:type="dxa"/>
                  <w:vAlign w:val="center"/>
                </w:tcPr>
                <w:p w14:paraId="25385DD1">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46 </w:t>
                  </w:r>
                </w:p>
              </w:tc>
            </w:tr>
            <w:tr w14:paraId="5B15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25DD8AA0">
                  <w:pPr>
                    <w:pStyle w:val="38"/>
                    <w:spacing w:before="46" w:line="215" w:lineRule="auto"/>
                    <w:ind w:left="0" w:leftChars="0" w:firstLine="0" w:firstLineChars="0"/>
                    <w:jc w:val="center"/>
                    <w:rPr>
                      <w:rFonts w:ascii="Times New Roman" w:hAnsi="Times New Roman" w:eastAsia="Times New Roman" w:cs="Times New Roman"/>
                      <w:b w:val="0"/>
                      <w:bCs w:val="0"/>
                      <w:color w:val="000000" w:themeColor="text1"/>
                      <w:spacing w:val="-2"/>
                      <w:sz w:val="21"/>
                      <w:szCs w:val="21"/>
                      <w:vertAlign w:val="baseline"/>
                      <w14:textFill>
                        <w14:solidFill>
                          <w14:schemeClr w14:val="tx1"/>
                        </w14:solidFill>
                      </w14:textFill>
                    </w:rPr>
                  </w:pPr>
                  <w:r>
                    <w:rPr>
                      <w:rFonts w:hint="default" w:ascii="Times New Roman" w:hAnsi="Times New Roman" w:eastAsia="宋体"/>
                      <w:color w:val="auto"/>
                      <w:sz w:val="21"/>
                      <w:szCs w:val="21"/>
                      <w:vertAlign w:val="baseline"/>
                      <w:lang w:val="en-US" w:eastAsia="zh-CN"/>
                    </w:rPr>
                    <w:t>起重机</w:t>
                  </w:r>
                </w:p>
              </w:tc>
              <w:tc>
                <w:tcPr>
                  <w:tcW w:w="712" w:type="dxa"/>
                  <w:vAlign w:val="center"/>
                </w:tcPr>
                <w:p w14:paraId="2B1615C9">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70 </w:t>
                  </w:r>
                </w:p>
              </w:tc>
              <w:tc>
                <w:tcPr>
                  <w:tcW w:w="712" w:type="dxa"/>
                  <w:vAlign w:val="center"/>
                </w:tcPr>
                <w:p w14:paraId="059A9FA7">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64 </w:t>
                  </w:r>
                </w:p>
              </w:tc>
              <w:tc>
                <w:tcPr>
                  <w:tcW w:w="712" w:type="dxa"/>
                  <w:vAlign w:val="center"/>
                </w:tcPr>
                <w:p w14:paraId="2409BB29">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60 </w:t>
                  </w:r>
                </w:p>
              </w:tc>
              <w:tc>
                <w:tcPr>
                  <w:tcW w:w="712" w:type="dxa"/>
                  <w:vAlign w:val="center"/>
                </w:tcPr>
                <w:p w14:paraId="2A014581">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58 </w:t>
                  </w:r>
                </w:p>
              </w:tc>
              <w:tc>
                <w:tcPr>
                  <w:tcW w:w="712" w:type="dxa"/>
                  <w:vAlign w:val="center"/>
                </w:tcPr>
                <w:p w14:paraId="6923AB75">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56 </w:t>
                  </w:r>
                </w:p>
              </w:tc>
              <w:tc>
                <w:tcPr>
                  <w:tcW w:w="712" w:type="dxa"/>
                  <w:vAlign w:val="center"/>
                </w:tcPr>
                <w:p w14:paraId="0728F1BB">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54 </w:t>
                  </w:r>
                </w:p>
              </w:tc>
              <w:tc>
                <w:tcPr>
                  <w:tcW w:w="713" w:type="dxa"/>
                  <w:vAlign w:val="center"/>
                </w:tcPr>
                <w:p w14:paraId="46232AE4">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713" w:type="dxa"/>
                  <w:vAlign w:val="center"/>
                </w:tcPr>
                <w:p w14:paraId="19DB5726">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52 </w:t>
                  </w:r>
                </w:p>
              </w:tc>
              <w:tc>
                <w:tcPr>
                  <w:tcW w:w="717" w:type="dxa"/>
                  <w:vAlign w:val="center"/>
                </w:tcPr>
                <w:p w14:paraId="65DA4195">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51 </w:t>
                  </w:r>
                </w:p>
              </w:tc>
            </w:tr>
            <w:tr w14:paraId="7B61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20" w:type="pct"/>
                  <w:vAlign w:val="center"/>
                </w:tcPr>
                <w:p w14:paraId="5A3898E0">
                  <w:pPr>
                    <w:pStyle w:val="38"/>
                    <w:spacing w:before="47" w:line="214" w:lineRule="auto"/>
                    <w:ind w:left="0" w:leftChars="0" w:firstLine="0" w:firstLineChars="0"/>
                    <w:jc w:val="center"/>
                    <w:rPr>
                      <w:rFonts w:ascii="Times New Roman" w:hAnsi="Times New Roman" w:eastAsia="Times New Roman" w:cs="Times New Roman"/>
                      <w:b w:val="0"/>
                      <w:bCs w:val="0"/>
                      <w:color w:val="000000" w:themeColor="text1"/>
                      <w:spacing w:val="-2"/>
                      <w:sz w:val="21"/>
                      <w:szCs w:val="21"/>
                      <w:vertAlign w:val="baseline"/>
                      <w14:textFill>
                        <w14:solidFill>
                          <w14:schemeClr w14:val="tx1"/>
                        </w14:solidFill>
                      </w14:textFill>
                    </w:rPr>
                  </w:pPr>
                  <w:r>
                    <w:rPr>
                      <w:rFonts w:hint="default" w:ascii="Times New Roman" w:hAnsi="Times New Roman" w:eastAsia="宋体"/>
                      <w:color w:val="auto"/>
                      <w:sz w:val="21"/>
                      <w:szCs w:val="21"/>
                      <w:vertAlign w:val="baseline"/>
                      <w:lang w:val="en-US" w:eastAsia="zh-CN"/>
                    </w:rPr>
                    <w:t>载重</w:t>
                  </w:r>
                  <w:r>
                    <w:rPr>
                      <w:rFonts w:hint="eastAsia" w:ascii="Times New Roman" w:hAnsi="Times New Roman" w:eastAsia="宋体"/>
                      <w:color w:val="auto"/>
                      <w:sz w:val="21"/>
                      <w:szCs w:val="21"/>
                      <w:vertAlign w:val="baseline"/>
                      <w:lang w:val="en-US" w:eastAsia="zh-CN"/>
                    </w:rPr>
                    <w:t>汽车</w:t>
                  </w:r>
                </w:p>
              </w:tc>
              <w:tc>
                <w:tcPr>
                  <w:tcW w:w="712" w:type="dxa"/>
                  <w:vAlign w:val="center"/>
                </w:tcPr>
                <w:p w14:paraId="013C7116">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65 </w:t>
                  </w:r>
                </w:p>
              </w:tc>
              <w:tc>
                <w:tcPr>
                  <w:tcW w:w="712" w:type="dxa"/>
                  <w:vAlign w:val="center"/>
                </w:tcPr>
                <w:p w14:paraId="29DB129B">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59 </w:t>
                  </w:r>
                </w:p>
              </w:tc>
              <w:tc>
                <w:tcPr>
                  <w:tcW w:w="712" w:type="dxa"/>
                  <w:vAlign w:val="center"/>
                </w:tcPr>
                <w:p w14:paraId="2AB030D5">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55 </w:t>
                  </w:r>
                </w:p>
              </w:tc>
              <w:tc>
                <w:tcPr>
                  <w:tcW w:w="712" w:type="dxa"/>
                  <w:vAlign w:val="center"/>
                </w:tcPr>
                <w:p w14:paraId="1DCB7848">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712" w:type="dxa"/>
                  <w:vAlign w:val="center"/>
                </w:tcPr>
                <w:p w14:paraId="5A1E9437">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51 </w:t>
                  </w:r>
                </w:p>
              </w:tc>
              <w:tc>
                <w:tcPr>
                  <w:tcW w:w="712" w:type="dxa"/>
                  <w:vAlign w:val="center"/>
                </w:tcPr>
                <w:p w14:paraId="0032DB4C">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49 </w:t>
                  </w:r>
                </w:p>
              </w:tc>
              <w:tc>
                <w:tcPr>
                  <w:tcW w:w="713" w:type="dxa"/>
                  <w:vAlign w:val="center"/>
                </w:tcPr>
                <w:p w14:paraId="5B2860FB">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48 </w:t>
                  </w:r>
                </w:p>
              </w:tc>
              <w:tc>
                <w:tcPr>
                  <w:tcW w:w="713" w:type="dxa"/>
                  <w:vAlign w:val="center"/>
                </w:tcPr>
                <w:p w14:paraId="22C70C8B">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47 </w:t>
                  </w:r>
                </w:p>
              </w:tc>
              <w:tc>
                <w:tcPr>
                  <w:tcW w:w="717" w:type="dxa"/>
                  <w:vAlign w:val="center"/>
                </w:tcPr>
                <w:p w14:paraId="748A38A8">
                  <w:pPr>
                    <w:keepNext w:val="0"/>
                    <w:keepLines w:val="0"/>
                    <w:widowControl/>
                    <w:suppressLineNumbers w:val="0"/>
                    <w:jc w:val="center"/>
                    <w:textAlignment w:val="center"/>
                    <w:rPr>
                      <w:rFonts w:hint="default" w:ascii="Times New Roman" w:hAnsi="Times New Roman" w:eastAsia="宋体" w:cs="Times New Roman"/>
                      <w:b w:val="0"/>
                      <w:bCs w:val="0"/>
                      <w:color w:val="FF0000"/>
                      <w:spacing w:val="-2"/>
                      <w:sz w:val="21"/>
                      <w:szCs w:val="21"/>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46 </w:t>
                  </w:r>
                </w:p>
              </w:tc>
            </w:tr>
            <w:tr w14:paraId="639D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pct"/>
                  <w:vAlign w:val="center"/>
                </w:tcPr>
                <w:p w14:paraId="60FF2FA0">
                  <w:pPr>
                    <w:pStyle w:val="38"/>
                    <w:spacing w:before="47" w:line="214" w:lineRule="auto"/>
                    <w:ind w:left="0" w:leftChars="0" w:firstLine="0" w:firstLineChars="0"/>
                    <w:jc w:val="center"/>
                    <w:rPr>
                      <w:rFonts w:hint="eastAsia" w:ascii="Times New Roman" w:hAnsi="Times New Roman" w:eastAsia="宋体" w:cs="Times New Roman"/>
                      <w:b w:val="0"/>
                      <w:bCs w:val="0"/>
                      <w:color w:val="000000" w:themeColor="text1"/>
                      <w:spacing w:val="-2"/>
                      <w:sz w:val="21"/>
                      <w:szCs w:val="21"/>
                      <w:vertAlign w:val="baseline"/>
                      <w:lang w:eastAsia="zh-CN"/>
                      <w14:textFill>
                        <w14:solidFill>
                          <w14:schemeClr w14:val="tx1"/>
                        </w14:solidFill>
                      </w14:textFill>
                    </w:rPr>
                  </w:pPr>
                  <w:r>
                    <w:rPr>
                      <w:rFonts w:hint="eastAsia" w:ascii="Times New Roman" w:hAnsi="Times New Roman"/>
                      <w:color w:val="auto"/>
                      <w:sz w:val="21"/>
                      <w:szCs w:val="21"/>
                      <w:vertAlign w:val="baseline"/>
                      <w:lang w:val="en-US" w:eastAsia="zh-CN"/>
                    </w:rPr>
                    <w:t>切割机</w:t>
                  </w:r>
                </w:p>
              </w:tc>
              <w:tc>
                <w:tcPr>
                  <w:tcW w:w="712" w:type="dxa"/>
                  <w:vAlign w:val="center"/>
                </w:tcPr>
                <w:p w14:paraId="4925BA01">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70 </w:t>
                  </w:r>
                </w:p>
              </w:tc>
              <w:tc>
                <w:tcPr>
                  <w:tcW w:w="712" w:type="dxa"/>
                  <w:vAlign w:val="center"/>
                </w:tcPr>
                <w:p w14:paraId="18B4830F">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64 </w:t>
                  </w:r>
                </w:p>
              </w:tc>
              <w:tc>
                <w:tcPr>
                  <w:tcW w:w="712" w:type="dxa"/>
                  <w:vAlign w:val="center"/>
                </w:tcPr>
                <w:p w14:paraId="70C37979">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60 </w:t>
                  </w:r>
                </w:p>
              </w:tc>
              <w:tc>
                <w:tcPr>
                  <w:tcW w:w="712" w:type="dxa"/>
                  <w:vAlign w:val="center"/>
                </w:tcPr>
                <w:p w14:paraId="53D9FB6C">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58 </w:t>
                  </w:r>
                </w:p>
              </w:tc>
              <w:tc>
                <w:tcPr>
                  <w:tcW w:w="712" w:type="dxa"/>
                  <w:vAlign w:val="center"/>
                </w:tcPr>
                <w:p w14:paraId="642478E2">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56 </w:t>
                  </w:r>
                </w:p>
              </w:tc>
              <w:tc>
                <w:tcPr>
                  <w:tcW w:w="712" w:type="dxa"/>
                  <w:vAlign w:val="center"/>
                </w:tcPr>
                <w:p w14:paraId="20A485DC">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54 </w:t>
                  </w:r>
                </w:p>
              </w:tc>
              <w:tc>
                <w:tcPr>
                  <w:tcW w:w="713" w:type="dxa"/>
                  <w:vAlign w:val="center"/>
                </w:tcPr>
                <w:p w14:paraId="25379ADE">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53 </w:t>
                  </w:r>
                </w:p>
              </w:tc>
              <w:tc>
                <w:tcPr>
                  <w:tcW w:w="713" w:type="dxa"/>
                  <w:vAlign w:val="center"/>
                </w:tcPr>
                <w:p w14:paraId="1D15C7ED">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52 </w:t>
                  </w:r>
                </w:p>
              </w:tc>
              <w:tc>
                <w:tcPr>
                  <w:tcW w:w="717" w:type="dxa"/>
                  <w:vAlign w:val="center"/>
                </w:tcPr>
                <w:p w14:paraId="30D9EDF9">
                  <w:pPr>
                    <w:keepNext w:val="0"/>
                    <w:keepLines w:val="0"/>
                    <w:widowControl/>
                    <w:suppressLineNumbers w:val="0"/>
                    <w:jc w:val="center"/>
                    <w:textAlignment w:val="center"/>
                    <w:rPr>
                      <w:rFonts w:ascii="Times New Roman" w:hAnsi="Times New Roman" w:eastAsia="Times New Roman" w:cs="Times New Roman"/>
                      <w:b w:val="0"/>
                      <w:bCs w:val="0"/>
                      <w:color w:val="FF0000"/>
                      <w:spacing w:val="-2"/>
                      <w:sz w:val="21"/>
                      <w:szCs w:val="21"/>
                      <w:vertAlign w:val="baseline"/>
                    </w:rPr>
                  </w:pPr>
                  <w:r>
                    <w:rPr>
                      <w:rFonts w:hint="default" w:ascii="Times New Roman" w:hAnsi="Times New Roman" w:eastAsia="宋体" w:cs="Times New Roman"/>
                      <w:i w:val="0"/>
                      <w:iCs w:val="0"/>
                      <w:color w:val="000000"/>
                      <w:kern w:val="0"/>
                      <w:sz w:val="21"/>
                      <w:szCs w:val="21"/>
                      <w:u w:val="none"/>
                      <w:lang w:val="en-US" w:eastAsia="zh-CN" w:bidi="ar"/>
                    </w:rPr>
                    <w:t xml:space="preserve">51 </w:t>
                  </w:r>
                </w:p>
              </w:tc>
            </w:tr>
          </w:tbl>
          <w:p w14:paraId="3F4A929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b w:val="0"/>
                <w:bCs/>
                <w:color w:val="000000"/>
                <w:kern w:val="0"/>
                <w:sz w:val="24"/>
                <w:szCs w:val="24"/>
                <w:highlight w:val="none"/>
                <w:lang w:val="en-US" w:eastAsia="zh-CN"/>
              </w:rPr>
            </w:pPr>
            <w:r>
              <w:rPr>
                <w:rFonts w:hint="eastAsia" w:ascii="Times New Roman" w:hAnsi="Times New Roman" w:eastAsia="宋体" w:cs="Times New Roman"/>
                <w:b w:val="0"/>
                <w:bCs/>
                <w:color w:val="000000"/>
                <w:kern w:val="0"/>
                <w:sz w:val="24"/>
                <w:szCs w:val="24"/>
                <w:highlight w:val="none"/>
                <w:lang w:val="en-US" w:eastAsia="zh-CN"/>
              </w:rPr>
              <w:t>（3）噪声达标排放分析</w:t>
            </w:r>
          </w:p>
          <w:p w14:paraId="523706CE">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由于本项目施工期施工机械主要集中在白天施工</w:t>
            </w:r>
            <w:r>
              <w:rPr>
                <w:rFonts w:hint="eastAsia" w:ascii="Times New Roman" w:hAnsi="Times New Roman" w:eastAsia="宋体" w:cs="Times New Roman"/>
                <w:color w:val="auto"/>
                <w:sz w:val="24"/>
                <w:szCs w:val="24"/>
                <w:highlight w:val="none"/>
                <w:lang w:val="en-US" w:eastAsia="zh-CN"/>
              </w:rPr>
              <w:t>，由表4-2可知，</w:t>
            </w:r>
            <w:r>
              <w:rPr>
                <w:rFonts w:hint="default" w:ascii="Times New Roman" w:hAnsi="Times New Roman" w:eastAsia="宋体" w:cs="Times New Roman"/>
                <w:color w:val="auto"/>
                <w:sz w:val="24"/>
                <w:szCs w:val="24"/>
                <w:highlight w:val="none"/>
                <w:lang w:val="en-US" w:eastAsia="zh-CN"/>
              </w:rPr>
              <w:t>在距施工机械声源</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0m</w:t>
            </w:r>
            <w:r>
              <w:rPr>
                <w:rFonts w:hint="default" w:ascii="Times New Roman" w:hAnsi="Times New Roman" w:eastAsia="宋体" w:cs="Times New Roman"/>
                <w:color w:val="auto"/>
                <w:sz w:val="24"/>
                <w:szCs w:val="24"/>
                <w:highlight w:val="none"/>
                <w:lang w:val="en-US" w:eastAsia="zh-CN"/>
              </w:rPr>
              <w:t>的地方，昼间噪声可达到《建筑施工场界环境噪声排放标准》（GB12523-20</w:t>
            </w:r>
            <w:r>
              <w:rPr>
                <w:rFonts w:hint="eastAsia" w:ascii="Times New Roman" w:hAnsi="Times New Roman" w:eastAsia="宋体" w:cs="Times New Roman"/>
                <w:color w:val="auto"/>
                <w:sz w:val="24"/>
                <w:szCs w:val="24"/>
                <w:highlight w:val="none"/>
                <w:lang w:val="en-US" w:eastAsia="zh-CN"/>
              </w:rPr>
              <w:t>25</w:t>
            </w:r>
            <w:r>
              <w:rPr>
                <w:rFonts w:hint="default" w:ascii="Times New Roman" w:hAnsi="Times New Roman" w:eastAsia="宋体" w:cs="Times New Roman"/>
                <w:color w:val="auto"/>
                <w:sz w:val="24"/>
                <w:szCs w:val="24"/>
                <w:highlight w:val="none"/>
                <w:lang w:val="en-US" w:eastAsia="zh-CN"/>
              </w:rPr>
              <w:t>）。本工程沿线最近的环境保护目标距离工程区</w:t>
            </w:r>
            <w:r>
              <w:rPr>
                <w:rFonts w:hint="eastAsia" w:cs="Times New Roman"/>
                <w:color w:val="auto"/>
                <w:sz w:val="24"/>
                <w:szCs w:val="24"/>
                <w:highlight w:val="none"/>
                <w:lang w:val="en-US" w:eastAsia="zh-CN"/>
              </w:rPr>
              <w:t>150</w:t>
            </w:r>
            <w:r>
              <w:rPr>
                <w:rFonts w:hint="default" w:ascii="Times New Roman" w:hAnsi="Times New Roman" w:eastAsia="宋体" w:cs="Times New Roman"/>
                <w:color w:val="auto"/>
                <w:sz w:val="24"/>
                <w:szCs w:val="24"/>
                <w:highlight w:val="none"/>
                <w:lang w:val="en-US" w:eastAsia="zh-CN"/>
              </w:rPr>
              <w:t>m，昼间施工噪声对周边居民居住区</w:t>
            </w:r>
            <w:r>
              <w:rPr>
                <w:rFonts w:hint="eastAsia"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CN"/>
              </w:rPr>
              <w:t>影响</w:t>
            </w:r>
            <w:r>
              <w:rPr>
                <w:rFonts w:hint="eastAsia" w:cs="Times New Roman"/>
                <w:color w:val="auto"/>
                <w:sz w:val="24"/>
                <w:szCs w:val="24"/>
                <w:highlight w:val="none"/>
                <w:lang w:val="en-US" w:eastAsia="zh-CN"/>
              </w:rPr>
              <w:t>较小</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为了减轻对周边住户的影响，</w:t>
            </w:r>
            <w:r>
              <w:rPr>
                <w:rFonts w:hint="eastAsia" w:ascii="Times New Roman" w:hAnsi="Times New Roman" w:eastAsia="宋体" w:cs="Times New Roman"/>
                <w:color w:val="auto"/>
                <w:sz w:val="24"/>
                <w:szCs w:val="24"/>
                <w:highlight w:val="none"/>
                <w:lang w:val="en-US" w:eastAsia="zh-CN"/>
              </w:rPr>
              <w:t>夜间不施工</w:t>
            </w:r>
            <w:r>
              <w:rPr>
                <w:rFonts w:hint="default" w:ascii="Times New Roman" w:hAnsi="Times New Roman" w:eastAsia="宋体" w:cs="Times New Roman"/>
                <w:color w:val="auto"/>
                <w:sz w:val="24"/>
                <w:szCs w:val="24"/>
                <w:highlight w:val="none"/>
                <w:lang w:val="en-US" w:eastAsia="zh-CN"/>
              </w:rPr>
              <w:t>。本工程</w:t>
            </w:r>
            <w:r>
              <w:rPr>
                <w:rFonts w:hint="eastAsia" w:cs="Times New Roman"/>
                <w:color w:val="auto"/>
                <w:sz w:val="24"/>
                <w:szCs w:val="24"/>
                <w:highlight w:val="none"/>
                <w:lang w:val="en-US" w:eastAsia="zh-CN"/>
              </w:rPr>
              <w:t>距村庄较远</w:t>
            </w:r>
            <w:r>
              <w:rPr>
                <w:rFonts w:hint="default" w:ascii="Times New Roman" w:hAnsi="Times New Roman" w:eastAsia="宋体" w:cs="Times New Roman"/>
                <w:color w:val="auto"/>
                <w:sz w:val="24"/>
                <w:szCs w:val="24"/>
                <w:highlight w:val="none"/>
                <w:lang w:val="en-US" w:eastAsia="zh-CN"/>
              </w:rPr>
              <w:t>，且施工期短，对敏感点的影响</w:t>
            </w:r>
            <w:r>
              <w:rPr>
                <w:rFonts w:hint="eastAsia" w:cs="Times New Roman"/>
                <w:color w:val="auto"/>
                <w:sz w:val="24"/>
                <w:szCs w:val="24"/>
                <w:highlight w:val="none"/>
                <w:lang w:val="en-US" w:eastAsia="zh-CN"/>
              </w:rPr>
              <w:t>较小</w:t>
            </w:r>
            <w:r>
              <w:rPr>
                <w:rFonts w:hint="eastAsia" w:ascii="Times New Roman" w:hAnsi="Times New Roman" w:eastAsia="宋体" w:cs="Times New Roman"/>
                <w:color w:val="auto"/>
                <w:sz w:val="24"/>
                <w:szCs w:val="24"/>
                <w:highlight w:val="none"/>
                <w:lang w:val="en-US" w:eastAsia="zh-CN"/>
              </w:rPr>
              <w:t>，随着施工</w:t>
            </w:r>
            <w:r>
              <w:rPr>
                <w:rFonts w:hint="eastAsia" w:cs="Times New Roman"/>
                <w:color w:val="auto"/>
                <w:sz w:val="24"/>
                <w:szCs w:val="24"/>
                <w:highlight w:val="none"/>
                <w:lang w:val="en-US" w:eastAsia="zh-CN"/>
              </w:rPr>
              <w:t>期</w:t>
            </w:r>
            <w:r>
              <w:rPr>
                <w:rFonts w:hint="eastAsia" w:ascii="Times New Roman" w:hAnsi="Times New Roman" w:eastAsia="宋体" w:cs="Times New Roman"/>
                <w:color w:val="auto"/>
                <w:sz w:val="24"/>
                <w:szCs w:val="24"/>
                <w:highlight w:val="none"/>
                <w:lang w:val="en-US" w:eastAsia="zh-CN"/>
              </w:rPr>
              <w:t>结束，噪声影响也相继消失。</w:t>
            </w:r>
          </w:p>
          <w:p w14:paraId="354316E4">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baseline"/>
              <w:rPr>
                <w:rFonts w:hint="default" w:ascii="Times New Roman" w:hAnsi="Times New Roman" w:cs="Times New Roman"/>
                <w:b/>
                <w:bCs w:val="0"/>
                <w:color w:val="auto"/>
                <w:spacing w:val="0"/>
                <w:sz w:val="24"/>
                <w:szCs w:val="24"/>
                <w:lang w:val="en-US" w:eastAsia="zh-CN"/>
              </w:rPr>
            </w:pPr>
            <w:r>
              <w:rPr>
                <w:rFonts w:hint="eastAsia" w:ascii="Times New Roman" w:hAnsi="Times New Roman" w:cs="Times New Roman"/>
                <w:b/>
                <w:bCs w:val="0"/>
                <w:color w:val="auto"/>
                <w:spacing w:val="0"/>
                <w:sz w:val="24"/>
                <w:szCs w:val="24"/>
                <w:lang w:val="en-US" w:eastAsia="zh-CN"/>
              </w:rPr>
              <w:t>5、</w:t>
            </w:r>
            <w:r>
              <w:rPr>
                <w:rFonts w:hint="default" w:ascii="Times New Roman" w:hAnsi="Times New Roman" w:cs="Times New Roman"/>
                <w:b/>
                <w:bCs w:val="0"/>
                <w:color w:val="auto"/>
                <w:spacing w:val="0"/>
                <w:sz w:val="24"/>
                <w:szCs w:val="24"/>
                <w:lang w:val="en-US" w:eastAsia="zh-CN"/>
              </w:rPr>
              <w:t>固体废物影响分析</w:t>
            </w:r>
          </w:p>
          <w:p w14:paraId="449E0B6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施工机械定期维护保养均依托附近正规修理厂，施工区域内不设维修场所；因此</w:t>
            </w:r>
            <w:r>
              <w:rPr>
                <w:rFonts w:hint="default" w:ascii="Times New Roman" w:hAnsi="Times New Roman" w:eastAsia="宋体" w:cs="Times New Roman"/>
                <w:color w:val="auto"/>
                <w:sz w:val="24"/>
                <w:szCs w:val="24"/>
                <w:highlight w:val="none"/>
                <w:lang w:val="en-US" w:eastAsia="zh-CN"/>
              </w:rPr>
              <w:t>施工期固体废物主要为</w:t>
            </w:r>
            <w:r>
              <w:rPr>
                <w:rFonts w:hint="eastAsia" w:ascii="Times New Roman" w:hAnsi="Times New Roman" w:eastAsia="宋体" w:cs="Times New Roman"/>
                <w:color w:val="auto"/>
                <w:sz w:val="24"/>
                <w:szCs w:val="24"/>
                <w:highlight w:val="none"/>
                <w:lang w:val="en-US" w:eastAsia="zh-CN"/>
              </w:rPr>
              <w:t>废弃土方、</w:t>
            </w:r>
            <w:r>
              <w:rPr>
                <w:rFonts w:hint="eastAsia" w:cs="Times New Roman"/>
                <w:color w:val="auto"/>
                <w:sz w:val="24"/>
                <w:szCs w:val="24"/>
                <w:highlight w:val="none"/>
                <w:lang w:val="en-US" w:eastAsia="zh-CN"/>
              </w:rPr>
              <w:t>建筑垃圾</w:t>
            </w:r>
            <w:r>
              <w:rPr>
                <w:rFonts w:hint="eastAsia" w:ascii="Times New Roman" w:hAnsi="Times New Roman" w:eastAsia="宋体" w:cs="Times New Roman"/>
                <w:color w:val="auto"/>
                <w:sz w:val="24"/>
                <w:szCs w:val="24"/>
                <w:highlight w:val="none"/>
                <w:lang w:val="en-US" w:eastAsia="zh-CN"/>
              </w:rPr>
              <w:t>，以及</w:t>
            </w:r>
            <w:r>
              <w:rPr>
                <w:rFonts w:hint="default" w:ascii="Times New Roman" w:hAnsi="Times New Roman" w:eastAsia="宋体" w:cs="Times New Roman"/>
                <w:color w:val="auto"/>
                <w:sz w:val="24"/>
                <w:szCs w:val="24"/>
                <w:highlight w:val="none"/>
                <w:lang w:val="en-US" w:eastAsia="zh-CN"/>
              </w:rPr>
              <w:t>施工人员产生的生活垃圾。</w:t>
            </w:r>
          </w:p>
          <w:p w14:paraId="5AC04D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0"/>
                <w:sz w:val="24"/>
                <w:szCs w:val="24"/>
                <w:highlight w:val="none"/>
                <w:lang w:val="en-US" w:eastAsia="zh-CN"/>
              </w:rPr>
            </w:pPr>
            <w:r>
              <w:rPr>
                <w:rFonts w:hint="eastAsia" w:ascii="Times New Roman" w:hAnsi="Times New Roman" w:cs="Times New Roman"/>
                <w:b w:val="0"/>
                <w:bCs/>
                <w:color w:val="auto"/>
                <w:kern w:val="0"/>
                <w:sz w:val="24"/>
                <w:szCs w:val="24"/>
                <w:highlight w:val="none"/>
                <w:lang w:val="en-US" w:eastAsia="zh-CN"/>
              </w:rPr>
              <w:t>（1）废弃土方</w:t>
            </w:r>
          </w:p>
          <w:p w14:paraId="7805F8D9">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FF0000"/>
                <w:sz w:val="24"/>
                <w:szCs w:val="24"/>
                <w:highlight w:val="none"/>
                <w:lang w:val="en-US" w:eastAsia="zh-CN"/>
              </w:rPr>
            </w:pPr>
            <w:r>
              <w:rPr>
                <w:rFonts w:hint="eastAsia" w:cs="Times New Roman"/>
                <w:color w:val="auto"/>
                <w:sz w:val="24"/>
                <w:szCs w:val="24"/>
                <w:highlight w:val="none"/>
                <w:lang w:val="en-US" w:eastAsia="zh-CN"/>
              </w:rPr>
              <w:t>本工程</w:t>
            </w:r>
            <w:r>
              <w:rPr>
                <w:rFonts w:hint="default" w:ascii="Times New Roman" w:hAnsi="Times New Roman" w:eastAsia="宋体" w:cs="Times New Roman"/>
                <w:color w:val="auto"/>
                <w:sz w:val="24"/>
                <w:szCs w:val="24"/>
                <w:highlight w:val="none"/>
                <w:lang w:val="en-US" w:eastAsia="zh-CN"/>
              </w:rPr>
              <w:t>土地平整及</w:t>
            </w:r>
            <w:r>
              <w:rPr>
                <w:rFonts w:hint="eastAsia" w:cs="Times New Roman"/>
                <w:color w:val="auto"/>
                <w:sz w:val="24"/>
                <w:szCs w:val="24"/>
                <w:highlight w:val="none"/>
                <w:lang w:val="en-US" w:eastAsia="zh-CN"/>
              </w:rPr>
              <w:t>施工便道修筑</w:t>
            </w:r>
            <w:r>
              <w:rPr>
                <w:rFonts w:hint="default" w:ascii="Times New Roman" w:hAnsi="Times New Roman" w:eastAsia="宋体" w:cs="Times New Roman"/>
                <w:color w:val="auto"/>
                <w:sz w:val="24"/>
                <w:szCs w:val="24"/>
                <w:highlight w:val="none"/>
                <w:lang w:val="en-US" w:eastAsia="zh-CN"/>
              </w:rPr>
              <w:t>产生</w:t>
            </w:r>
            <w:r>
              <w:rPr>
                <w:rFonts w:hint="eastAsia"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CN"/>
              </w:rPr>
              <w:t>土石方</w:t>
            </w:r>
            <w:r>
              <w:rPr>
                <w:rFonts w:hint="eastAsia" w:cs="Times New Roman"/>
                <w:color w:val="auto"/>
                <w:sz w:val="24"/>
                <w:szCs w:val="24"/>
                <w:highlight w:val="none"/>
                <w:lang w:val="en-US" w:eastAsia="zh-CN"/>
              </w:rPr>
              <w:t>量全部用于施工便道修筑的垫土，根据建设单位提供的施工资料，</w:t>
            </w:r>
            <w:r>
              <w:rPr>
                <w:rFonts w:hint="eastAsia" w:ascii="Times New Roman" w:hAnsi="Times New Roman" w:eastAsia="宋体" w:cs="Times New Roman"/>
                <w:color w:val="auto"/>
                <w:sz w:val="24"/>
                <w:szCs w:val="24"/>
                <w:highlight w:val="none"/>
                <w:lang w:val="en-US" w:eastAsia="zh-CN"/>
              </w:rPr>
              <w:t>本项目</w:t>
            </w:r>
            <w:r>
              <w:rPr>
                <w:rFonts w:hint="eastAsia" w:cs="Times New Roman"/>
                <w:color w:val="auto"/>
                <w:sz w:val="24"/>
                <w:szCs w:val="24"/>
                <w:highlight w:val="none"/>
                <w:lang w:val="en-US" w:eastAsia="zh-CN"/>
              </w:rPr>
              <w:t>无弃土产生</w:t>
            </w:r>
            <w:r>
              <w:rPr>
                <w:rFonts w:hint="eastAsia" w:ascii="Times New Roman" w:hAnsi="Times New Roman" w:eastAsia="宋体" w:cs="Times New Roman"/>
                <w:color w:val="auto"/>
                <w:sz w:val="24"/>
                <w:szCs w:val="24"/>
                <w:highlight w:val="none"/>
                <w:lang w:val="en-US" w:eastAsia="zh-CN"/>
              </w:rPr>
              <w:t>。</w:t>
            </w:r>
          </w:p>
          <w:p w14:paraId="2C22ACBA">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建筑</w:t>
            </w:r>
            <w:r>
              <w:rPr>
                <w:rFonts w:hint="default" w:ascii="Times New Roman" w:hAnsi="Times New Roman" w:eastAsia="宋体" w:cs="Times New Roman"/>
                <w:color w:val="auto"/>
                <w:sz w:val="24"/>
                <w:szCs w:val="24"/>
                <w:highlight w:val="none"/>
                <w:lang w:val="en-US" w:eastAsia="zh-CN"/>
              </w:rPr>
              <w:t>垃圾</w:t>
            </w:r>
          </w:p>
          <w:p w14:paraId="2DBAA1BF">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建筑垃圾主要来自施工作业</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包括废砂石、</w:t>
            </w:r>
            <w:r>
              <w:rPr>
                <w:rFonts w:hint="eastAsia" w:cs="Times New Roman"/>
                <w:color w:val="auto"/>
                <w:sz w:val="24"/>
                <w:szCs w:val="24"/>
                <w:highlight w:val="none"/>
                <w:lang w:val="en-US" w:eastAsia="zh-CN"/>
              </w:rPr>
              <w:t>废施工材料包装</w:t>
            </w:r>
            <w:r>
              <w:rPr>
                <w:rFonts w:hint="default" w:ascii="Times New Roman" w:hAnsi="Times New Roman" w:eastAsia="宋体" w:cs="Times New Roman"/>
                <w:color w:val="auto"/>
                <w:sz w:val="24"/>
                <w:szCs w:val="24"/>
                <w:highlight w:val="none"/>
                <w:lang w:val="en-US" w:eastAsia="zh-CN"/>
              </w:rPr>
              <w:t>、废</w:t>
            </w:r>
            <w:r>
              <w:rPr>
                <w:rFonts w:hint="eastAsia" w:cs="Times New Roman"/>
                <w:color w:val="auto"/>
                <w:sz w:val="24"/>
                <w:szCs w:val="24"/>
                <w:highlight w:val="none"/>
                <w:lang w:val="en-US" w:eastAsia="zh-CN"/>
              </w:rPr>
              <w:t>弃的水泥</w:t>
            </w:r>
            <w:r>
              <w:rPr>
                <w:rFonts w:hint="default" w:ascii="Times New Roman" w:hAnsi="Times New Roman" w:eastAsia="宋体" w:cs="Times New Roman"/>
                <w:color w:val="auto"/>
                <w:sz w:val="24"/>
                <w:szCs w:val="24"/>
                <w:highlight w:val="none"/>
                <w:lang w:val="en-US" w:eastAsia="zh-CN"/>
              </w:rPr>
              <w:t>、废钢筋等</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废砂石、废钢筋等建材垃圾</w:t>
            </w:r>
            <w:r>
              <w:rPr>
                <w:rFonts w:hint="eastAsia" w:cs="Times New Roman"/>
                <w:color w:val="auto"/>
                <w:sz w:val="24"/>
                <w:szCs w:val="24"/>
                <w:highlight w:val="none"/>
                <w:lang w:val="en-US" w:eastAsia="zh-CN"/>
              </w:rPr>
              <w:t>以及施工结束后拆除的围堰等，</w:t>
            </w:r>
            <w:r>
              <w:rPr>
                <w:rFonts w:hint="default" w:ascii="Times New Roman" w:hAnsi="Times New Roman" w:eastAsia="宋体" w:cs="Times New Roman"/>
                <w:color w:val="auto"/>
                <w:sz w:val="24"/>
                <w:szCs w:val="24"/>
                <w:highlight w:val="none"/>
                <w:lang w:val="en-US" w:eastAsia="zh-CN"/>
              </w:rPr>
              <w:t>可以回收利用的回收利用</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其余无法回用</w:t>
            </w:r>
            <w:r>
              <w:rPr>
                <w:rFonts w:hint="eastAsia"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CN"/>
              </w:rPr>
              <w:t>委托有建筑垃圾清运及资源化处置经营资质的单位清运至建筑垃圾行政主管部门指定的处置场所。</w:t>
            </w:r>
          </w:p>
          <w:p w14:paraId="503C252C">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（3）生活垃圾</w:t>
            </w:r>
          </w:p>
          <w:p w14:paraId="31F97C71">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本项目高峰期施工人员</w:t>
            </w:r>
            <w:r>
              <w:rPr>
                <w:rFonts w:hint="eastAsia" w:cs="Times New Roman"/>
                <w:color w:val="auto"/>
                <w:sz w:val="24"/>
                <w:szCs w:val="24"/>
                <w:highlight w:val="none"/>
                <w:lang w:val="en-US" w:eastAsia="zh-CN"/>
              </w:rPr>
              <w:t>约2</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人，</w:t>
            </w:r>
            <w:r>
              <w:rPr>
                <w:rFonts w:hint="eastAsia" w:ascii="Times New Roman" w:hAnsi="Times New Roman" w:eastAsia="宋体" w:cs="Times New Roman"/>
                <w:color w:val="auto"/>
                <w:sz w:val="24"/>
                <w:szCs w:val="24"/>
                <w:highlight w:val="none"/>
                <w:lang w:val="en-US" w:eastAsia="zh-CN"/>
              </w:rPr>
              <w:t>施工方在施工区设置垃圾桶统一收集后送至附近垃圾收集点，</w:t>
            </w:r>
            <w:r>
              <w:rPr>
                <w:rFonts w:hint="default" w:ascii="Times New Roman" w:hAnsi="Times New Roman" w:eastAsia="宋体" w:cs="Times New Roman"/>
                <w:color w:val="auto"/>
                <w:sz w:val="24"/>
                <w:szCs w:val="24"/>
                <w:highlight w:val="none"/>
                <w:lang w:val="en-US" w:eastAsia="zh-CN"/>
              </w:rPr>
              <w:t>由环卫部门统一清运处置。</w:t>
            </w:r>
          </w:p>
          <w:p w14:paraId="4861CE3A">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（4）桥墩加固施工产生的泥浆</w:t>
            </w:r>
          </w:p>
          <w:p w14:paraId="6932AD58">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FF0000"/>
                <w:sz w:val="24"/>
                <w:szCs w:val="24"/>
                <w:highlight w:val="none"/>
                <w:lang w:val="en-US" w:eastAsia="zh-CN"/>
              </w:rPr>
            </w:pPr>
            <w:r>
              <w:rPr>
                <w:rFonts w:hint="eastAsia" w:cs="Times New Roman"/>
                <w:color w:val="auto"/>
                <w:sz w:val="24"/>
                <w:szCs w:val="24"/>
                <w:highlight w:val="none"/>
                <w:lang w:val="en-US" w:eastAsia="zh-CN"/>
              </w:rPr>
              <w:t>本工程采用钢板桩围堰和草袋围堰的方式进行桥墩基础加固施工，在施工过程中将产生废泥渣（含钻渣），根据桩基及围堰的尺寸估算，施工过程中产生的废弃泥渣（含钻渣）产生量约4000m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，该泥浆经过泥浆池沉淀后上清液用于洒水，沉淀的泥渣大部分为河沙，全部回填至河道低洼处。</w:t>
            </w:r>
          </w:p>
          <w:p w14:paraId="08E02581">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综上，本</w:t>
            </w:r>
            <w:r>
              <w:rPr>
                <w:rFonts w:hint="eastAsia" w:ascii="Times New Roman" w:hAnsi="Times New Roman" w:eastAsia="宋体" w:cs="Times New Roman"/>
                <w:color w:val="auto"/>
                <w:sz w:val="24"/>
                <w:szCs w:val="24"/>
                <w:highlight w:val="none"/>
                <w:lang w:val="en-US" w:eastAsia="zh-CN"/>
              </w:rPr>
              <w:t>工程</w:t>
            </w:r>
            <w:r>
              <w:rPr>
                <w:rFonts w:hint="default" w:ascii="Times New Roman" w:hAnsi="Times New Roman" w:eastAsia="宋体" w:cs="Times New Roman"/>
                <w:color w:val="auto"/>
                <w:sz w:val="24"/>
                <w:szCs w:val="24"/>
                <w:highlight w:val="none"/>
                <w:lang w:val="en-US" w:eastAsia="zh-CN"/>
              </w:rPr>
              <w:t>固体废物</w:t>
            </w:r>
            <w:r>
              <w:rPr>
                <w:rFonts w:hint="eastAsia" w:cs="Times New Roman"/>
                <w:color w:val="auto"/>
                <w:sz w:val="24"/>
                <w:szCs w:val="24"/>
                <w:highlight w:val="none"/>
                <w:lang w:val="en-US" w:eastAsia="zh-CN"/>
              </w:rPr>
              <w:t>能够</w:t>
            </w:r>
            <w:r>
              <w:rPr>
                <w:rFonts w:hint="default" w:ascii="Times New Roman" w:hAnsi="Times New Roman" w:eastAsia="宋体" w:cs="Times New Roman"/>
                <w:color w:val="auto"/>
                <w:sz w:val="24"/>
                <w:szCs w:val="24"/>
                <w:highlight w:val="none"/>
                <w:lang w:val="en-US" w:eastAsia="zh-CN"/>
              </w:rPr>
              <w:t>得到有效处置，不会对周围环境造成明显不利影响。</w:t>
            </w:r>
          </w:p>
          <w:p w14:paraId="72F073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Times New Roman"/>
                <w:b/>
                <w:bCs/>
                <w:color w:val="auto"/>
                <w:spacing w:val="0"/>
                <w:w w:val="100"/>
                <w:position w:val="0"/>
                <w:sz w:val="24"/>
                <w:szCs w:val="24"/>
                <w:highlight w:val="none"/>
                <w:lang w:val="en-US" w:eastAsia="zh-CN"/>
              </w:rPr>
            </w:pPr>
            <w:r>
              <w:rPr>
                <w:rFonts w:hint="default" w:cs="Times New Roman"/>
                <w:b/>
                <w:bCs/>
                <w:color w:val="auto"/>
                <w:spacing w:val="0"/>
                <w:w w:val="100"/>
                <w:position w:val="0"/>
                <w:sz w:val="24"/>
                <w:szCs w:val="24"/>
                <w:highlight w:val="none"/>
                <w:lang w:val="en-US" w:eastAsia="zh-CN"/>
              </w:rPr>
              <w:t>6.土壤环境影响分析</w:t>
            </w:r>
          </w:p>
          <w:p w14:paraId="625CA0C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施工过程中临时占地绝大部分可恢复利用。但由于土</w:t>
            </w:r>
            <w:r>
              <w:rPr>
                <w:rFonts w:hint="eastAsia" w:cs="Times New Roman"/>
                <w:color w:val="auto"/>
                <w:sz w:val="24"/>
                <w:szCs w:val="24"/>
                <w:highlight w:val="none"/>
                <w:lang w:val="en-US" w:eastAsia="zh-CN"/>
              </w:rPr>
              <w:t>方</w:t>
            </w:r>
            <w:r>
              <w:rPr>
                <w:rFonts w:hint="default" w:ascii="Times New Roman" w:hAnsi="Times New Roman" w:eastAsia="宋体" w:cs="Times New Roman"/>
                <w:color w:val="auto"/>
                <w:sz w:val="24"/>
                <w:szCs w:val="24"/>
                <w:highlight w:val="none"/>
                <w:lang w:val="en-US" w:eastAsia="zh-CN"/>
              </w:rPr>
              <w:t>开挖，对土壤结构和理化性质造成一定影响，并因重型施工机械的碾压、施工人员践踏、土体的扰动等原因，使</w:t>
            </w:r>
            <w:r>
              <w:rPr>
                <w:rFonts w:hint="eastAsia" w:cs="Times New Roman"/>
                <w:color w:val="auto"/>
                <w:sz w:val="24"/>
                <w:szCs w:val="24"/>
                <w:highlight w:val="none"/>
                <w:lang w:val="en-US" w:eastAsia="zh-CN"/>
              </w:rPr>
              <w:t>周边</w:t>
            </w:r>
            <w:r>
              <w:rPr>
                <w:rFonts w:hint="default" w:ascii="Times New Roman" w:hAnsi="Times New Roman" w:eastAsia="宋体" w:cs="Times New Roman"/>
                <w:color w:val="auto"/>
                <w:sz w:val="24"/>
                <w:szCs w:val="24"/>
                <w:highlight w:val="none"/>
                <w:lang w:val="en-US" w:eastAsia="zh-CN"/>
              </w:rPr>
              <w:t>耕作层土壤及自然土壤的理化性质、肥力都受到一定程度的影响，并进一步影响地表植被恢复。</w:t>
            </w:r>
          </w:p>
          <w:p w14:paraId="55840EC0">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baseline"/>
              <w:rPr>
                <w:rFonts w:hint="default" w:ascii="Times New Roman" w:hAnsi="Times New Roman" w:eastAsia="宋体" w:cs="Times New Roman"/>
                <w:b/>
                <w:bCs w:val="0"/>
                <w:color w:val="auto"/>
                <w:spacing w:val="0"/>
                <w:sz w:val="24"/>
                <w:szCs w:val="24"/>
                <w:lang w:val="en-US" w:eastAsia="zh-CN"/>
              </w:rPr>
            </w:pPr>
            <w:r>
              <w:rPr>
                <w:rFonts w:hint="default" w:ascii="Times New Roman" w:hAnsi="Times New Roman" w:eastAsia="宋体" w:cs="Times New Roman"/>
                <w:b/>
                <w:bCs w:val="0"/>
                <w:color w:val="auto"/>
                <w:spacing w:val="0"/>
                <w:sz w:val="24"/>
                <w:szCs w:val="24"/>
                <w:lang w:val="en-US" w:eastAsia="zh-CN"/>
              </w:rPr>
              <w:t>7.环境风险影响分析</w:t>
            </w:r>
          </w:p>
          <w:p w14:paraId="1155DC0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本工程属非污染生态类项目，主要施工内容为</w:t>
            </w:r>
            <w:r>
              <w:rPr>
                <w:rFonts w:hint="eastAsia" w:cs="Times New Roman"/>
                <w:color w:val="auto"/>
                <w:sz w:val="24"/>
                <w:szCs w:val="24"/>
                <w:highlight w:val="none"/>
                <w:lang w:val="en-US" w:eastAsia="zh-CN"/>
              </w:rPr>
              <w:t>桩基和圆环形承台</w:t>
            </w:r>
            <w:r>
              <w:rPr>
                <w:rFonts w:hint="default" w:ascii="Times New Roman" w:hAnsi="Times New Roman" w:eastAsia="宋体" w:cs="Times New Roman"/>
                <w:color w:val="auto"/>
                <w:sz w:val="24"/>
                <w:szCs w:val="24"/>
                <w:highlight w:val="none"/>
                <w:lang w:val="en-US" w:eastAsia="zh-CN"/>
              </w:rPr>
              <w:t>。项目施工期不涉及有毒有害、易燃易爆物质的贮存，施工机械、运输车辆不在施工区范围内进行燃料加注、维修保养等活动。因此，施工期环境风险主要为：施工机械、运输车辆在施工作业和运输过程中发生故障，造成油类物质泄漏，可能对</w:t>
            </w:r>
            <w:r>
              <w:rPr>
                <w:rFonts w:hint="eastAsia" w:cs="Times New Roman"/>
                <w:color w:val="auto"/>
                <w:sz w:val="24"/>
                <w:szCs w:val="24"/>
                <w:highlight w:val="none"/>
                <w:lang w:val="en-US" w:eastAsia="zh-CN"/>
              </w:rPr>
              <w:t>汉江</w:t>
            </w:r>
            <w:r>
              <w:rPr>
                <w:rFonts w:hint="default" w:ascii="Times New Roman" w:hAnsi="Times New Roman" w:eastAsia="宋体" w:cs="Times New Roman"/>
                <w:color w:val="auto"/>
                <w:sz w:val="24"/>
                <w:szCs w:val="24"/>
                <w:highlight w:val="none"/>
                <w:lang w:val="en-US" w:eastAsia="zh-CN"/>
              </w:rPr>
              <w:t>水质造成影响。</w:t>
            </w:r>
          </w:p>
        </w:tc>
      </w:tr>
      <w:tr w14:paraId="2376B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91" w:type="dxa"/>
            <w:noWrap w:val="0"/>
            <w:tcMar>
              <w:left w:w="28" w:type="dxa"/>
              <w:right w:w="28" w:type="dxa"/>
            </w:tcMar>
            <w:vAlign w:val="center"/>
          </w:tcPr>
          <w:p w14:paraId="09D2F905">
            <w:pPr>
              <w:pStyle w:val="18"/>
              <w:adjustRightInd w:val="0"/>
              <w:snapToGrid w:val="0"/>
              <w:spacing w:before="0" w:beforeAutospacing="0" w:after="0" w:afterAutospacing="0"/>
              <w:jc w:val="center"/>
              <w:rPr>
                <w:rFonts w:hint="eastAsia" w:cs="宋体"/>
                <w:color w:val="auto"/>
                <w:kern w:val="2"/>
                <w:sz w:val="24"/>
                <w:szCs w:val="24"/>
                <w:lang w:val="en-US" w:eastAsia="zh-CN"/>
              </w:rPr>
            </w:pPr>
            <w:r>
              <w:rPr>
                <w:rFonts w:hint="eastAsia" w:ascii="宋体" w:hAnsi="宋体" w:eastAsia="宋体" w:cs="宋体"/>
                <w:color w:val="auto"/>
                <w:kern w:val="2"/>
                <w:sz w:val="24"/>
                <w:szCs w:val="24"/>
                <w:lang w:val="en-US" w:eastAsia="zh-CN"/>
              </w:rPr>
              <w:t>运营期</w:t>
            </w:r>
            <w:r>
              <w:rPr>
                <w:rFonts w:hint="eastAsia" w:cs="宋体"/>
                <w:color w:val="auto"/>
                <w:kern w:val="2"/>
                <w:sz w:val="24"/>
                <w:szCs w:val="24"/>
                <w:lang w:val="en-US" w:eastAsia="zh-CN"/>
              </w:rPr>
              <w:t>生态环境影响分析</w:t>
            </w:r>
          </w:p>
        </w:tc>
        <w:tc>
          <w:tcPr>
            <w:tcW w:w="8090" w:type="dxa"/>
            <w:noWrap w:val="0"/>
            <w:vAlign w:val="center"/>
          </w:tcPr>
          <w:p w14:paraId="209FCEC8">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大气环境影响分析</w:t>
            </w:r>
          </w:p>
          <w:p w14:paraId="10664DF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本项目运营期</w:t>
            </w:r>
            <w:r>
              <w:rPr>
                <w:rFonts w:hint="eastAsia" w:cs="Times New Roman"/>
                <w:color w:val="auto"/>
                <w:sz w:val="24"/>
                <w:szCs w:val="24"/>
                <w:highlight w:val="none"/>
                <w:lang w:val="en-US" w:eastAsia="zh-CN"/>
              </w:rPr>
              <w:t>无废气污染物产生</w:t>
            </w:r>
            <w:r>
              <w:rPr>
                <w:rFonts w:hint="eastAsia" w:ascii="Times New Roman" w:hAnsi="Times New Roman" w:eastAsia="宋体" w:cs="Times New Roman"/>
                <w:color w:val="auto"/>
                <w:sz w:val="24"/>
                <w:szCs w:val="24"/>
                <w:highlight w:val="none"/>
                <w:lang w:val="en-US" w:eastAsia="zh-CN"/>
              </w:rPr>
              <w:t>。</w:t>
            </w:r>
          </w:p>
          <w:p w14:paraId="775B144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地表水环境影响分析</w:t>
            </w:r>
          </w:p>
          <w:p w14:paraId="53F30B3C">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本项目运营期</w:t>
            </w:r>
            <w:r>
              <w:rPr>
                <w:rFonts w:hint="eastAsia" w:cs="Times New Roman"/>
                <w:color w:val="auto"/>
                <w:sz w:val="24"/>
                <w:szCs w:val="24"/>
                <w:highlight w:val="none"/>
                <w:lang w:val="en-US" w:eastAsia="zh-CN"/>
              </w:rPr>
              <w:t>无废水污染物产生</w:t>
            </w:r>
            <w:r>
              <w:rPr>
                <w:rFonts w:hint="eastAsia" w:ascii="Times New Roman" w:hAnsi="Times New Roman" w:eastAsia="宋体" w:cs="Times New Roman"/>
                <w:color w:val="auto"/>
                <w:sz w:val="24"/>
                <w:szCs w:val="24"/>
                <w:highlight w:val="none"/>
                <w:lang w:val="en-US" w:eastAsia="zh-CN"/>
              </w:rPr>
              <w:t>。</w:t>
            </w:r>
          </w:p>
          <w:p w14:paraId="1A8B9F76">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固体废物影响分析</w:t>
            </w:r>
          </w:p>
          <w:p w14:paraId="2C2C78C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本项目运营期</w:t>
            </w:r>
            <w:r>
              <w:rPr>
                <w:rFonts w:hint="eastAsia" w:cs="Times New Roman"/>
                <w:color w:val="auto"/>
                <w:sz w:val="24"/>
                <w:szCs w:val="24"/>
                <w:highlight w:val="none"/>
                <w:lang w:val="en-US" w:eastAsia="zh-CN"/>
              </w:rPr>
              <w:t>不产生固体废物</w:t>
            </w:r>
            <w:r>
              <w:rPr>
                <w:rFonts w:hint="eastAsia" w:ascii="Times New Roman" w:hAnsi="Times New Roman" w:eastAsia="宋体" w:cs="Times New Roman"/>
                <w:color w:val="auto"/>
                <w:sz w:val="24"/>
                <w:szCs w:val="24"/>
                <w:highlight w:val="none"/>
                <w:lang w:val="en-US" w:eastAsia="zh-CN"/>
              </w:rPr>
              <w:t>。</w:t>
            </w:r>
          </w:p>
          <w:p w14:paraId="2E7C108A">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4</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声环境影响分析</w:t>
            </w:r>
          </w:p>
          <w:p w14:paraId="53E00505">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项目</w:t>
            </w:r>
            <w:r>
              <w:rPr>
                <w:rFonts w:hint="eastAsia" w:cs="Times New Roman"/>
                <w:color w:val="auto"/>
                <w:sz w:val="24"/>
                <w:szCs w:val="24"/>
                <w:highlight w:val="none"/>
                <w:lang w:val="en-US" w:eastAsia="zh-CN"/>
              </w:rPr>
              <w:t>桥墩基础冲刷病害整治工程</w:t>
            </w:r>
            <w:r>
              <w:rPr>
                <w:rFonts w:hint="eastAsia" w:ascii="Times New Roman" w:hAnsi="Times New Roman" w:eastAsia="宋体" w:cs="Times New Roman"/>
                <w:color w:val="auto"/>
                <w:sz w:val="24"/>
                <w:szCs w:val="24"/>
                <w:highlight w:val="none"/>
                <w:lang w:val="en-US" w:eastAsia="zh-CN"/>
              </w:rPr>
              <w:t>运营期</w:t>
            </w:r>
            <w:r>
              <w:rPr>
                <w:rFonts w:hint="eastAsia" w:cs="Times New Roman"/>
                <w:color w:val="auto"/>
                <w:sz w:val="24"/>
                <w:szCs w:val="24"/>
                <w:highlight w:val="none"/>
                <w:lang w:val="en-US" w:eastAsia="zh-CN"/>
              </w:rPr>
              <w:t>无</w:t>
            </w:r>
            <w:r>
              <w:rPr>
                <w:rFonts w:hint="eastAsia" w:ascii="Times New Roman" w:hAnsi="Times New Roman" w:eastAsia="宋体" w:cs="Times New Roman"/>
                <w:color w:val="auto"/>
                <w:sz w:val="24"/>
                <w:szCs w:val="24"/>
                <w:highlight w:val="none"/>
                <w:lang w:val="en-US" w:eastAsia="zh-CN"/>
              </w:rPr>
              <w:t>噪声产生</w:t>
            </w:r>
            <w:r>
              <w:rPr>
                <w:rFonts w:hint="eastAsia" w:cs="Times New Roman"/>
                <w:color w:val="auto"/>
                <w:sz w:val="24"/>
                <w:szCs w:val="24"/>
                <w:highlight w:val="none"/>
                <w:lang w:val="en-US" w:eastAsia="zh-CN"/>
              </w:rPr>
              <w:t>，火车通行产生的噪声与整治前比基本无变化</w:t>
            </w:r>
            <w:r>
              <w:rPr>
                <w:rFonts w:hint="eastAsia" w:ascii="Times New Roman" w:hAnsi="Times New Roman" w:eastAsia="宋体" w:cs="Times New Roman"/>
                <w:color w:val="auto"/>
                <w:sz w:val="24"/>
                <w:szCs w:val="24"/>
                <w:highlight w:val="none"/>
                <w:lang w:val="en-US" w:eastAsia="zh-CN"/>
              </w:rPr>
              <w:t>。</w:t>
            </w:r>
          </w:p>
          <w:p w14:paraId="17BF88B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生态环境影响分析</w:t>
            </w:r>
          </w:p>
          <w:p w14:paraId="41E5A35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FF0000"/>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w:t>
            </w:r>
            <w:r>
              <w:rPr>
                <w:rFonts w:hint="eastAsia" w:cs="Times New Roman"/>
                <w:color w:val="auto"/>
                <w:sz w:val="24"/>
                <w:szCs w:val="24"/>
                <w:highlight w:val="none"/>
                <w:lang w:val="en-US" w:eastAsia="zh-CN"/>
              </w:rPr>
              <w:t>因桩基和承台建设，河道过水空间有所减小，</w:t>
            </w:r>
            <w:r>
              <w:rPr>
                <w:rFonts w:hint="eastAsia" w:ascii="Times New Roman" w:hAnsi="Times New Roman" w:eastAsia="宋体" w:cs="Times New Roman"/>
                <w:color w:val="auto"/>
                <w:sz w:val="24"/>
                <w:szCs w:val="24"/>
                <w:highlight w:val="none"/>
                <w:lang w:val="en-US" w:eastAsia="zh-CN"/>
              </w:rPr>
              <w:t>运营期将会对</w:t>
            </w:r>
            <w:r>
              <w:rPr>
                <w:rFonts w:hint="eastAsia" w:cs="Times New Roman"/>
                <w:color w:val="auto"/>
                <w:sz w:val="24"/>
                <w:szCs w:val="24"/>
                <w:highlight w:val="none"/>
                <w:lang w:val="en-US" w:eastAsia="zh-CN"/>
              </w:rPr>
              <w:t>水生动植物的</w:t>
            </w:r>
            <w:r>
              <w:rPr>
                <w:rFonts w:hint="eastAsia" w:ascii="Times New Roman" w:hAnsi="Times New Roman" w:eastAsia="宋体" w:cs="Times New Roman"/>
                <w:color w:val="auto"/>
                <w:sz w:val="24"/>
                <w:szCs w:val="24"/>
                <w:highlight w:val="none"/>
                <w:lang w:val="en-US" w:eastAsia="zh-CN"/>
              </w:rPr>
              <w:t>生存环境产生轻微的不利影响。</w:t>
            </w:r>
          </w:p>
          <w:p w14:paraId="29404D98">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、社会影响</w:t>
            </w:r>
          </w:p>
          <w:p w14:paraId="30356E0B">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本项目属于基础设施</w:t>
            </w:r>
            <w:r>
              <w:rPr>
                <w:rFonts w:hint="eastAsia" w:cs="Times New Roman"/>
                <w:color w:val="auto"/>
                <w:sz w:val="24"/>
                <w:szCs w:val="24"/>
                <w:highlight w:val="none"/>
                <w:lang w:val="en-US" w:eastAsia="zh-CN"/>
              </w:rPr>
              <w:t>改造加固，</w:t>
            </w:r>
            <w:r>
              <w:rPr>
                <w:rFonts w:hint="eastAsia" w:ascii="Times New Roman" w:hAnsi="Times New Roman" w:eastAsia="宋体" w:cs="Times New Roman"/>
                <w:color w:val="auto"/>
                <w:sz w:val="24"/>
                <w:szCs w:val="24"/>
                <w:highlight w:val="none"/>
                <w:lang w:val="en-US" w:eastAsia="zh-CN"/>
              </w:rPr>
              <w:t>项目的实施有利于</w:t>
            </w:r>
            <w:r>
              <w:rPr>
                <w:rFonts w:hint="eastAsia" w:cs="Times New Roman"/>
                <w:color w:val="auto"/>
                <w:sz w:val="24"/>
                <w:szCs w:val="24"/>
                <w:highlight w:val="none"/>
                <w:lang w:val="en-US" w:eastAsia="zh-CN"/>
              </w:rPr>
              <w:t>提高阳安线上行K155+746汉江3号桥基础的抗冲刷能力，保证基础埋置深度，保障基础的稳定性。项目建成后可</w:t>
            </w:r>
            <w:r>
              <w:rPr>
                <w:rFonts w:hint="eastAsia" w:ascii="Times New Roman" w:hAnsi="Times New Roman" w:eastAsia="宋体" w:cs="Times New Roman"/>
                <w:color w:val="auto"/>
                <w:sz w:val="24"/>
                <w:szCs w:val="24"/>
                <w:highlight w:val="none"/>
                <w:lang w:val="en-US" w:eastAsia="zh-CN"/>
              </w:rPr>
              <w:t>完善区域交通设施条件</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提高区域通行能力</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有利于提高当地服务功能</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营造良好的、更富吸引力、更具竞争力的发展环境</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促进区域经济的健康可持续发展。</w:t>
            </w:r>
          </w:p>
        </w:tc>
      </w:tr>
      <w:tr w14:paraId="469A1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6" w:hRule="atLeast"/>
          <w:jc w:val="center"/>
        </w:trPr>
        <w:tc>
          <w:tcPr>
            <w:tcW w:w="891" w:type="dxa"/>
            <w:noWrap w:val="0"/>
            <w:tcMar>
              <w:left w:w="28" w:type="dxa"/>
              <w:right w:w="28" w:type="dxa"/>
            </w:tcMar>
            <w:vAlign w:val="center"/>
          </w:tcPr>
          <w:p w14:paraId="1CD0C3D9">
            <w:pPr>
              <w:keepNext w:val="0"/>
              <w:keepLines w:val="0"/>
              <w:widowControl/>
              <w:suppressLineNumbers w:val="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选址选</w:t>
            </w:r>
          </w:p>
          <w:p w14:paraId="6535CA05">
            <w:pPr>
              <w:keepNext w:val="0"/>
              <w:keepLines w:val="0"/>
              <w:widowControl/>
              <w:suppressLineNumbers w:val="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线环境</w:t>
            </w:r>
          </w:p>
          <w:p w14:paraId="60D6D573">
            <w:pPr>
              <w:keepNext w:val="0"/>
              <w:keepLines w:val="0"/>
              <w:widowControl/>
              <w:suppressLineNumbers w:val="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合理性</w:t>
            </w:r>
          </w:p>
          <w:p w14:paraId="7EDB5A6C">
            <w:pPr>
              <w:keepNext w:val="0"/>
              <w:keepLines w:val="0"/>
              <w:widowControl/>
              <w:suppressLineNumbers w:val="0"/>
              <w:jc w:val="center"/>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bidi="ar-SA"/>
              </w:rPr>
              <w:t>分析</w:t>
            </w:r>
          </w:p>
        </w:tc>
        <w:tc>
          <w:tcPr>
            <w:tcW w:w="8090" w:type="dxa"/>
            <w:noWrap w:val="0"/>
            <w:vAlign w:val="center"/>
          </w:tcPr>
          <w:p w14:paraId="7528E5BA">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32"/>
                <w:lang w:val="en-US" w:eastAsia="zh-CN"/>
              </w:rPr>
            </w:pPr>
            <w:r>
              <w:rPr>
                <w:rFonts w:hint="eastAsia"/>
                <w:color w:val="auto"/>
                <w:sz w:val="24"/>
                <w:szCs w:val="32"/>
                <w:lang w:val="en-US" w:eastAsia="zh-CN"/>
              </w:rPr>
              <w:t>1、项目选址合理性分析</w:t>
            </w:r>
          </w:p>
          <w:p w14:paraId="5EC4E22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32"/>
                <w:lang w:val="en-US" w:eastAsia="zh-CN"/>
              </w:rPr>
            </w:pPr>
            <w:r>
              <w:rPr>
                <w:rFonts w:hint="eastAsia"/>
                <w:color w:val="auto"/>
                <w:sz w:val="24"/>
                <w:szCs w:val="32"/>
                <w:lang w:val="en-US" w:eastAsia="zh-CN"/>
              </w:rPr>
              <w:t>本工程为既有铁路桥基础冲刷病害整治工程，不新增占地，不改变用地性质，不占用基本农田，不涉及名胜古迹、文物保护区、自然保护区等，且无珍稀濒危动植物。工程</w:t>
            </w:r>
            <w:r>
              <w:rPr>
                <w:rFonts w:hint="eastAsia" w:cs="Times New Roman"/>
                <w:color w:val="auto"/>
                <w:sz w:val="24"/>
                <w:lang w:val="en-US" w:eastAsia="zh-CN"/>
              </w:rPr>
              <w:t>属于中国铁路西安局集团有限公司防洪指挥部关于印发《9处重点病害整治工程推进协调会议纪要》的通知（西铁防洪电〔2026〕4号）中所涉及的病害整治工程</w:t>
            </w:r>
            <w:r>
              <w:rPr>
                <w:rFonts w:hint="eastAsia"/>
                <w:color w:val="auto"/>
                <w:sz w:val="24"/>
                <w:szCs w:val="32"/>
                <w:lang w:val="en-US" w:eastAsia="zh-CN"/>
              </w:rPr>
              <w:t>。因此，本项目选址合理。</w:t>
            </w:r>
          </w:p>
          <w:p w14:paraId="5BC00333">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32"/>
                <w:lang w:val="en-US" w:eastAsia="zh-CN"/>
              </w:rPr>
            </w:pPr>
            <w:r>
              <w:rPr>
                <w:rFonts w:hint="eastAsia"/>
                <w:color w:val="auto"/>
                <w:sz w:val="24"/>
                <w:szCs w:val="32"/>
                <w:lang w:val="en-US" w:eastAsia="zh-CN"/>
              </w:rPr>
              <w:t>2、临时工程选址的合理性分析</w:t>
            </w:r>
          </w:p>
          <w:p w14:paraId="4ADE2D0C">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szCs w:val="32"/>
                <w:lang w:val="en-US" w:eastAsia="zh-CN"/>
              </w:rPr>
            </w:pPr>
            <w:r>
              <w:rPr>
                <w:rFonts w:hint="eastAsia"/>
                <w:color w:val="auto"/>
                <w:sz w:val="24"/>
                <w:szCs w:val="32"/>
                <w:lang w:val="en-US" w:eastAsia="zh-CN"/>
              </w:rPr>
              <w:t>本项目施工临时营地位于汉江左岸，阳安线上行K155+746汉江3号桥西侧50m处，主要包括材料堆场、加工区及机械停放区等。施工便道位于阳安线上行K155+746汉江3号桥东侧。</w:t>
            </w:r>
          </w:p>
          <w:p w14:paraId="7ECA80A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color w:val="auto"/>
                <w:sz w:val="24"/>
                <w:szCs w:val="32"/>
                <w:lang w:val="en-US" w:eastAsia="zh-CN"/>
              </w:rPr>
              <w:t>施工临时占地在施工结束后及时进行恢复，可最大程度上减小对土地资源的影响。同时，施工废水经沉淀池沉淀处理后回用于场内洒水抑尘，施工人员生活污水依托村庄住户的化粪池处理后还田施肥，减少对外环境的影响。因此，从总体布局及施工时序安排来看，临时工程选址合理。</w:t>
            </w:r>
          </w:p>
        </w:tc>
      </w:tr>
    </w:tbl>
    <w:p w14:paraId="39196D6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32"/>
        </w:rPr>
        <w:sectPr>
          <w:pgSz w:w="11907" w:h="16840"/>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B831F71">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eastAsia" w:ascii="黑体" w:hAnsi="黑体" w:eastAsia="黑体"/>
          <w:snapToGrid w:val="0"/>
          <w:color w:val="auto"/>
          <w:sz w:val="30"/>
          <w:szCs w:val="30"/>
          <w:lang w:val="en-US" w:eastAsia="zh-CN"/>
        </w:rPr>
      </w:pPr>
      <w:r>
        <w:rPr>
          <w:rFonts w:hint="eastAsia" w:ascii="黑体" w:hAnsi="黑体" w:eastAsia="黑体"/>
          <w:snapToGrid w:val="0"/>
          <w:color w:val="auto"/>
          <w:sz w:val="30"/>
          <w:szCs w:val="30"/>
          <w:lang w:val="en-US" w:eastAsia="zh-CN"/>
        </w:rPr>
        <w:t>五</w:t>
      </w:r>
      <w:r>
        <w:rPr>
          <w:rFonts w:hint="eastAsia" w:ascii="黑体" w:hAnsi="黑体" w:eastAsia="黑体"/>
          <w:snapToGrid w:val="0"/>
          <w:color w:val="auto"/>
          <w:sz w:val="30"/>
          <w:szCs w:val="30"/>
        </w:rPr>
        <w:t>、</w:t>
      </w:r>
      <w:r>
        <w:rPr>
          <w:rFonts w:hint="eastAsia" w:ascii="黑体" w:hAnsi="黑体" w:eastAsia="黑体"/>
          <w:snapToGrid w:val="0"/>
          <w:color w:val="auto"/>
          <w:sz w:val="30"/>
          <w:szCs w:val="30"/>
          <w:lang w:val="en-US" w:eastAsia="zh-CN"/>
        </w:rPr>
        <w:t>主要生态</w:t>
      </w:r>
      <w:r>
        <w:rPr>
          <w:rFonts w:hint="eastAsia" w:ascii="黑体" w:hAnsi="黑体" w:eastAsia="黑体"/>
          <w:snapToGrid w:val="0"/>
          <w:color w:val="auto"/>
          <w:sz w:val="30"/>
          <w:szCs w:val="30"/>
        </w:rPr>
        <w:t>环境</w:t>
      </w:r>
      <w:r>
        <w:rPr>
          <w:rFonts w:hint="eastAsia" w:ascii="黑体" w:hAnsi="黑体" w:eastAsia="黑体"/>
          <w:snapToGrid w:val="0"/>
          <w:color w:val="auto"/>
          <w:sz w:val="30"/>
          <w:szCs w:val="30"/>
          <w:lang w:val="en-US" w:eastAsia="zh-CN"/>
        </w:rPr>
        <w:t>保护措施</w:t>
      </w:r>
    </w:p>
    <w:tbl>
      <w:tblPr>
        <w:tblStyle w:val="19"/>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1"/>
        <w:gridCol w:w="8090"/>
      </w:tblGrid>
      <w:tr w14:paraId="5D57D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91" w:type="dxa"/>
            <w:noWrap w:val="0"/>
            <w:tcMar>
              <w:left w:w="28" w:type="dxa"/>
              <w:right w:w="28" w:type="dxa"/>
            </w:tcMar>
            <w:vAlign w:val="center"/>
          </w:tcPr>
          <w:p w14:paraId="6644C50F">
            <w:pPr>
              <w:pStyle w:val="18"/>
              <w:adjustRightInd w:val="0"/>
              <w:snapToGrid w:val="0"/>
              <w:spacing w:before="0" w:beforeAutospacing="0" w:after="0" w:afterAutospacing="0"/>
              <w:jc w:val="center"/>
              <w:rPr>
                <w:rFonts w:hint="default" w:cs="宋体"/>
                <w:bCs/>
                <w:color w:val="auto"/>
                <w:kern w:val="2"/>
                <w:sz w:val="21"/>
                <w:szCs w:val="21"/>
                <w:lang w:val="en-US" w:eastAsia="zh-CN"/>
              </w:rPr>
            </w:pPr>
            <w:r>
              <w:rPr>
                <w:rFonts w:hint="eastAsia" w:cs="宋体"/>
                <w:color w:val="auto"/>
                <w:kern w:val="2"/>
                <w:sz w:val="24"/>
                <w:szCs w:val="24"/>
                <w:lang w:val="en-US" w:eastAsia="zh-CN"/>
              </w:rPr>
              <w:t>施工期生态环境保护措施</w:t>
            </w:r>
          </w:p>
        </w:tc>
        <w:tc>
          <w:tcPr>
            <w:tcW w:w="8090" w:type="dxa"/>
            <w:noWrap w:val="0"/>
            <w:vAlign w:val="center"/>
          </w:tcPr>
          <w:p w14:paraId="540ED42F">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baseline"/>
              <w:rPr>
                <w:rFonts w:hint="default" w:ascii="Times New Roman" w:hAnsi="Times New Roman" w:eastAsia="宋体" w:cs="Times New Roman"/>
                <w:b/>
                <w:bCs w:val="0"/>
                <w:color w:val="auto"/>
                <w:spacing w:val="0"/>
                <w:sz w:val="24"/>
                <w:szCs w:val="21"/>
                <w:lang w:val="en-US" w:eastAsia="zh-CN"/>
              </w:rPr>
            </w:pPr>
            <w:r>
              <w:rPr>
                <w:rFonts w:hint="eastAsia" w:ascii="Times New Roman" w:hAnsi="Times New Roman" w:eastAsia="宋体" w:cs="Times New Roman"/>
                <w:b/>
                <w:bCs w:val="0"/>
                <w:color w:val="auto"/>
                <w:spacing w:val="0"/>
                <w:sz w:val="24"/>
                <w:szCs w:val="21"/>
                <w:lang w:val="en-US" w:eastAsia="zh-CN"/>
              </w:rPr>
              <w:t>1、</w:t>
            </w:r>
            <w:r>
              <w:rPr>
                <w:rFonts w:hint="default" w:ascii="Times New Roman" w:hAnsi="Times New Roman" w:eastAsia="宋体" w:cs="Times New Roman"/>
                <w:b/>
                <w:bCs w:val="0"/>
                <w:color w:val="auto"/>
                <w:spacing w:val="0"/>
                <w:sz w:val="24"/>
                <w:szCs w:val="21"/>
                <w:lang w:val="en-US" w:eastAsia="zh-CN"/>
              </w:rPr>
              <w:t>施工期生态环境保护措施</w:t>
            </w:r>
          </w:p>
          <w:p w14:paraId="588DB691">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施工过程中的占压、开挖、回填等施工活动都会造成生态破坏和水土流失。施工过程中的水土流失，不但会影响工程进度和工程质量，而且会对周</w:t>
            </w:r>
            <w:r>
              <w:rPr>
                <w:rFonts w:hint="default" w:ascii="Times New Roman" w:hAnsi="Times New Roman" w:eastAsia="宋体" w:cs="Times New Roman"/>
                <w:color w:val="auto"/>
                <w:sz w:val="24"/>
                <w:szCs w:val="24"/>
                <w:lang w:val="en-US" w:eastAsia="zh-CN"/>
              </w:rPr>
              <w:t>围环境产生较为严重的影响。故施工</w:t>
            </w:r>
            <w:r>
              <w:rPr>
                <w:rFonts w:hint="eastAsia" w:cs="Times New Roman"/>
                <w:color w:val="auto"/>
                <w:sz w:val="24"/>
                <w:szCs w:val="24"/>
                <w:lang w:val="en-US" w:eastAsia="zh-CN"/>
              </w:rPr>
              <w:t>期间</w:t>
            </w:r>
            <w:r>
              <w:rPr>
                <w:rFonts w:hint="default" w:ascii="Times New Roman" w:hAnsi="Times New Roman" w:eastAsia="宋体" w:cs="Times New Roman"/>
                <w:color w:val="auto"/>
                <w:sz w:val="24"/>
                <w:szCs w:val="24"/>
                <w:lang w:val="en-US" w:eastAsia="zh-CN"/>
              </w:rPr>
              <w:t>应采取必要的措施加以控制。为了减轻施工造成的水土流失、占用土地以及植被破坏等影响，本次评价提出以下保护措施：</w:t>
            </w:r>
          </w:p>
          <w:p w14:paraId="6BF6251F">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工程措施</w:t>
            </w:r>
          </w:p>
          <w:p w14:paraId="384B7CEE">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①严格按照工程建设划定的占地红线进行施工，不得</w:t>
            </w:r>
            <w:r>
              <w:rPr>
                <w:rFonts w:hint="eastAsia" w:ascii="Times New Roman" w:hAnsi="Times New Roman" w:eastAsia="宋体" w:cs="Times New Roman"/>
                <w:color w:val="auto"/>
                <w:sz w:val="24"/>
                <w:szCs w:val="24"/>
                <w:lang w:val="en-US" w:eastAsia="zh-CN"/>
              </w:rPr>
              <w:t>再</w:t>
            </w:r>
            <w:r>
              <w:rPr>
                <w:rFonts w:hint="default" w:ascii="Times New Roman" w:hAnsi="Times New Roman" w:eastAsia="宋体" w:cs="Times New Roman"/>
                <w:color w:val="auto"/>
                <w:sz w:val="24"/>
                <w:szCs w:val="24"/>
                <w:lang w:val="en-US" w:eastAsia="zh-CN"/>
              </w:rPr>
              <w:t>随意新增施工便道；不得随意增大土石方开挖的面积，要保护好开挖地表剥离的植被及附着土壤</w:t>
            </w:r>
            <w:r>
              <w:rPr>
                <w:rFonts w:hint="eastAsia" w:ascii="Times New Roman" w:hAnsi="Times New Roman" w:eastAsia="宋体" w:cs="Times New Roman"/>
                <w:color w:val="auto"/>
                <w:sz w:val="24"/>
                <w:szCs w:val="24"/>
                <w:lang w:val="en-US" w:eastAsia="zh-CN"/>
              </w:rPr>
              <w:t>，采取密目网遮盖措施，防止降雨击</w:t>
            </w:r>
            <w:r>
              <w:rPr>
                <w:rFonts w:hint="eastAsia" w:cs="Times New Roman"/>
                <w:color w:val="auto"/>
                <w:sz w:val="24"/>
                <w:szCs w:val="24"/>
                <w:lang w:val="en-US" w:eastAsia="zh-CN"/>
              </w:rPr>
              <w:t>溅</w:t>
            </w:r>
            <w:r>
              <w:rPr>
                <w:rFonts w:hint="eastAsia" w:ascii="Times New Roman" w:hAnsi="Times New Roman" w:eastAsia="宋体" w:cs="Times New Roman"/>
                <w:color w:val="auto"/>
                <w:sz w:val="24"/>
                <w:szCs w:val="24"/>
                <w:lang w:val="en-US" w:eastAsia="zh-CN"/>
              </w:rPr>
              <w:t>侵蚀及径流冲刷产生新增水土流失；</w:t>
            </w:r>
            <w:r>
              <w:rPr>
                <w:rFonts w:hint="default" w:ascii="Times New Roman" w:hAnsi="Times New Roman" w:eastAsia="宋体" w:cs="Times New Roman"/>
                <w:color w:val="auto"/>
                <w:sz w:val="24"/>
                <w:szCs w:val="24"/>
                <w:lang w:val="en-US" w:eastAsia="zh-CN"/>
              </w:rPr>
              <w:t>运输材料时必须充分利用现有的道路，应避免对道路两侧灌丛及灌草丛等植被造成破坏。</w:t>
            </w:r>
          </w:p>
          <w:p w14:paraId="39346EB2">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②优化临时占地的选址，临时占地尽量减少地面扰动面积。施工结束后，应及时对临时占地采取平整压实处理，避免水土流失等对植被的破坏。</w:t>
            </w:r>
          </w:p>
          <w:p w14:paraId="63464A60">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③各种施工活动应严格控制在施工区域内，施工机械、土石及其他建筑材料不得乱堆乱放，防止破坏植被，加剧水土流失。</w:t>
            </w:r>
          </w:p>
          <w:p w14:paraId="1B57F743">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④加强施工管理，合理安排施工进度，尽量减少临时工程占地，缩短临时占地使用时间，及时恢复土地原有功能。尽可能地缩短疏松地面的裸露时间，合理安排施工时间，尽量避开大风和雨天施工。</w:t>
            </w:r>
          </w:p>
          <w:p w14:paraId="2D66E180">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⑤施工结束后，及时进行场地清理平整及土壤植被恢复绿化工作，对土壤植被恢复遵循</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破坏多少，恢复多少</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的原则。</w:t>
            </w:r>
          </w:p>
          <w:p w14:paraId="43447CD8">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陆</w:t>
            </w:r>
            <w:r>
              <w:rPr>
                <w:rFonts w:hint="default" w:ascii="Times New Roman" w:hAnsi="Times New Roman" w:eastAsia="宋体" w:cs="Times New Roman"/>
                <w:color w:val="auto"/>
                <w:sz w:val="24"/>
                <w:szCs w:val="24"/>
                <w:lang w:val="en-US" w:eastAsia="zh-CN"/>
              </w:rPr>
              <w:t>生动物保护措施</w:t>
            </w:r>
          </w:p>
          <w:p w14:paraId="7FE75138">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cs="Times New Roman"/>
                <w:color w:val="auto"/>
                <w:sz w:val="24"/>
                <w:szCs w:val="24"/>
                <w:lang w:val="en-US" w:eastAsia="zh-CN"/>
              </w:rPr>
              <w:t>减免</w:t>
            </w:r>
            <w:r>
              <w:rPr>
                <w:rFonts w:hint="eastAsia" w:ascii="Times New Roman" w:hAnsi="Times New Roman" w:eastAsia="宋体" w:cs="Times New Roman"/>
                <w:color w:val="auto"/>
                <w:sz w:val="24"/>
                <w:szCs w:val="24"/>
                <w:lang w:val="en-US" w:eastAsia="zh-CN"/>
              </w:rPr>
              <w:t>对动物栖息地破坏的影响。要合理规划和施工设计，严格控制，把占地控制在最合理、最小的范围内。</w:t>
            </w:r>
          </w:p>
          <w:p w14:paraId="507ED4F3">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野生鸟类和哺乳动物大多在晨、昏（早晨、黄昏）或夜间外出觅食，正午是鸟类休息时间。为了减少工程施工开挖噪声对野生动物的惊扰，应做好开挖方式、数量、时间的计划，并力求避免在晨昏和正午施工等。</w:t>
            </w:r>
          </w:p>
          <w:p w14:paraId="6043AC07">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③施工期采用</w:t>
            </w:r>
            <w:r>
              <w:rPr>
                <w:rFonts w:hint="eastAsia" w:cs="Times New Roman"/>
                <w:color w:val="auto"/>
                <w:sz w:val="24"/>
                <w:szCs w:val="24"/>
                <w:lang w:val="en-US" w:eastAsia="zh-CN"/>
              </w:rPr>
              <w:t>噪声</w:t>
            </w:r>
            <w:r>
              <w:rPr>
                <w:rFonts w:hint="eastAsia" w:ascii="Times New Roman" w:hAnsi="Times New Roman" w:eastAsia="宋体" w:cs="Times New Roman"/>
                <w:color w:val="auto"/>
                <w:sz w:val="24"/>
                <w:szCs w:val="24"/>
                <w:lang w:val="en-US" w:eastAsia="zh-CN"/>
              </w:rPr>
              <w:t>较小的施工设备，减少工程建设产生的</w:t>
            </w:r>
            <w:r>
              <w:rPr>
                <w:rFonts w:hint="eastAsia" w:cs="Times New Roman"/>
                <w:color w:val="auto"/>
                <w:sz w:val="24"/>
                <w:szCs w:val="24"/>
                <w:lang w:val="en-US" w:eastAsia="zh-CN"/>
              </w:rPr>
              <w:t>噪声</w:t>
            </w:r>
            <w:r>
              <w:rPr>
                <w:rFonts w:hint="eastAsia" w:ascii="Times New Roman" w:hAnsi="Times New Roman" w:eastAsia="宋体" w:cs="Times New Roman"/>
                <w:color w:val="auto"/>
                <w:sz w:val="24"/>
                <w:szCs w:val="24"/>
                <w:lang w:val="en-US" w:eastAsia="zh-CN"/>
              </w:rPr>
              <w:t>，在道路两旁设置禁鸣限速的警示牌，避免对周边野生动物造成惊扰。</w:t>
            </w:r>
          </w:p>
          <w:p w14:paraId="62209642">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lang w:val="en-US" w:eastAsia="zh-CN"/>
              </w:rPr>
              <w:t>宣传野生动物保护法规，</w:t>
            </w:r>
            <w:r>
              <w:rPr>
                <w:rFonts w:hint="eastAsia" w:ascii="Times New Roman" w:hAnsi="Times New Roman" w:eastAsia="宋体" w:cs="Times New Roman"/>
                <w:color w:val="auto"/>
                <w:sz w:val="24"/>
                <w:szCs w:val="24"/>
                <w:lang w:val="en-US" w:eastAsia="zh-CN"/>
              </w:rPr>
              <w:t>增强</w:t>
            </w:r>
            <w:r>
              <w:rPr>
                <w:rFonts w:hint="default" w:ascii="Times New Roman" w:hAnsi="Times New Roman" w:eastAsia="宋体" w:cs="Times New Roman"/>
                <w:color w:val="auto"/>
                <w:sz w:val="24"/>
                <w:szCs w:val="24"/>
                <w:lang w:val="en-US" w:eastAsia="zh-CN"/>
              </w:rPr>
              <w:t>施工人员的保护意识，严禁在施工区及其周围捕猎野生动物。</w:t>
            </w:r>
          </w:p>
          <w:p w14:paraId="1CF768BA">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r>
              <w:rPr>
                <w:rFonts w:hint="eastAsia" w:cs="Times New Roman"/>
                <w:color w:val="auto"/>
                <w:sz w:val="24"/>
                <w:szCs w:val="24"/>
                <w:lang w:val="en-US" w:eastAsia="zh-CN"/>
              </w:rPr>
              <w:t>陆生</w:t>
            </w:r>
            <w:r>
              <w:rPr>
                <w:rFonts w:hint="default" w:ascii="Times New Roman" w:hAnsi="Times New Roman" w:eastAsia="宋体" w:cs="Times New Roman"/>
                <w:color w:val="auto"/>
                <w:sz w:val="24"/>
                <w:szCs w:val="24"/>
                <w:lang w:val="en-US" w:eastAsia="zh-CN"/>
              </w:rPr>
              <w:t>植物保护措施</w:t>
            </w:r>
          </w:p>
          <w:p w14:paraId="5AC990B5">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①为减免施工活动对植被和土壤的影响，施工单位应严格划定施工范围，不得随意占用</w:t>
            </w:r>
            <w:r>
              <w:rPr>
                <w:rFonts w:hint="eastAsia" w:cs="Times New Roman"/>
                <w:color w:val="auto"/>
                <w:sz w:val="24"/>
                <w:szCs w:val="24"/>
                <w:lang w:val="en-US" w:eastAsia="zh-CN"/>
              </w:rPr>
              <w:t>划定施工</w:t>
            </w:r>
            <w:r>
              <w:rPr>
                <w:rFonts w:hint="eastAsia" w:ascii="Times New Roman" w:hAnsi="Times New Roman" w:eastAsia="宋体" w:cs="Times New Roman"/>
                <w:color w:val="auto"/>
                <w:sz w:val="24"/>
                <w:szCs w:val="24"/>
                <w:lang w:val="en-US" w:eastAsia="zh-CN"/>
              </w:rPr>
              <w:t>范围外耕地；在施工区设置警示牌，进行土壤、植被的保护宣传，并标明施工活动区，严格控制施工作业带，严禁进入非施工区活动，严禁破坏周边耕地。</w:t>
            </w:r>
          </w:p>
          <w:p w14:paraId="6B6DEDDE">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②施工过程</w:t>
            </w:r>
            <w:r>
              <w:rPr>
                <w:rFonts w:hint="eastAsia" w:cs="Times New Roman"/>
                <w:color w:val="auto"/>
                <w:sz w:val="24"/>
                <w:szCs w:val="24"/>
                <w:lang w:val="en-US" w:eastAsia="zh-CN"/>
              </w:rPr>
              <w:t>中应对表土进行剥离</w:t>
            </w:r>
            <w:r>
              <w:rPr>
                <w:rFonts w:hint="eastAsia" w:ascii="Times New Roman" w:hAnsi="Times New Roman" w:eastAsia="宋体" w:cs="Times New Roman"/>
                <w:color w:val="auto"/>
                <w:sz w:val="24"/>
                <w:szCs w:val="24"/>
                <w:lang w:val="en-US" w:eastAsia="zh-CN"/>
              </w:rPr>
              <w:t>，选择合适的位置集中堆放，用于</w:t>
            </w:r>
            <w:r>
              <w:rPr>
                <w:rFonts w:hint="eastAsia" w:cs="Times New Roman"/>
                <w:color w:val="auto"/>
                <w:sz w:val="24"/>
                <w:szCs w:val="24"/>
                <w:lang w:val="en-US" w:eastAsia="zh-CN"/>
              </w:rPr>
              <w:t>工程结束后植被恢复</w:t>
            </w:r>
            <w:r>
              <w:rPr>
                <w:rFonts w:hint="eastAsia" w:ascii="Times New Roman" w:hAnsi="Times New Roman" w:eastAsia="宋体" w:cs="Times New Roman"/>
                <w:color w:val="auto"/>
                <w:sz w:val="24"/>
                <w:szCs w:val="24"/>
                <w:lang w:val="en-US" w:eastAsia="zh-CN"/>
              </w:rPr>
              <w:t>。</w:t>
            </w:r>
          </w:p>
          <w:p w14:paraId="037ED99F">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③加强植被保护工作的宣传教育工作，提高施工人员对植物保护重要性的认识，规范施工人员行为，爱护花草树木，严禁砍伐、破坏施工区以外的作物和植被。</w:t>
            </w:r>
          </w:p>
          <w:p w14:paraId="516334CE">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④施工过程中，尽量减少对周边表土及植被的破坏，临时堆料应采取拦挡、覆盖。</w:t>
            </w:r>
          </w:p>
          <w:p w14:paraId="0DBEA6FD">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⑤优化施工工艺，开挖土方优先回填，若有少量减少弃土造成的土地资源的占用和地表植被破坏</w:t>
            </w:r>
            <w:r>
              <w:rPr>
                <w:rFonts w:hint="eastAsia" w:cs="Times New Roman"/>
                <w:color w:val="auto"/>
                <w:sz w:val="24"/>
                <w:szCs w:val="24"/>
                <w:lang w:val="en-US" w:eastAsia="zh-CN"/>
              </w:rPr>
              <w:t>。</w:t>
            </w:r>
          </w:p>
          <w:p w14:paraId="39E5AAE3">
            <w:pPr>
              <w:pStyle w:val="23"/>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baseline"/>
              <w:rPr>
                <w:rFonts w:hint="default" w:ascii="Times New Roman" w:hAnsi="Times New Roman" w:eastAsia="宋体" w:cs="Times New Roman"/>
                <w:b w:val="0"/>
                <w:bCs/>
                <w:color w:val="auto"/>
                <w:spacing w:val="0"/>
                <w:sz w:val="24"/>
                <w:szCs w:val="24"/>
                <w:lang w:val="en-US" w:eastAsia="zh-CN"/>
              </w:rPr>
            </w:pPr>
            <w:r>
              <w:rPr>
                <w:rFonts w:hint="eastAsia" w:cs="Times New Roman"/>
                <w:color w:val="auto"/>
                <w:sz w:val="24"/>
                <w:szCs w:val="24"/>
                <w:lang w:val="en-US" w:eastAsia="zh-CN"/>
              </w:rPr>
              <w:t>（4）</w:t>
            </w:r>
            <w:r>
              <w:rPr>
                <w:rFonts w:hint="default" w:ascii="Times New Roman" w:hAnsi="Times New Roman" w:eastAsia="宋体" w:cs="Times New Roman"/>
                <w:b w:val="0"/>
                <w:bCs/>
                <w:color w:val="auto"/>
                <w:spacing w:val="0"/>
                <w:sz w:val="24"/>
                <w:szCs w:val="24"/>
                <w:lang w:val="en-US" w:eastAsia="zh-CN"/>
              </w:rPr>
              <w:t>陕西汉中朱鹮国家级自然保护区</w:t>
            </w:r>
            <w:r>
              <w:rPr>
                <w:rFonts w:hint="eastAsia" w:ascii="Times New Roman" w:hAnsi="Times New Roman" w:cs="Times New Roman"/>
                <w:b w:val="0"/>
                <w:bCs/>
                <w:color w:val="auto"/>
                <w:spacing w:val="0"/>
                <w:sz w:val="24"/>
                <w:szCs w:val="24"/>
                <w:lang w:val="en-US" w:eastAsia="zh-CN"/>
              </w:rPr>
              <w:t>的保护措施</w:t>
            </w:r>
          </w:p>
          <w:p w14:paraId="7C1BB4AC">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①主动调整工期，在朱鹮繁殖活跃期（6-10月）减少或停止高噪音作业。</w:t>
            </w:r>
          </w:p>
          <w:p w14:paraId="16356E51">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②将所有活动严格限制在现有铁路永久用地范围内，严禁新增占地破坏生境。</w:t>
            </w:r>
          </w:p>
          <w:p w14:paraId="2422CCBE">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③采取洒水、遮盖等抑尘措施；做好施工组织设计减少水土流失；对施工人员进行环保培训，严禁惊扰和捕猎。</w:t>
            </w:r>
          </w:p>
          <w:p w14:paraId="42E16B37">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）水生生态恢复措施</w:t>
            </w:r>
          </w:p>
          <w:p w14:paraId="33D96CEA">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根据对项目区水生动物的现状调查可知，</w:t>
            </w:r>
            <w:r>
              <w:rPr>
                <w:rFonts w:hint="eastAsia" w:cs="Times New Roman"/>
                <w:bCs/>
                <w:color w:val="auto"/>
                <w:sz w:val="24"/>
                <w:szCs w:val="24"/>
                <w:highlight w:val="none"/>
                <w:lang w:val="en-US" w:eastAsia="zh-CN"/>
              </w:rPr>
              <w:t>项目区</w:t>
            </w:r>
            <w:r>
              <w:rPr>
                <w:rFonts w:hint="eastAsia" w:ascii="Times New Roman" w:hAnsi="Times New Roman" w:eastAsia="宋体" w:cs="Times New Roman"/>
                <w:bCs/>
                <w:color w:val="auto"/>
                <w:sz w:val="24"/>
                <w:szCs w:val="24"/>
                <w:highlight w:val="none"/>
                <w:lang w:val="en-US" w:eastAsia="zh-CN"/>
              </w:rPr>
              <w:t>河段无珍稀濒危保护类水生生物物种栖息。在施工过程中，施工单位应做到：</w:t>
            </w:r>
          </w:p>
          <w:p w14:paraId="7B730102">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①施工过程中若发现蛇、青蛙、泥鳅等应采取保护措施，禁止施工人员采取炸鱼、毒鱼、电鱼等毁灭性方式进行捕鱼。</w:t>
            </w:r>
          </w:p>
          <w:p w14:paraId="42CE55D5">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②施工中产生的土方应及时回填，在堆放过程中采取苫盖措施；生活垃圾应进行分类收集、清运处理，防止污染水体，影响水生生物生存。</w:t>
            </w:r>
          </w:p>
          <w:p w14:paraId="319A3DFB">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③施工期间施工废水处理后全部回用不外排，禁止在河道内存放砂子、水泥等施工材料以及施工机械维修，以免SS和石油类等污染物质进入地表水体，影响水生生物生存。</w:t>
            </w:r>
          </w:p>
          <w:p w14:paraId="7B949974">
            <w:pPr>
              <w:spacing w:line="360" w:lineRule="auto"/>
              <w:ind w:firstLine="480" w:firstLineChars="200"/>
              <w:rPr>
                <w:rFonts w:hint="eastAsia"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w:t>
            </w:r>
            <w:r>
              <w:rPr>
                <w:rFonts w:hint="eastAsia" w:cs="Times New Roman"/>
                <w:color w:val="auto"/>
                <w:sz w:val="24"/>
                <w:szCs w:val="24"/>
                <w:lang w:val="en-US" w:eastAsia="zh-CN"/>
              </w:rPr>
              <w:t>采取临时防护措施，在施工便道上设置雨水收集管道，防止下雨时路面洒落的渣土随雨水流入汉江；</w:t>
            </w:r>
          </w:p>
          <w:p w14:paraId="5EDF3277">
            <w:pPr>
              <w:spacing w:line="360" w:lineRule="auto"/>
              <w:ind w:firstLine="480" w:firstLineChars="200"/>
              <w:rPr>
                <w:rFonts w:hint="default"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⑤</w:t>
            </w:r>
            <w:r>
              <w:rPr>
                <w:rFonts w:hint="eastAsia" w:cs="Times New Roman"/>
                <w:color w:val="auto"/>
                <w:sz w:val="24"/>
                <w:szCs w:val="24"/>
                <w:lang w:val="en-US" w:eastAsia="zh-CN"/>
              </w:rPr>
              <w:t>施工结束后对施工便道和围堰进行拆除，并进行河道清理，确保河道畅通。</w:t>
            </w:r>
          </w:p>
          <w:p w14:paraId="28A5769A">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w:t>
            </w:r>
            <w:r>
              <w:rPr>
                <w:rFonts w:hint="eastAsia" w:cs="Times New Roman"/>
                <w:bCs/>
                <w:color w:val="auto"/>
                <w:sz w:val="24"/>
                <w:szCs w:val="24"/>
                <w:highlight w:val="none"/>
                <w:lang w:val="en-US" w:eastAsia="zh-CN"/>
              </w:rPr>
              <w:t>6</w:t>
            </w:r>
            <w:r>
              <w:rPr>
                <w:rFonts w:hint="eastAsia" w:ascii="Times New Roman" w:hAnsi="Times New Roman" w:eastAsia="宋体" w:cs="Times New Roman"/>
                <w:bCs/>
                <w:color w:val="auto"/>
                <w:sz w:val="24"/>
                <w:szCs w:val="24"/>
                <w:highlight w:val="none"/>
                <w:lang w:val="en-US" w:eastAsia="zh-CN"/>
              </w:rPr>
              <w:t>）临时用地生态恢复要求及措施</w:t>
            </w:r>
          </w:p>
          <w:p w14:paraId="2D6A2EC9">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本项目施工期临时占地</w:t>
            </w:r>
            <w:r>
              <w:rPr>
                <w:rFonts w:hint="eastAsia" w:cs="Times New Roman"/>
                <w:bCs/>
                <w:color w:val="auto"/>
                <w:sz w:val="24"/>
                <w:szCs w:val="24"/>
                <w:highlight w:val="none"/>
                <w:lang w:val="en-US" w:eastAsia="zh-CN"/>
              </w:rPr>
              <w:t>主要</w:t>
            </w:r>
            <w:r>
              <w:rPr>
                <w:rFonts w:hint="eastAsia" w:ascii="Times New Roman" w:hAnsi="Times New Roman" w:eastAsia="宋体" w:cs="Times New Roman"/>
                <w:bCs/>
                <w:color w:val="auto"/>
                <w:sz w:val="24"/>
                <w:szCs w:val="24"/>
                <w:highlight w:val="none"/>
                <w:lang w:val="en-US" w:eastAsia="zh-CN"/>
              </w:rPr>
              <w:t>为施工便道</w:t>
            </w:r>
            <w:r>
              <w:rPr>
                <w:rFonts w:hint="eastAsia" w:cs="Times New Roman"/>
                <w:bCs/>
                <w:color w:val="auto"/>
                <w:sz w:val="24"/>
                <w:szCs w:val="24"/>
                <w:highlight w:val="none"/>
                <w:lang w:val="en-US" w:eastAsia="zh-CN"/>
              </w:rPr>
              <w:t>和施工营地</w:t>
            </w:r>
            <w:r>
              <w:rPr>
                <w:rFonts w:hint="eastAsia" w:ascii="Times New Roman" w:hAnsi="Times New Roman" w:eastAsia="宋体" w:cs="Times New Roman"/>
                <w:bCs/>
                <w:color w:val="auto"/>
                <w:sz w:val="24"/>
                <w:szCs w:val="24"/>
                <w:highlight w:val="none"/>
                <w:lang w:val="en-US" w:eastAsia="zh-CN"/>
              </w:rPr>
              <w:t>，占地类型主要为</w:t>
            </w:r>
            <w:r>
              <w:rPr>
                <w:rFonts w:hint="eastAsia" w:cs="Times New Roman"/>
                <w:bCs/>
                <w:color w:val="auto"/>
                <w:sz w:val="24"/>
                <w:szCs w:val="24"/>
                <w:highlight w:val="none"/>
                <w:lang w:val="en-US" w:eastAsia="zh-CN"/>
              </w:rPr>
              <w:t>河流水面和未利用地</w:t>
            </w:r>
            <w:r>
              <w:rPr>
                <w:rFonts w:hint="eastAsia" w:ascii="Times New Roman" w:hAnsi="Times New Roman" w:eastAsia="宋体" w:cs="Times New Roman"/>
                <w:bCs/>
                <w:color w:val="auto"/>
                <w:sz w:val="24"/>
                <w:szCs w:val="24"/>
                <w:highlight w:val="none"/>
                <w:lang w:val="en-US" w:eastAsia="zh-CN"/>
              </w:rPr>
              <w:t>。施工期采取的生态环境保护措施：</w:t>
            </w:r>
            <w:r>
              <w:rPr>
                <w:rFonts w:hint="eastAsia" w:cs="Times New Roman"/>
                <w:bCs/>
                <w:color w:val="auto"/>
                <w:sz w:val="24"/>
                <w:szCs w:val="24"/>
                <w:highlight w:val="none"/>
                <w:lang w:val="en-US" w:eastAsia="zh-CN"/>
              </w:rPr>
              <w:t>施工便道和施工营地场地平整</w:t>
            </w:r>
            <w:r>
              <w:rPr>
                <w:rFonts w:hint="eastAsia" w:ascii="Times New Roman" w:hAnsi="Times New Roman" w:eastAsia="宋体" w:cs="Times New Roman"/>
                <w:bCs/>
                <w:color w:val="auto"/>
                <w:sz w:val="24"/>
                <w:szCs w:val="24"/>
                <w:highlight w:val="none"/>
                <w:lang w:val="en-US" w:eastAsia="zh-CN"/>
              </w:rPr>
              <w:t>时</w:t>
            </w:r>
            <w:r>
              <w:rPr>
                <w:rFonts w:hint="eastAsia" w:cs="Times New Roman"/>
                <w:bCs/>
                <w:color w:val="auto"/>
                <w:sz w:val="24"/>
                <w:szCs w:val="24"/>
                <w:highlight w:val="none"/>
                <w:lang w:val="en-US" w:eastAsia="zh-CN"/>
              </w:rPr>
              <w:t>，</w:t>
            </w:r>
            <w:r>
              <w:rPr>
                <w:rFonts w:hint="eastAsia" w:ascii="Times New Roman" w:hAnsi="Times New Roman" w:eastAsia="宋体" w:cs="Times New Roman"/>
                <w:bCs/>
                <w:color w:val="auto"/>
                <w:sz w:val="24"/>
                <w:szCs w:val="24"/>
                <w:highlight w:val="none"/>
                <w:lang w:val="en-US" w:eastAsia="zh-CN"/>
              </w:rPr>
              <w:t>将表</w:t>
            </w:r>
            <w:r>
              <w:rPr>
                <w:rFonts w:hint="eastAsia" w:cs="Times New Roman"/>
                <w:bCs/>
                <w:color w:val="auto"/>
                <w:sz w:val="24"/>
                <w:szCs w:val="24"/>
                <w:highlight w:val="none"/>
                <w:lang w:val="en-US" w:eastAsia="zh-CN"/>
              </w:rPr>
              <w:t>土</w:t>
            </w:r>
            <w:r>
              <w:rPr>
                <w:rFonts w:hint="eastAsia" w:ascii="Times New Roman" w:hAnsi="Times New Roman" w:eastAsia="宋体" w:cs="Times New Roman"/>
                <w:bCs/>
                <w:color w:val="auto"/>
                <w:sz w:val="24"/>
                <w:szCs w:val="24"/>
                <w:highlight w:val="none"/>
                <w:lang w:val="en-US" w:eastAsia="zh-CN"/>
              </w:rPr>
              <w:t>及下层土分开堆放，</w:t>
            </w:r>
            <w:r>
              <w:rPr>
                <w:rFonts w:hint="eastAsia" w:cs="Times New Roman"/>
                <w:bCs/>
                <w:color w:val="auto"/>
                <w:sz w:val="24"/>
                <w:szCs w:val="24"/>
                <w:highlight w:val="none"/>
                <w:lang w:val="en-US" w:eastAsia="zh-CN"/>
              </w:rPr>
              <w:t>主体工程</w:t>
            </w:r>
            <w:r>
              <w:rPr>
                <w:rFonts w:hint="eastAsia" w:ascii="Times New Roman" w:hAnsi="Times New Roman" w:eastAsia="宋体" w:cs="Times New Roman"/>
                <w:bCs/>
                <w:color w:val="auto"/>
                <w:sz w:val="24"/>
                <w:szCs w:val="24"/>
                <w:highlight w:val="none"/>
                <w:lang w:val="en-US" w:eastAsia="zh-CN"/>
              </w:rPr>
              <w:t>施工完</w:t>
            </w:r>
            <w:r>
              <w:rPr>
                <w:rFonts w:hint="eastAsia" w:cs="Times New Roman"/>
                <w:bCs/>
                <w:color w:val="auto"/>
                <w:sz w:val="24"/>
                <w:szCs w:val="24"/>
                <w:highlight w:val="none"/>
                <w:lang w:val="en-US" w:eastAsia="zh-CN"/>
              </w:rPr>
              <w:t>成</w:t>
            </w:r>
            <w:r>
              <w:rPr>
                <w:rFonts w:hint="eastAsia" w:ascii="Times New Roman" w:hAnsi="Times New Roman" w:eastAsia="宋体" w:cs="Times New Roman"/>
                <w:bCs/>
                <w:color w:val="auto"/>
                <w:sz w:val="24"/>
                <w:szCs w:val="24"/>
                <w:highlight w:val="none"/>
                <w:lang w:val="en-US" w:eastAsia="zh-CN"/>
              </w:rPr>
              <w:t>后，利用原表土平铺到施工扰动地面。施工结束后，将施工</w:t>
            </w:r>
            <w:r>
              <w:rPr>
                <w:rFonts w:hint="eastAsia" w:cs="Times New Roman"/>
                <w:bCs/>
                <w:color w:val="auto"/>
                <w:sz w:val="24"/>
                <w:szCs w:val="24"/>
                <w:highlight w:val="none"/>
                <w:lang w:val="en-US" w:eastAsia="zh-CN"/>
              </w:rPr>
              <w:t>营区</w:t>
            </w:r>
            <w:r>
              <w:rPr>
                <w:rFonts w:hint="eastAsia" w:ascii="Times New Roman" w:hAnsi="Times New Roman" w:eastAsia="宋体" w:cs="Times New Roman"/>
                <w:bCs/>
                <w:color w:val="auto"/>
                <w:sz w:val="24"/>
                <w:szCs w:val="24"/>
                <w:highlight w:val="none"/>
                <w:lang w:val="en-US" w:eastAsia="zh-CN"/>
              </w:rPr>
              <w:t>全部恢复为施工前地貌状态。对土地裸露的施工作业区，平整并覆盖原有熟化土壤，</w:t>
            </w:r>
            <w:r>
              <w:rPr>
                <w:rFonts w:hint="eastAsia" w:cs="Times New Roman"/>
                <w:bCs/>
                <w:color w:val="auto"/>
                <w:sz w:val="24"/>
                <w:szCs w:val="24"/>
                <w:highlight w:val="none"/>
                <w:lang w:val="en-US" w:eastAsia="zh-CN"/>
              </w:rPr>
              <w:t>洒水</w:t>
            </w:r>
            <w:r>
              <w:rPr>
                <w:rFonts w:hint="eastAsia" w:ascii="Times New Roman" w:hAnsi="Times New Roman" w:eastAsia="宋体" w:cs="Times New Roman"/>
                <w:bCs/>
                <w:color w:val="auto"/>
                <w:sz w:val="24"/>
                <w:szCs w:val="24"/>
                <w:highlight w:val="none"/>
                <w:lang w:val="en-US" w:eastAsia="zh-CN"/>
              </w:rPr>
              <w:t>湿润，恢复植被，采取生物措施固结土壤防止流失。生物措施</w:t>
            </w:r>
            <w:r>
              <w:rPr>
                <w:rFonts w:hint="eastAsia" w:cs="Times New Roman"/>
                <w:bCs/>
                <w:color w:val="auto"/>
                <w:sz w:val="24"/>
                <w:szCs w:val="24"/>
                <w:highlight w:val="none"/>
                <w:lang w:val="en-US" w:eastAsia="zh-CN"/>
              </w:rPr>
              <w:t>选用当地物种，能适应当地气候和土壤，与地区主体植被类型相协调，不会造成物种入侵危害，同时具备速生和水土保持功能</w:t>
            </w:r>
            <w:r>
              <w:rPr>
                <w:rFonts w:hint="eastAsia" w:ascii="Times New Roman" w:hAnsi="Times New Roman" w:eastAsia="宋体" w:cs="Times New Roman"/>
                <w:bCs/>
                <w:color w:val="auto"/>
                <w:sz w:val="24"/>
                <w:szCs w:val="24"/>
                <w:highlight w:val="none"/>
                <w:lang w:val="en-US" w:eastAsia="zh-CN"/>
              </w:rPr>
              <w:t>。</w:t>
            </w:r>
          </w:p>
          <w:p w14:paraId="3C70C2EF">
            <w:pPr>
              <w:spacing w:line="360" w:lineRule="auto"/>
              <w:ind w:firstLine="480" w:firstLineChars="200"/>
              <w:rPr>
                <w:rFonts w:hint="default"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①施工便道</w:t>
            </w:r>
          </w:p>
          <w:p w14:paraId="166504A8">
            <w:pPr>
              <w:spacing w:line="360" w:lineRule="auto"/>
              <w:ind w:firstLine="480" w:firstLineChars="200"/>
              <w:rPr>
                <w:rFonts w:hint="eastAsia" w:ascii="Times New Roman" w:hAnsi="Times New Roman" w:eastAsia="宋体" w:cs="Times New Roman"/>
                <w:bCs/>
                <w:color w:val="FF0000"/>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在施工便道修筑前，对影响区域进行清除杂物并平整后，把表土单独收集，施工结束后回覆至绿化区，施工便道拆除前对硬化层进行清除，然后进行土地疏松平整，恢复植被。</w:t>
            </w:r>
          </w:p>
          <w:p w14:paraId="6765769C">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②施工</w:t>
            </w:r>
            <w:r>
              <w:rPr>
                <w:rFonts w:hint="eastAsia" w:cs="Times New Roman"/>
                <w:bCs/>
                <w:color w:val="auto"/>
                <w:sz w:val="24"/>
                <w:szCs w:val="24"/>
                <w:highlight w:val="none"/>
                <w:lang w:val="en-US" w:eastAsia="zh-CN"/>
              </w:rPr>
              <w:t>营地</w:t>
            </w:r>
          </w:p>
          <w:p w14:paraId="02029595">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本项目施工</w:t>
            </w:r>
            <w:r>
              <w:rPr>
                <w:rFonts w:hint="eastAsia" w:cs="Times New Roman"/>
                <w:bCs/>
                <w:color w:val="auto"/>
                <w:sz w:val="24"/>
                <w:szCs w:val="24"/>
                <w:highlight w:val="none"/>
                <w:lang w:val="en-US" w:eastAsia="zh-CN"/>
              </w:rPr>
              <w:t>营地</w:t>
            </w:r>
            <w:r>
              <w:rPr>
                <w:rFonts w:hint="eastAsia" w:ascii="Times New Roman" w:hAnsi="Times New Roman" w:eastAsia="宋体" w:cs="Times New Roman"/>
                <w:bCs/>
                <w:color w:val="auto"/>
                <w:sz w:val="24"/>
                <w:szCs w:val="24"/>
                <w:highlight w:val="none"/>
                <w:lang w:val="en-US" w:eastAsia="zh-CN"/>
              </w:rPr>
              <w:t>内根据需要设置相应的</w:t>
            </w:r>
            <w:r>
              <w:rPr>
                <w:rFonts w:hint="eastAsia" w:cs="Times New Roman"/>
                <w:bCs/>
                <w:color w:val="auto"/>
                <w:sz w:val="24"/>
                <w:szCs w:val="24"/>
                <w:highlight w:val="none"/>
                <w:lang w:val="en-US" w:eastAsia="zh-CN"/>
              </w:rPr>
              <w:t>堆</w:t>
            </w:r>
            <w:r>
              <w:rPr>
                <w:rFonts w:hint="eastAsia" w:ascii="Times New Roman" w:hAnsi="Times New Roman" w:eastAsia="宋体" w:cs="Times New Roman"/>
                <w:bCs/>
                <w:color w:val="auto"/>
                <w:sz w:val="24"/>
                <w:szCs w:val="24"/>
                <w:highlight w:val="none"/>
                <w:lang w:val="en-US" w:eastAsia="zh-CN"/>
              </w:rPr>
              <w:t>料场、</w:t>
            </w:r>
            <w:r>
              <w:rPr>
                <w:rFonts w:hint="eastAsia" w:cs="Times New Roman"/>
                <w:bCs/>
                <w:color w:val="auto"/>
                <w:sz w:val="24"/>
                <w:szCs w:val="24"/>
                <w:highlight w:val="none"/>
                <w:lang w:val="en-US" w:eastAsia="zh-CN"/>
              </w:rPr>
              <w:t>施工机械停放场地</w:t>
            </w:r>
            <w:r>
              <w:rPr>
                <w:rFonts w:hint="eastAsia" w:ascii="Times New Roman" w:hAnsi="Times New Roman" w:eastAsia="宋体" w:cs="Times New Roman"/>
                <w:bCs/>
                <w:color w:val="auto"/>
                <w:sz w:val="24"/>
                <w:szCs w:val="24"/>
                <w:highlight w:val="none"/>
                <w:lang w:val="en-US" w:eastAsia="zh-CN"/>
              </w:rPr>
              <w:t>等，施工结束后，应清除并集中收集施工</w:t>
            </w:r>
            <w:r>
              <w:rPr>
                <w:rFonts w:hint="eastAsia" w:cs="Times New Roman"/>
                <w:bCs/>
                <w:color w:val="auto"/>
                <w:sz w:val="24"/>
                <w:szCs w:val="24"/>
                <w:highlight w:val="none"/>
                <w:lang w:val="en-US" w:eastAsia="zh-CN"/>
              </w:rPr>
              <w:t>营</w:t>
            </w:r>
            <w:r>
              <w:rPr>
                <w:rFonts w:hint="eastAsia" w:ascii="Times New Roman" w:hAnsi="Times New Roman" w:eastAsia="宋体" w:cs="Times New Roman"/>
                <w:bCs/>
                <w:color w:val="auto"/>
                <w:sz w:val="24"/>
                <w:szCs w:val="24"/>
                <w:highlight w:val="none"/>
                <w:lang w:val="en-US" w:eastAsia="zh-CN"/>
              </w:rPr>
              <w:t>地的杂物，同时对施工中践踏和机械碾压产生的硬化层进行清除，清除厚度0.1m，然后进行植树种草。</w:t>
            </w:r>
          </w:p>
          <w:p w14:paraId="37F5278C">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baseline"/>
              <w:rPr>
                <w:rFonts w:hint="default" w:ascii="Times New Roman" w:hAnsi="Times New Roman" w:eastAsia="宋体" w:cs="Times New Roman"/>
                <w:b/>
                <w:bCs w:val="0"/>
                <w:color w:val="auto"/>
                <w:spacing w:val="0"/>
                <w:sz w:val="24"/>
                <w:szCs w:val="21"/>
                <w:lang w:val="en-US" w:eastAsia="zh-CN"/>
              </w:rPr>
            </w:pPr>
            <w:r>
              <w:rPr>
                <w:rFonts w:hint="eastAsia" w:ascii="Times New Roman" w:hAnsi="Times New Roman" w:eastAsia="宋体" w:cs="Times New Roman"/>
                <w:b/>
                <w:bCs w:val="0"/>
                <w:color w:val="auto"/>
                <w:spacing w:val="0"/>
                <w:sz w:val="24"/>
                <w:szCs w:val="21"/>
                <w:lang w:val="en-US" w:eastAsia="zh-CN"/>
              </w:rPr>
              <w:t>2</w:t>
            </w:r>
            <w:r>
              <w:rPr>
                <w:rFonts w:hint="default" w:ascii="Times New Roman" w:hAnsi="Times New Roman" w:eastAsia="宋体" w:cs="Times New Roman"/>
                <w:b/>
                <w:bCs w:val="0"/>
                <w:color w:val="auto"/>
                <w:spacing w:val="0"/>
                <w:sz w:val="24"/>
                <w:szCs w:val="21"/>
                <w:lang w:val="en-US" w:eastAsia="zh-CN"/>
              </w:rPr>
              <w:t>、施工期大气污染防治措施</w:t>
            </w:r>
          </w:p>
          <w:p w14:paraId="5BC649F9">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bCs/>
                <w:color w:val="auto"/>
                <w:highlight w:val="none"/>
                <w:lang w:eastAsia="zh-CN"/>
              </w:rPr>
              <w:t>（</w:t>
            </w:r>
            <w:r>
              <w:rPr>
                <w:rFonts w:hint="default" w:ascii="Times New Roman" w:hAnsi="Times New Roman" w:eastAsia="宋体" w:cs="Times New Roman"/>
                <w:bCs/>
                <w:color w:val="auto"/>
                <w:highlight w:val="none"/>
                <w:lang w:val="en-US" w:eastAsia="zh-CN"/>
              </w:rPr>
              <w:t>1</w:t>
            </w:r>
            <w:r>
              <w:rPr>
                <w:rFonts w:hint="default" w:ascii="Times New Roman" w:hAnsi="Times New Roman" w:eastAsia="宋体" w:cs="Times New Roman"/>
                <w:bCs/>
                <w:color w:val="auto"/>
                <w:highlight w:val="none"/>
                <w:lang w:eastAsia="zh-CN"/>
              </w:rPr>
              <w:t>）</w:t>
            </w:r>
            <w:r>
              <w:rPr>
                <w:rFonts w:hint="default" w:ascii="Times New Roman" w:hAnsi="Times New Roman" w:eastAsia="宋体" w:cs="Times New Roman"/>
                <w:bCs/>
                <w:color w:val="auto"/>
                <w:highlight w:val="none"/>
                <w:lang w:val="en-US" w:eastAsia="zh-CN"/>
              </w:rPr>
              <w:t>扬尘</w:t>
            </w:r>
            <w:r>
              <w:rPr>
                <w:rFonts w:hint="eastAsia" w:ascii="Times New Roman" w:hAnsi="Times New Roman" w:eastAsia="宋体" w:cs="Times New Roman"/>
                <w:bCs/>
                <w:color w:val="auto"/>
                <w:highlight w:val="none"/>
                <w:lang w:val="en-US" w:eastAsia="zh-CN"/>
              </w:rPr>
              <w:t>防治措施</w:t>
            </w:r>
          </w:p>
          <w:p w14:paraId="66F44D44">
            <w:pPr>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施工扬尘</w:t>
            </w:r>
            <w:r>
              <w:rPr>
                <w:rFonts w:hint="eastAsia" w:cs="Times New Roman"/>
                <w:color w:val="auto"/>
                <w:sz w:val="24"/>
                <w:szCs w:val="24"/>
                <w:lang w:val="en-US" w:eastAsia="zh-CN"/>
              </w:rPr>
              <w:t>和车辆运输扬尘</w:t>
            </w:r>
            <w:r>
              <w:rPr>
                <w:rFonts w:hint="default" w:ascii="Times New Roman" w:hAnsi="Times New Roman" w:eastAsia="宋体" w:cs="Times New Roman"/>
                <w:color w:val="auto"/>
                <w:sz w:val="24"/>
                <w:szCs w:val="24"/>
              </w:rPr>
              <w:t>是施工期最主要的环境空气污染源，针对扬尘的来源，</w:t>
            </w:r>
            <w:r>
              <w:rPr>
                <w:rFonts w:hint="eastAsia" w:ascii="Times New Roman" w:hAnsi="Times New Roman" w:eastAsia="宋体" w:cs="Times New Roman"/>
                <w:color w:val="auto"/>
                <w:sz w:val="24"/>
                <w:szCs w:val="24"/>
                <w:lang w:val="en-US" w:eastAsia="zh-CN"/>
              </w:rPr>
              <w:t>为控制及治理扬尘污染，将</w:t>
            </w:r>
            <w:r>
              <w:rPr>
                <w:rFonts w:hint="default" w:ascii="Times New Roman" w:hAnsi="Times New Roman" w:eastAsia="宋体" w:cs="Times New Roman"/>
                <w:color w:val="auto"/>
                <w:sz w:val="24"/>
                <w:szCs w:val="24"/>
              </w:rPr>
              <w:t>扬尘对周边环境空气及环境敏感点的影响</w:t>
            </w:r>
            <w:r>
              <w:rPr>
                <w:rFonts w:hint="eastAsia" w:ascii="Times New Roman" w:hAnsi="Times New Roman" w:eastAsia="宋体" w:cs="Times New Roman"/>
                <w:color w:val="auto"/>
                <w:sz w:val="24"/>
                <w:szCs w:val="24"/>
                <w:lang w:val="en-US" w:eastAsia="zh-CN"/>
              </w:rPr>
              <w:t>降至最小。</w:t>
            </w:r>
            <w:r>
              <w:rPr>
                <w:rFonts w:hint="eastAsia" w:cs="Times New Roman"/>
                <w:color w:val="auto"/>
                <w:sz w:val="24"/>
                <w:szCs w:val="24"/>
                <w:lang w:val="en-US" w:eastAsia="zh-CN"/>
              </w:rPr>
              <w:t>结合</w:t>
            </w:r>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汉中市</w:t>
            </w:r>
            <w:r>
              <w:rPr>
                <w:rFonts w:hint="eastAsia" w:ascii="Times New Roman" w:hAnsi="Times New Roman" w:eastAsia="宋体" w:cs="Times New Roman"/>
                <w:color w:val="auto"/>
                <w:sz w:val="24"/>
                <w:szCs w:val="24"/>
                <w:lang w:eastAsia="zh-CN"/>
              </w:rPr>
              <w:t>大气污染治理专项行动方案》（</w:t>
            </w:r>
            <w:r>
              <w:rPr>
                <w:rFonts w:hint="eastAsia" w:ascii="Times New Roman" w:hAnsi="Times New Roman" w:eastAsia="宋体" w:cs="Times New Roman"/>
                <w:color w:val="auto"/>
                <w:sz w:val="24"/>
                <w:szCs w:val="24"/>
                <w:lang w:val="en-US" w:eastAsia="zh-CN"/>
              </w:rPr>
              <w:t>2023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2027</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中</w:t>
            </w:r>
            <w:r>
              <w:rPr>
                <w:rFonts w:hint="eastAsia" w:ascii="Times New Roman" w:hAnsi="Times New Roman" w:eastAsia="宋体" w:cs="Times New Roman"/>
                <w:color w:val="auto"/>
                <w:sz w:val="24"/>
                <w:szCs w:val="24"/>
                <w:lang w:eastAsia="zh-CN"/>
              </w:rPr>
              <w:t>相关要求，本次评价提出以下</w:t>
            </w:r>
            <w:r>
              <w:rPr>
                <w:rFonts w:hint="default" w:ascii="Times New Roman" w:hAnsi="Times New Roman" w:eastAsia="宋体" w:cs="Times New Roman"/>
                <w:color w:val="auto"/>
                <w:sz w:val="24"/>
                <w:szCs w:val="24"/>
              </w:rPr>
              <w:t>扬尘污染防治措施</w:t>
            </w:r>
            <w:r>
              <w:rPr>
                <w:rFonts w:hint="eastAsia" w:ascii="Times New Roman" w:hAnsi="Times New Roman" w:eastAsia="宋体" w:cs="Times New Roman"/>
                <w:color w:val="auto"/>
                <w:sz w:val="24"/>
                <w:szCs w:val="24"/>
                <w:lang w:val="en-US" w:eastAsia="zh-CN"/>
              </w:rPr>
              <w:t>要求</w:t>
            </w:r>
            <w:r>
              <w:rPr>
                <w:rFonts w:hint="eastAsia" w:ascii="Times New Roman" w:hAnsi="Times New Roman" w:eastAsia="宋体" w:cs="Times New Roman"/>
                <w:color w:val="auto"/>
                <w:sz w:val="24"/>
                <w:szCs w:val="24"/>
                <w:lang w:eastAsia="zh-CN"/>
              </w:rPr>
              <w:t>：</w:t>
            </w:r>
          </w:p>
          <w:p w14:paraId="6F8831B1">
            <w:pPr>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①严格落实施工工地扬尘管控责任，建立施工工地动态管理清单，在工地公示具体防治措施及负责人信息</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防治扬尘污染费用纳入工程造价</w:t>
            </w:r>
            <w:r>
              <w:rPr>
                <w:rFonts w:hint="eastAsia" w:ascii="Times New Roman" w:hAnsi="Times New Roman" w:eastAsia="宋体" w:cs="Times New Roman"/>
                <w:color w:val="auto"/>
                <w:sz w:val="24"/>
                <w:szCs w:val="24"/>
                <w:lang w:eastAsia="zh-CN"/>
              </w:rPr>
              <w:t>；</w:t>
            </w:r>
          </w:p>
          <w:p w14:paraId="4D9A3F80">
            <w:pPr>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②工程项目部必须制定空气重污染应急预案，政府发布重污染预警时，立即启动应急响应。工程项目部必须对进场所有作业人员进行工地扬尘预防治理知识培训，未经培训严禁上岗。施工工地工程概况标志牌必须公布扬尘投诉举报电话，举报电话应包括施工企业电话和主管部门电话</w:t>
            </w:r>
            <w:r>
              <w:rPr>
                <w:rFonts w:hint="eastAsia" w:cs="Times New Roman"/>
                <w:color w:val="auto"/>
                <w:sz w:val="24"/>
                <w:szCs w:val="24"/>
                <w:lang w:eastAsia="zh-CN"/>
              </w:rPr>
              <w:t>；</w:t>
            </w:r>
          </w:p>
          <w:p w14:paraId="4768025B">
            <w:pPr>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宋体" w:hAnsi="宋体" w:eastAsia="宋体" w:cs="宋体"/>
                <w:color w:val="auto"/>
                <w:sz w:val="24"/>
                <w:szCs w:val="24"/>
              </w:rPr>
              <w:t>③施工现场</w:t>
            </w:r>
            <w:r>
              <w:rPr>
                <w:rFonts w:hint="default" w:ascii="Times New Roman" w:hAnsi="Times New Roman" w:cs="Times New Roman"/>
                <w:color w:val="auto"/>
                <w:sz w:val="24"/>
                <w:szCs w:val="24"/>
              </w:rPr>
              <w:t>集中堆放的</w:t>
            </w:r>
            <w:r>
              <w:rPr>
                <w:rFonts w:hint="eastAsia" w:ascii="Times New Roman" w:hAnsi="Times New Roman" w:cs="Times New Roman"/>
                <w:color w:val="auto"/>
                <w:sz w:val="24"/>
                <w:szCs w:val="24"/>
                <w:lang w:eastAsia="zh-CN"/>
              </w:rPr>
              <w:t>剥离表土、</w:t>
            </w:r>
            <w:r>
              <w:rPr>
                <w:rFonts w:hint="default" w:ascii="Times New Roman" w:hAnsi="Times New Roman" w:cs="Times New Roman"/>
                <w:color w:val="auto"/>
                <w:sz w:val="24"/>
                <w:szCs w:val="24"/>
              </w:rPr>
              <w:t>土方</w:t>
            </w:r>
            <w:r>
              <w:rPr>
                <w:rFonts w:hint="eastAsia" w:cs="Times New Roman"/>
                <w:color w:val="auto"/>
                <w:sz w:val="24"/>
                <w:szCs w:val="24"/>
                <w:lang w:val="en-US" w:eastAsia="zh-CN"/>
              </w:rPr>
              <w:t>以及建筑材料</w:t>
            </w:r>
            <w:r>
              <w:rPr>
                <w:rFonts w:hint="default" w:ascii="Times New Roman" w:hAnsi="Times New Roman" w:cs="Times New Roman"/>
                <w:color w:val="auto"/>
                <w:sz w:val="24"/>
                <w:szCs w:val="24"/>
              </w:rPr>
              <w:t>必须覆盖，严禁裸露</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施工现场</w:t>
            </w:r>
            <w:r>
              <w:rPr>
                <w:rFonts w:hint="eastAsia" w:ascii="Times New Roman" w:hAnsi="Times New Roman" w:cs="Times New Roman"/>
                <w:color w:val="auto"/>
                <w:sz w:val="24"/>
                <w:szCs w:val="24"/>
                <w:lang w:eastAsia="zh-CN"/>
              </w:rPr>
              <w:t>运输物料车辆</w:t>
            </w:r>
            <w:r>
              <w:rPr>
                <w:rFonts w:hint="default" w:ascii="Times New Roman" w:hAnsi="Times New Roman" w:cs="Times New Roman"/>
                <w:color w:val="auto"/>
                <w:sz w:val="24"/>
                <w:szCs w:val="24"/>
              </w:rPr>
              <w:t>必须封闭或遮盖，严禁沿路遗漏或</w:t>
            </w:r>
            <w:r>
              <w:rPr>
                <w:rFonts w:hint="eastAsia" w:cs="Times New Roman"/>
                <w:color w:val="auto"/>
                <w:sz w:val="24"/>
                <w:szCs w:val="24"/>
                <w:lang w:eastAsia="zh-CN"/>
              </w:rPr>
              <w:t>抛洒</w:t>
            </w: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施工现场配备洒水车辆，建立洒水清扫制度或雾化降尘措施，并有专人负责</w:t>
            </w:r>
            <w:r>
              <w:rPr>
                <w:rFonts w:hint="eastAsia" w:ascii="Times New Roman" w:hAnsi="Times New Roman" w:cs="Times New Roman"/>
                <w:color w:val="auto"/>
                <w:sz w:val="24"/>
                <w:szCs w:val="24"/>
                <w:lang w:eastAsia="zh-CN"/>
              </w:rPr>
              <w:t>；</w:t>
            </w:r>
          </w:p>
          <w:p w14:paraId="455BD39E">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Cs/>
                <w:color w:val="auto"/>
                <w:sz w:val="24"/>
                <w:szCs w:val="24"/>
                <w:highlight w:val="none"/>
              </w:rPr>
            </w:pPr>
            <w:r>
              <w:rPr>
                <w:rFonts w:hint="eastAsia" w:ascii="宋体" w:hAnsi="宋体" w:eastAsia="宋体" w:cs="宋体"/>
                <w:color w:val="auto"/>
                <w:sz w:val="24"/>
                <w:szCs w:val="24"/>
              </w:rPr>
              <w:t>④</w:t>
            </w:r>
            <w:r>
              <w:rPr>
                <w:rFonts w:hint="default" w:ascii="Times New Roman" w:hAnsi="Times New Roman" w:eastAsia="宋体" w:cs="Times New Roman"/>
                <w:bCs/>
                <w:color w:val="auto"/>
                <w:sz w:val="24"/>
                <w:szCs w:val="24"/>
                <w:highlight w:val="none"/>
              </w:rPr>
              <w:t>土石方工程作业时应当采取洒水抑尘措施，缩短起尘操作时间；气象预报风速达到四级以上或者出现重污染天气状况时，应当停止土石方作业以及其他可能产生扬尘污染的施工；</w:t>
            </w:r>
          </w:p>
          <w:p w14:paraId="4087F540">
            <w:pPr>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宋体" w:hAnsi="宋体" w:eastAsia="宋体" w:cs="宋体"/>
                <w:color w:val="auto"/>
                <w:sz w:val="24"/>
                <w:szCs w:val="24"/>
              </w:rPr>
              <w:t>⑤</w:t>
            </w:r>
            <w:r>
              <w:rPr>
                <w:rFonts w:hint="default" w:ascii="Times New Roman" w:hAnsi="Times New Roman" w:cs="Times New Roman"/>
                <w:color w:val="auto"/>
                <w:sz w:val="24"/>
                <w:szCs w:val="24"/>
              </w:rPr>
              <w:t>施工期应视天气及作业强度对施工场地、运输路面定期洒水抑尘，保持路面清洁度</w:t>
            </w:r>
            <w:r>
              <w:rPr>
                <w:rFonts w:hint="eastAsia" w:ascii="Times New Roman" w:hAnsi="Times New Roman" w:cs="Times New Roman"/>
                <w:color w:val="auto"/>
                <w:sz w:val="24"/>
                <w:szCs w:val="24"/>
                <w:lang w:eastAsia="zh-CN"/>
              </w:rPr>
              <w:t>；</w:t>
            </w:r>
          </w:p>
          <w:p w14:paraId="7AA0156B">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highlight w:val="none"/>
                <w:lang w:val="en-US" w:eastAsia="zh-CN"/>
              </w:rPr>
              <w:t>经</w:t>
            </w:r>
            <w:r>
              <w:rPr>
                <w:rFonts w:hint="default" w:ascii="Times New Roman" w:hAnsi="Times New Roman" w:cs="Times New Roman"/>
                <w:color w:val="auto"/>
                <w:sz w:val="24"/>
                <w:szCs w:val="24"/>
                <w:highlight w:val="none"/>
              </w:rPr>
              <w:t>采取以上措施，施工扬尘</w:t>
            </w:r>
            <w:r>
              <w:rPr>
                <w:rFonts w:hint="eastAsia" w:ascii="Times New Roman" w:hAnsi="Times New Roman" w:cs="Times New Roman"/>
                <w:color w:val="auto"/>
                <w:sz w:val="24"/>
                <w:szCs w:val="24"/>
                <w:highlight w:val="none"/>
                <w:lang w:val="en-US" w:eastAsia="zh-CN"/>
              </w:rPr>
              <w:t>可</w:t>
            </w:r>
            <w:r>
              <w:rPr>
                <w:rFonts w:hint="default" w:ascii="Times New Roman" w:hAnsi="Times New Roman" w:cs="Times New Roman"/>
                <w:color w:val="auto"/>
                <w:sz w:val="24"/>
                <w:szCs w:val="24"/>
                <w:highlight w:val="none"/>
              </w:rPr>
              <w:t>满足《施工场界扬尘排放限值》（DB61/1078-2017）要求</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且</w:t>
            </w:r>
            <w:r>
              <w:rPr>
                <w:rFonts w:hint="default" w:ascii="Times New Roman" w:hAnsi="Times New Roman" w:cs="Times New Roman"/>
                <w:color w:val="auto"/>
                <w:sz w:val="24"/>
                <w:szCs w:val="24"/>
                <w:highlight w:val="none"/>
              </w:rPr>
              <w:t>施工期造成的扬尘污染是</w:t>
            </w:r>
            <w:r>
              <w:rPr>
                <w:rFonts w:hint="default" w:ascii="Times New Roman" w:hAnsi="Times New Roman" w:cs="Times New Roman"/>
                <w:color w:val="auto"/>
                <w:sz w:val="24"/>
                <w:highlight w:val="none"/>
              </w:rPr>
              <w:t>短期的、局部的影响，工程竣工后即可消失</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szCs w:val="24"/>
                <w:highlight w:val="none"/>
              </w:rPr>
              <w:t>对周围</w:t>
            </w:r>
            <w:r>
              <w:rPr>
                <w:rFonts w:hint="default" w:ascii="Times New Roman" w:hAnsi="Times New Roman" w:cs="Times New Roman"/>
                <w:color w:val="auto"/>
                <w:sz w:val="24"/>
                <w:szCs w:val="24"/>
                <w:highlight w:val="none"/>
                <w:lang w:val="en-US" w:eastAsia="zh-CN"/>
              </w:rPr>
              <w:t>大气</w:t>
            </w:r>
            <w:r>
              <w:rPr>
                <w:rFonts w:hint="default" w:ascii="Times New Roman" w:hAnsi="Times New Roman" w:cs="Times New Roman"/>
                <w:color w:val="auto"/>
                <w:sz w:val="24"/>
                <w:szCs w:val="24"/>
                <w:highlight w:val="none"/>
              </w:rPr>
              <w:t>环境影响较小。</w:t>
            </w:r>
          </w:p>
          <w:p w14:paraId="793551B8">
            <w:pPr>
              <w:pStyle w:val="3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rPr>
              <w:t>施工机械及车辆废气</w:t>
            </w:r>
            <w:r>
              <w:rPr>
                <w:rFonts w:hint="eastAsia" w:ascii="Times New Roman" w:hAnsi="Times New Roman" w:cs="Times New Roman"/>
                <w:color w:val="auto"/>
                <w:sz w:val="24"/>
                <w:szCs w:val="24"/>
                <w:highlight w:val="none"/>
                <w:lang w:eastAsia="zh-CN"/>
              </w:rPr>
              <w:t>防治措施</w:t>
            </w:r>
          </w:p>
          <w:p w14:paraId="6A065767">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施工机械燃油废气、各种物料运输车辆汽车尾气的主要污染物</w:t>
            </w:r>
            <w:r>
              <w:rPr>
                <w:rFonts w:hint="default" w:ascii="Times New Roman" w:hAnsi="Times New Roman" w:eastAsia="宋体" w:cs="Times New Roman"/>
                <w:color w:val="auto"/>
                <w:kern w:val="0"/>
                <w:sz w:val="24"/>
                <w:szCs w:val="24"/>
                <w:highlight w:val="none"/>
                <w:lang w:val="en-US" w:eastAsia="zh-CN" w:bidi="ar"/>
              </w:rPr>
              <w:t>为CO、NO</w:t>
            </w:r>
            <w:r>
              <w:rPr>
                <w:rFonts w:hint="eastAsia" w:ascii="Times New Roman" w:hAnsi="Times New Roman" w:eastAsia="宋体" w:cs="Times New Roman"/>
                <w:color w:val="auto"/>
                <w:kern w:val="0"/>
                <w:sz w:val="24"/>
                <w:szCs w:val="24"/>
                <w:highlight w:val="none"/>
                <w:lang w:val="en-US" w:eastAsia="zh-CN" w:bidi="ar"/>
              </w:rPr>
              <w:t>x</w:t>
            </w:r>
            <w:r>
              <w:rPr>
                <w:rFonts w:hint="default" w:ascii="Times New Roman" w:hAnsi="Times New Roman" w:eastAsia="宋体" w:cs="Times New Roman"/>
                <w:color w:val="auto"/>
                <w:kern w:val="0"/>
                <w:sz w:val="24"/>
                <w:szCs w:val="24"/>
                <w:highlight w:val="none"/>
                <w:lang w:val="en-US" w:eastAsia="zh-CN" w:bidi="ar"/>
              </w:rPr>
              <w:t>及THC等，会对施工作业点附近的大气环境造成一定程度的污染。施</w:t>
            </w:r>
            <w:r>
              <w:rPr>
                <w:rFonts w:hint="eastAsia" w:ascii="宋体" w:hAnsi="宋体" w:eastAsia="宋体" w:cs="宋体"/>
                <w:color w:val="auto"/>
                <w:kern w:val="0"/>
                <w:sz w:val="24"/>
                <w:szCs w:val="24"/>
                <w:highlight w:val="none"/>
                <w:lang w:val="en-US" w:eastAsia="zh-CN" w:bidi="ar"/>
              </w:rPr>
              <w:t>工期应尽可能使用气动和电动设备及机械，或使用优质燃油</w:t>
            </w:r>
            <w:r>
              <w:rPr>
                <w:rFonts w:hint="eastAsia" w:ascii="宋体" w:hAnsi="宋体" w:cs="宋体"/>
                <w:color w:val="auto"/>
                <w:kern w:val="0"/>
                <w:sz w:val="24"/>
                <w:szCs w:val="24"/>
                <w:highlight w:val="none"/>
                <w:lang w:val="en-US" w:eastAsia="zh-CN" w:bidi="ar"/>
              </w:rPr>
              <w:t>，同时适当提高新能源运输车辆在工程施工过程中的占比</w:t>
            </w:r>
            <w:r>
              <w:rPr>
                <w:rFonts w:hint="eastAsia" w:ascii="宋体" w:hAnsi="宋体" w:eastAsia="宋体" w:cs="宋体"/>
                <w:color w:val="auto"/>
                <w:kern w:val="0"/>
                <w:sz w:val="24"/>
                <w:szCs w:val="24"/>
                <w:highlight w:val="none"/>
                <w:lang w:val="en-US" w:eastAsia="zh-CN" w:bidi="ar"/>
              </w:rPr>
              <w:t>；加强施工车辆运行管理与维护保养以减轻燃油废气及汽车尾气排放对施工区域环境空气质量的影响。</w:t>
            </w:r>
          </w:p>
          <w:p w14:paraId="04D5DBCD">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综上，</w:t>
            </w:r>
            <w:r>
              <w:rPr>
                <w:rFonts w:hint="eastAsia" w:ascii="宋体" w:hAnsi="宋体" w:cs="宋体"/>
                <w:color w:val="auto"/>
                <w:kern w:val="0"/>
                <w:sz w:val="24"/>
                <w:szCs w:val="24"/>
                <w:highlight w:val="none"/>
                <w:lang w:val="en-US" w:eastAsia="zh-CN" w:bidi="ar"/>
              </w:rPr>
              <w:t>工程</w:t>
            </w:r>
            <w:r>
              <w:rPr>
                <w:rFonts w:hint="eastAsia" w:ascii="宋体" w:hAnsi="宋体" w:eastAsia="宋体" w:cs="宋体"/>
                <w:color w:val="auto"/>
                <w:kern w:val="0"/>
                <w:sz w:val="24"/>
                <w:szCs w:val="24"/>
                <w:highlight w:val="none"/>
                <w:lang w:val="en-US" w:eastAsia="zh-CN" w:bidi="ar"/>
              </w:rPr>
              <w:t>施工期采取的大气污染防治措施可行。</w:t>
            </w:r>
          </w:p>
          <w:p w14:paraId="1C6A5BDD">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baseline"/>
              <w:rPr>
                <w:rFonts w:hint="default" w:ascii="Times New Roman" w:hAnsi="Times New Roman" w:eastAsia="宋体" w:cs="Times New Roman"/>
                <w:b/>
                <w:bCs w:val="0"/>
                <w:color w:val="auto"/>
                <w:spacing w:val="0"/>
                <w:sz w:val="24"/>
                <w:szCs w:val="21"/>
                <w:lang w:val="en-US" w:eastAsia="zh-CN"/>
              </w:rPr>
            </w:pPr>
            <w:r>
              <w:rPr>
                <w:rFonts w:hint="eastAsia" w:ascii="Times New Roman" w:hAnsi="Times New Roman" w:eastAsia="宋体" w:cs="Times New Roman"/>
                <w:b/>
                <w:bCs w:val="0"/>
                <w:color w:val="auto"/>
                <w:spacing w:val="0"/>
                <w:sz w:val="24"/>
                <w:szCs w:val="21"/>
                <w:lang w:val="en-US" w:eastAsia="zh-CN"/>
              </w:rPr>
              <w:t>3、</w:t>
            </w:r>
            <w:r>
              <w:rPr>
                <w:rFonts w:hint="default" w:ascii="Times New Roman" w:hAnsi="Times New Roman" w:eastAsia="宋体" w:cs="Times New Roman"/>
                <w:b/>
                <w:bCs w:val="0"/>
                <w:color w:val="auto"/>
                <w:spacing w:val="0"/>
                <w:sz w:val="24"/>
                <w:szCs w:val="21"/>
                <w:lang w:val="en-US" w:eastAsia="zh-CN"/>
              </w:rPr>
              <w:t>施工期废水污染防治措施</w:t>
            </w:r>
          </w:p>
          <w:p w14:paraId="5E2DE9D1">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（1）施工废水</w:t>
            </w:r>
            <w:r>
              <w:rPr>
                <w:rFonts w:hint="eastAsia" w:ascii="Times New Roman" w:hAnsi="Times New Roman" w:cs="Times New Roman"/>
                <w:color w:val="auto"/>
                <w:kern w:val="0"/>
                <w:sz w:val="24"/>
                <w:szCs w:val="24"/>
                <w:highlight w:val="none"/>
                <w:lang w:val="en-US" w:eastAsia="zh-CN" w:bidi="ar"/>
              </w:rPr>
              <w:t>防治措施</w:t>
            </w:r>
          </w:p>
          <w:p w14:paraId="0D541E6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施工废水</w:t>
            </w:r>
            <w:r>
              <w:rPr>
                <w:rFonts w:hint="eastAsia" w:ascii="Times New Roman" w:hAnsi="Times New Roman" w:cs="Times New Roman"/>
                <w:color w:val="auto"/>
                <w:kern w:val="0"/>
                <w:sz w:val="24"/>
                <w:szCs w:val="24"/>
                <w:highlight w:val="none"/>
                <w:lang w:val="en-US" w:eastAsia="zh-CN" w:bidi="ar"/>
              </w:rPr>
              <w:t>为</w:t>
            </w:r>
            <w:r>
              <w:rPr>
                <w:rFonts w:hint="eastAsia" w:ascii="宋体" w:hAnsi="宋体" w:eastAsia="宋体" w:cs="宋体"/>
                <w:color w:val="auto"/>
                <w:kern w:val="0"/>
                <w:sz w:val="24"/>
                <w:szCs w:val="24"/>
                <w:highlight w:val="none"/>
                <w:lang w:val="en-US" w:eastAsia="zh-CN" w:bidi="ar"/>
              </w:rPr>
              <w:t>施工</w:t>
            </w:r>
            <w:r>
              <w:rPr>
                <w:rFonts w:hint="default" w:ascii="宋体" w:hAnsi="宋体" w:eastAsia="宋体" w:cs="宋体"/>
                <w:color w:val="auto"/>
                <w:kern w:val="0"/>
                <w:sz w:val="24"/>
                <w:szCs w:val="24"/>
                <w:highlight w:val="none"/>
                <w:lang w:val="en-US" w:eastAsia="zh-CN" w:bidi="ar"/>
              </w:rPr>
              <w:t>机械</w:t>
            </w:r>
            <w:r>
              <w:rPr>
                <w:rFonts w:hint="eastAsia" w:ascii="宋体" w:hAnsi="宋体" w:cs="宋体"/>
                <w:color w:val="auto"/>
                <w:kern w:val="0"/>
                <w:sz w:val="24"/>
                <w:szCs w:val="24"/>
                <w:highlight w:val="none"/>
                <w:lang w:val="en-US" w:eastAsia="zh-CN" w:bidi="ar"/>
              </w:rPr>
              <w:t>设备冲洗</w:t>
            </w:r>
            <w:r>
              <w:rPr>
                <w:rFonts w:hint="default" w:ascii="宋体" w:hAnsi="宋体" w:eastAsia="宋体" w:cs="宋体"/>
                <w:color w:val="auto"/>
                <w:kern w:val="0"/>
                <w:sz w:val="24"/>
                <w:szCs w:val="24"/>
                <w:highlight w:val="none"/>
                <w:lang w:val="en-US" w:eastAsia="zh-CN" w:bidi="ar"/>
              </w:rPr>
              <w:t>废水，</w:t>
            </w:r>
            <w:r>
              <w:rPr>
                <w:rFonts w:hint="default" w:ascii="Times New Roman" w:hAnsi="Times New Roman" w:eastAsia="宋体" w:cs="Times New Roman"/>
                <w:color w:val="auto"/>
                <w:sz w:val="24"/>
                <w:szCs w:val="24"/>
                <w:lang w:val="en-US" w:eastAsia="zh-CN"/>
              </w:rPr>
              <w:t>评价要求建设单位在施工</w:t>
            </w:r>
            <w:r>
              <w:rPr>
                <w:rFonts w:hint="eastAsia" w:cs="Times New Roman"/>
                <w:color w:val="auto"/>
                <w:sz w:val="24"/>
                <w:szCs w:val="24"/>
                <w:lang w:val="en-US" w:eastAsia="zh-CN"/>
              </w:rPr>
              <w:t>营地</w:t>
            </w:r>
            <w:r>
              <w:rPr>
                <w:rFonts w:hint="default" w:ascii="Times New Roman" w:hAnsi="Times New Roman" w:eastAsia="宋体" w:cs="Times New Roman"/>
                <w:color w:val="auto"/>
                <w:sz w:val="24"/>
                <w:szCs w:val="24"/>
                <w:lang w:val="en-US" w:eastAsia="zh-CN"/>
              </w:rPr>
              <w:t>设置临时沉淀池，</w:t>
            </w:r>
            <w:r>
              <w:rPr>
                <w:rFonts w:hint="eastAsia" w:ascii="Times New Roman" w:hAnsi="Times New Roman" w:eastAsia="宋体" w:cs="Times New Roman"/>
                <w:color w:val="auto"/>
                <w:sz w:val="24"/>
                <w:szCs w:val="24"/>
                <w:lang w:val="en-US" w:eastAsia="zh-CN"/>
              </w:rPr>
              <w:t>经</w:t>
            </w:r>
            <w:r>
              <w:rPr>
                <w:rFonts w:hint="default" w:ascii="Times New Roman" w:hAnsi="Times New Roman" w:eastAsia="宋体" w:cs="Times New Roman"/>
                <w:color w:val="auto"/>
                <w:sz w:val="24"/>
                <w:szCs w:val="24"/>
                <w:lang w:val="en-US" w:eastAsia="zh-CN"/>
              </w:rPr>
              <w:t>沉淀池处理后回用于施工场地洒水抑尘，不外排</w:t>
            </w:r>
            <w:r>
              <w:rPr>
                <w:rFonts w:hint="default" w:ascii="宋体" w:hAnsi="宋体" w:eastAsia="宋体" w:cs="宋体"/>
                <w:color w:val="auto"/>
                <w:kern w:val="0"/>
                <w:sz w:val="24"/>
                <w:szCs w:val="24"/>
                <w:highlight w:val="none"/>
                <w:lang w:val="en-US" w:eastAsia="zh-CN" w:bidi="ar"/>
              </w:rPr>
              <w:t>。</w:t>
            </w:r>
          </w:p>
          <w:p w14:paraId="5800F454">
            <w:pPr>
              <w:pStyle w:val="16"/>
              <w:keepNext w:val="0"/>
              <w:keepLines w:val="0"/>
              <w:pageBreakBefore w:val="0"/>
              <w:widowControl w:val="0"/>
              <w:kinsoku/>
              <w:wordWrap/>
              <w:overflowPunct/>
              <w:topLinePunct w:val="0"/>
              <w:autoSpaceDE/>
              <w:autoSpaceDN/>
              <w:bidi w:val="0"/>
              <w:adjustRightInd/>
              <w:snapToGrid/>
              <w:spacing w:after="0" w:line="36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rPr>
              <w:t>生活污水</w:t>
            </w:r>
            <w:r>
              <w:rPr>
                <w:rFonts w:hint="eastAsia" w:cs="Times New Roman"/>
                <w:color w:val="auto"/>
                <w:sz w:val="24"/>
                <w:lang w:val="en-US" w:eastAsia="zh-CN"/>
              </w:rPr>
              <w:t>防治措施</w:t>
            </w:r>
          </w:p>
          <w:p w14:paraId="728FBFF7">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eastAsia="zh-CN"/>
              </w:rPr>
              <w:t>施工人员</w:t>
            </w:r>
            <w:r>
              <w:rPr>
                <w:rFonts w:hint="eastAsia" w:cs="Times New Roman"/>
                <w:color w:val="auto"/>
                <w:kern w:val="0"/>
                <w:sz w:val="24"/>
                <w:szCs w:val="24"/>
                <w:lang w:val="en-US" w:eastAsia="zh-CN"/>
              </w:rPr>
              <w:t>食宿均依托联合村村民设施，根据调查，工程区周边有大量农地可消纳本工程产生的生活污水，因此工程生活污水</w:t>
            </w:r>
            <w:r>
              <w:rPr>
                <w:rFonts w:hint="eastAsia" w:ascii="Times New Roman" w:hAnsi="Times New Roman" w:eastAsia="宋体" w:cs="Times New Roman"/>
                <w:color w:val="auto"/>
                <w:kern w:val="0"/>
                <w:sz w:val="24"/>
                <w:szCs w:val="24"/>
                <w:lang w:val="en-US" w:eastAsia="zh-CN"/>
              </w:rPr>
              <w:t>依托</w:t>
            </w:r>
            <w:r>
              <w:rPr>
                <w:rFonts w:hint="eastAsia" w:cs="Times New Roman"/>
                <w:color w:val="auto"/>
                <w:kern w:val="0"/>
                <w:sz w:val="24"/>
                <w:szCs w:val="24"/>
                <w:lang w:val="en-US" w:eastAsia="zh-CN"/>
              </w:rPr>
              <w:t>联合村</w:t>
            </w:r>
            <w:r>
              <w:rPr>
                <w:rFonts w:hint="eastAsia" w:ascii="Times New Roman" w:hAnsi="Times New Roman" w:eastAsia="宋体" w:cs="Times New Roman"/>
                <w:color w:val="auto"/>
                <w:kern w:val="0"/>
                <w:sz w:val="24"/>
                <w:szCs w:val="24"/>
                <w:lang w:val="en-US" w:eastAsia="zh-CN"/>
              </w:rPr>
              <w:t>村民自建化粪池处理后，由农户清掏用于周边农地施肥，综合利用</w:t>
            </w:r>
            <w:r>
              <w:rPr>
                <w:rFonts w:hint="eastAsia" w:cs="Times New Roman"/>
                <w:color w:val="auto"/>
                <w:kern w:val="0"/>
                <w:sz w:val="24"/>
                <w:szCs w:val="24"/>
                <w:lang w:val="en-US" w:eastAsia="zh-CN"/>
              </w:rPr>
              <w:t>可行</w:t>
            </w:r>
            <w:r>
              <w:rPr>
                <w:rFonts w:hint="eastAsia" w:ascii="Times New Roman" w:hAnsi="Times New Roman" w:eastAsia="宋体" w:cs="Times New Roman"/>
                <w:color w:val="auto"/>
                <w:kern w:val="0"/>
                <w:sz w:val="24"/>
                <w:szCs w:val="24"/>
                <w:lang w:val="en-US" w:eastAsia="zh-CN"/>
              </w:rPr>
              <w:t>。</w:t>
            </w:r>
          </w:p>
          <w:p w14:paraId="4012C36A">
            <w:pPr>
              <w:spacing w:line="360" w:lineRule="auto"/>
              <w:ind w:firstLine="480" w:firstLineChars="200"/>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（3）涉水工程泥浆废水污染防治措施</w:t>
            </w:r>
          </w:p>
          <w:p w14:paraId="6A44B6FE">
            <w:pPr>
              <w:spacing w:line="360" w:lineRule="auto"/>
              <w:ind w:firstLine="480" w:firstLineChars="200"/>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项目施工期在桥梁两侧设置泥浆池，涉水工程采用钢板桩围堰和草袋围堰的方式施工，围堰内产生的泥浆废水，以及钻孔桩施工过程中产生的泥浆废水，应采用泥浆泵抽至泥浆池沉淀处理后回用于施工便道洒水等，不得直接排入汉江</w:t>
            </w:r>
            <w:r>
              <w:rPr>
                <w:rFonts w:hint="eastAsia" w:ascii="Times New Roman" w:hAnsi="Times New Roman" w:eastAsia="宋体" w:cs="Times New Roman"/>
                <w:color w:val="auto"/>
                <w:kern w:val="0"/>
                <w:sz w:val="24"/>
                <w:szCs w:val="24"/>
                <w:lang w:val="en-US" w:eastAsia="zh-CN"/>
              </w:rPr>
              <w:t>。</w:t>
            </w:r>
          </w:p>
          <w:p w14:paraId="47F76E42">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baseline"/>
              <w:rPr>
                <w:rFonts w:hint="default" w:ascii="Times New Roman" w:hAnsi="Times New Roman" w:eastAsia="宋体" w:cs="Times New Roman"/>
                <w:b/>
                <w:bCs w:val="0"/>
                <w:color w:val="auto"/>
                <w:spacing w:val="0"/>
                <w:sz w:val="24"/>
                <w:szCs w:val="21"/>
                <w:lang w:val="en-US" w:eastAsia="zh-CN"/>
              </w:rPr>
            </w:pPr>
            <w:r>
              <w:rPr>
                <w:rFonts w:hint="eastAsia" w:ascii="Times New Roman" w:hAnsi="Times New Roman" w:eastAsia="宋体" w:cs="Times New Roman"/>
                <w:b/>
                <w:bCs w:val="0"/>
                <w:color w:val="auto"/>
                <w:spacing w:val="0"/>
                <w:sz w:val="24"/>
                <w:szCs w:val="21"/>
                <w:lang w:val="en-US" w:eastAsia="zh-CN"/>
              </w:rPr>
              <w:t>4、</w:t>
            </w:r>
            <w:r>
              <w:rPr>
                <w:rFonts w:hint="default" w:ascii="Times New Roman" w:hAnsi="Times New Roman" w:eastAsia="宋体" w:cs="Times New Roman"/>
                <w:b/>
                <w:bCs w:val="0"/>
                <w:color w:val="auto"/>
                <w:spacing w:val="0"/>
                <w:sz w:val="24"/>
                <w:szCs w:val="21"/>
                <w:lang w:val="en-US" w:eastAsia="zh-CN"/>
              </w:rPr>
              <w:t>施工期噪声污染防治措施</w:t>
            </w:r>
          </w:p>
          <w:p w14:paraId="5A6EDF36">
            <w:pPr>
              <w:spacing w:line="360" w:lineRule="auto"/>
              <w:ind w:firstLine="480" w:firstLineChars="20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val="en-US" w:eastAsia="zh-CN"/>
              </w:rPr>
              <w:t>根据现场调查，施工</w:t>
            </w:r>
            <w:r>
              <w:rPr>
                <w:rFonts w:hint="eastAsia" w:cs="Times New Roman"/>
                <w:color w:val="auto"/>
                <w:kern w:val="0"/>
                <w:sz w:val="24"/>
                <w:szCs w:val="24"/>
                <w:lang w:val="en-US" w:eastAsia="zh-CN"/>
              </w:rPr>
              <w:t>区</w:t>
            </w:r>
            <w:r>
              <w:rPr>
                <w:rFonts w:hint="eastAsia" w:cs="Times New Roman"/>
                <w:color w:val="auto"/>
                <w:sz w:val="24"/>
                <w:szCs w:val="24"/>
                <w:lang w:val="en-US" w:eastAsia="zh-CN"/>
              </w:rPr>
              <w:t>周边</w:t>
            </w:r>
            <w:r>
              <w:rPr>
                <w:rFonts w:hint="eastAsia" w:ascii="Times New Roman" w:hAnsi="Times New Roman" w:cs="Times New Roman"/>
                <w:color w:val="auto"/>
                <w:sz w:val="24"/>
                <w:szCs w:val="24"/>
                <w:lang w:eastAsia="zh-CN"/>
              </w:rPr>
              <w:t>敏感目标主要为周边住户</w:t>
            </w:r>
            <w:r>
              <w:rPr>
                <w:rFonts w:hint="eastAsia" w:ascii="Times New Roman" w:hAnsi="Times New Roman" w:cs="Times New Roman"/>
                <w:bCs/>
                <w:color w:val="auto"/>
                <w:sz w:val="24"/>
                <w:lang w:eastAsia="zh-CN"/>
              </w:rPr>
              <w:t>，为最大限度降低施工噪声</w:t>
            </w:r>
            <w:r>
              <w:rPr>
                <w:rFonts w:hint="default" w:ascii="Times New Roman" w:hAnsi="Times New Roman" w:cs="Times New Roman"/>
                <w:color w:val="auto"/>
                <w:kern w:val="0"/>
                <w:sz w:val="24"/>
                <w:szCs w:val="24"/>
              </w:rPr>
              <w:t>对</w:t>
            </w:r>
            <w:r>
              <w:rPr>
                <w:rFonts w:hint="eastAsia" w:cs="Times New Roman"/>
                <w:color w:val="auto"/>
                <w:kern w:val="0"/>
                <w:sz w:val="24"/>
                <w:szCs w:val="24"/>
                <w:lang w:val="en-US" w:eastAsia="zh-CN"/>
              </w:rPr>
              <w:t>周边住户</w:t>
            </w:r>
            <w:r>
              <w:rPr>
                <w:rFonts w:hint="default" w:ascii="Times New Roman" w:hAnsi="Times New Roman" w:cs="Times New Roman"/>
                <w:color w:val="auto"/>
                <w:kern w:val="0"/>
                <w:sz w:val="24"/>
                <w:szCs w:val="24"/>
              </w:rPr>
              <w:t>日常生活的影响</w:t>
            </w:r>
            <w:r>
              <w:rPr>
                <w:rFonts w:hint="eastAsia" w:ascii="Times New Roman" w:hAnsi="Times New Roman" w:cs="Times New Roman"/>
                <w:color w:val="auto"/>
                <w:kern w:val="0"/>
                <w:sz w:val="24"/>
                <w:szCs w:val="24"/>
                <w:lang w:eastAsia="zh-CN"/>
              </w:rPr>
              <w:t>，环评要求</w:t>
            </w:r>
            <w:r>
              <w:rPr>
                <w:rFonts w:hint="eastAsia" w:cs="Times New Roman"/>
                <w:color w:val="auto"/>
                <w:kern w:val="0"/>
                <w:sz w:val="24"/>
                <w:szCs w:val="24"/>
                <w:lang w:val="en-US" w:eastAsia="zh-CN"/>
              </w:rPr>
              <w:t>建设单位</w:t>
            </w:r>
            <w:r>
              <w:rPr>
                <w:rFonts w:hint="eastAsia" w:ascii="Times New Roman" w:hAnsi="Times New Roman" w:cs="Times New Roman"/>
                <w:color w:val="auto"/>
                <w:kern w:val="0"/>
                <w:sz w:val="24"/>
                <w:szCs w:val="24"/>
                <w:lang w:eastAsia="zh-CN"/>
              </w:rPr>
              <w:t>应做到：</w:t>
            </w:r>
          </w:p>
          <w:p w14:paraId="41807A18">
            <w:pPr>
              <w:spacing w:line="360" w:lineRule="auto"/>
              <w:ind w:firstLine="480" w:firstLineChars="20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（1）合理使用施工设备，科学布置施工场所，尽量远离声环境保护目标。选用设备时优先选择噪声较低的设备，禁止噪声超标的机械进场，高噪声设备尽量分散分时使用。</w:t>
            </w:r>
          </w:p>
          <w:p w14:paraId="2D8DB7B4">
            <w:pPr>
              <w:spacing w:line="360" w:lineRule="auto"/>
              <w:ind w:firstLine="480" w:firstLineChars="20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（2）加强设备的维护和保养，保持机械润滑，减少运行噪声；振动大的机械设备使用减振机座降低噪声，确保设备处于良好的运转状态，杜绝因设备不正常运转而产生的高噪声现象。</w:t>
            </w:r>
          </w:p>
          <w:p w14:paraId="574D68A0">
            <w:pPr>
              <w:spacing w:line="360" w:lineRule="auto"/>
              <w:ind w:firstLine="480" w:firstLineChars="20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（3）合理安排施工时间，禁止夜间施工（22∶00～06∶00）。</w:t>
            </w:r>
          </w:p>
          <w:p w14:paraId="20EC826C">
            <w:pPr>
              <w:spacing w:line="360" w:lineRule="auto"/>
              <w:ind w:firstLine="480" w:firstLineChars="20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（4）为减少施工期间的材料运输、敲击、人的喊叫等施工活动声源，要求施工单位通过文明施工、加强有效管理加以缓解。</w:t>
            </w:r>
          </w:p>
          <w:p w14:paraId="5B4F55DC">
            <w:pPr>
              <w:spacing w:line="360" w:lineRule="auto"/>
              <w:ind w:firstLine="480" w:firstLineChars="200"/>
              <w:rPr>
                <w:rFonts w:hint="eastAsia" w:ascii="Times New Roman" w:hAnsi="Times New Roman" w:cs="Times New Roman"/>
                <w:color w:val="auto"/>
                <w:kern w:val="0"/>
                <w:sz w:val="24"/>
                <w:szCs w:val="24"/>
                <w:lang w:eastAsia="zh-CN"/>
              </w:rPr>
            </w:pPr>
            <w:r>
              <w:rPr>
                <w:rFonts w:hint="eastAsia" w:ascii="Times New Roman" w:hAnsi="Times New Roman" w:cs="Times New Roman"/>
                <w:color w:val="auto"/>
                <w:kern w:val="0"/>
                <w:sz w:val="24"/>
                <w:szCs w:val="24"/>
                <w:lang w:eastAsia="zh-CN"/>
              </w:rPr>
              <w:t>（5）加强对施工运输车辆的管理，通过居民区路段时控制车速、禁止鸣笛，减少对运输路线沿线声环境敏感点的影响。</w:t>
            </w:r>
          </w:p>
          <w:p w14:paraId="32056F84">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baseline"/>
              <w:rPr>
                <w:rFonts w:hint="eastAsia"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采取上述措施后，可有效降低施工期噪声对周围声环境的影响，</w:t>
            </w:r>
            <w:r>
              <w:rPr>
                <w:rFonts w:hint="eastAsia" w:cs="Times New Roman"/>
                <w:color w:val="auto"/>
                <w:kern w:val="0"/>
                <w:sz w:val="24"/>
                <w:szCs w:val="24"/>
                <w:lang w:val="en-US" w:eastAsia="zh-CN"/>
              </w:rPr>
              <w:t>工程</w:t>
            </w:r>
            <w:r>
              <w:rPr>
                <w:rFonts w:hint="eastAsia" w:ascii="Times New Roman" w:hAnsi="Times New Roman" w:eastAsia="宋体" w:cs="Times New Roman"/>
                <w:color w:val="auto"/>
                <w:kern w:val="0"/>
                <w:sz w:val="24"/>
                <w:szCs w:val="24"/>
                <w:lang w:val="en-US" w:eastAsia="zh-CN"/>
              </w:rPr>
              <w:t>施工期采取的噪声污染防治措施可行。</w:t>
            </w:r>
          </w:p>
          <w:p w14:paraId="14EF7BF8">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baseline"/>
              <w:rPr>
                <w:rFonts w:hint="default" w:ascii="Times New Roman" w:hAnsi="Times New Roman" w:eastAsia="宋体" w:cs="Times New Roman"/>
                <w:b/>
                <w:bCs w:val="0"/>
                <w:color w:val="auto"/>
                <w:spacing w:val="0"/>
                <w:sz w:val="24"/>
                <w:szCs w:val="21"/>
                <w:lang w:val="en-US" w:eastAsia="zh-CN"/>
              </w:rPr>
            </w:pPr>
            <w:r>
              <w:rPr>
                <w:rFonts w:hint="eastAsia" w:ascii="Times New Roman" w:hAnsi="Times New Roman" w:eastAsia="宋体" w:cs="Times New Roman"/>
                <w:b/>
                <w:bCs w:val="0"/>
                <w:color w:val="auto"/>
                <w:spacing w:val="0"/>
                <w:sz w:val="24"/>
                <w:szCs w:val="21"/>
                <w:lang w:val="en-US" w:eastAsia="zh-CN"/>
              </w:rPr>
              <w:t>5、</w:t>
            </w:r>
            <w:r>
              <w:rPr>
                <w:rFonts w:hint="default" w:ascii="Times New Roman" w:hAnsi="Times New Roman" w:eastAsia="宋体" w:cs="Times New Roman"/>
                <w:b/>
                <w:bCs w:val="0"/>
                <w:color w:val="auto"/>
                <w:spacing w:val="0"/>
                <w:sz w:val="24"/>
                <w:szCs w:val="21"/>
                <w:lang w:val="en-US" w:eastAsia="zh-CN"/>
              </w:rPr>
              <w:t>施工期固体废物</w:t>
            </w:r>
            <w:r>
              <w:rPr>
                <w:rFonts w:hint="eastAsia" w:ascii="Times New Roman" w:hAnsi="Times New Roman" w:eastAsia="宋体" w:cs="Times New Roman"/>
                <w:b/>
                <w:bCs w:val="0"/>
                <w:color w:val="auto"/>
                <w:spacing w:val="0"/>
                <w:sz w:val="24"/>
                <w:szCs w:val="21"/>
                <w:lang w:val="en-US" w:eastAsia="zh-CN"/>
              </w:rPr>
              <w:t>防治</w:t>
            </w:r>
            <w:r>
              <w:rPr>
                <w:rFonts w:hint="default" w:ascii="Times New Roman" w:hAnsi="Times New Roman" w:eastAsia="宋体" w:cs="Times New Roman"/>
                <w:b/>
                <w:bCs w:val="0"/>
                <w:color w:val="auto"/>
                <w:spacing w:val="0"/>
                <w:sz w:val="24"/>
                <w:szCs w:val="21"/>
                <w:lang w:val="en-US" w:eastAsia="zh-CN"/>
              </w:rPr>
              <w:t>措施</w:t>
            </w:r>
          </w:p>
          <w:p w14:paraId="6D7C3EE3">
            <w:pPr>
              <w:spacing w:line="360" w:lineRule="auto"/>
              <w:ind w:firstLine="480" w:firstLineChars="200"/>
              <w:rPr>
                <w:rFonts w:hint="eastAsia" w:ascii="Times New Roman" w:hAnsi="Times New Roman" w:eastAsia="宋体" w:cs="Times New Roman"/>
                <w:color w:val="auto"/>
                <w:kern w:val="0"/>
                <w:sz w:val="24"/>
                <w:szCs w:val="24"/>
                <w:lang w:eastAsia="zh-CN"/>
              </w:rPr>
            </w:pPr>
            <w:r>
              <w:rPr>
                <w:rFonts w:hint="eastAsia" w:ascii="Times New Roman" w:hAnsi="Times New Roman" w:eastAsia="宋体" w:cs="Times New Roman"/>
                <w:color w:val="auto"/>
                <w:kern w:val="0"/>
                <w:sz w:val="24"/>
                <w:szCs w:val="24"/>
                <w:lang w:eastAsia="zh-CN"/>
              </w:rPr>
              <w:t>为减少固体废弃物堆积对周边环境的影响，</w:t>
            </w:r>
            <w:r>
              <w:rPr>
                <w:rFonts w:hint="eastAsia" w:cs="Times New Roman"/>
                <w:color w:val="auto"/>
                <w:kern w:val="0"/>
                <w:sz w:val="24"/>
                <w:szCs w:val="24"/>
                <w:lang w:val="en-US" w:eastAsia="zh-CN"/>
              </w:rPr>
              <w:t>提出</w:t>
            </w:r>
            <w:r>
              <w:rPr>
                <w:rFonts w:hint="default" w:ascii="Times New Roman" w:hAnsi="Times New Roman" w:eastAsia="宋体" w:cs="Times New Roman"/>
                <w:color w:val="auto"/>
                <w:kern w:val="0"/>
                <w:sz w:val="24"/>
                <w:szCs w:val="24"/>
                <w:lang w:eastAsia="zh-CN"/>
              </w:rPr>
              <w:t>以下污染防治</w:t>
            </w:r>
            <w:r>
              <w:rPr>
                <w:rFonts w:hint="eastAsia" w:cs="Times New Roman"/>
                <w:color w:val="auto"/>
                <w:kern w:val="0"/>
                <w:sz w:val="24"/>
                <w:szCs w:val="24"/>
                <w:lang w:val="en-US" w:eastAsia="zh-CN"/>
              </w:rPr>
              <w:t>措施</w:t>
            </w:r>
            <w:r>
              <w:rPr>
                <w:rFonts w:hint="eastAsia" w:ascii="Times New Roman" w:hAnsi="Times New Roman" w:eastAsia="宋体" w:cs="Times New Roman"/>
                <w:color w:val="auto"/>
                <w:kern w:val="0"/>
                <w:sz w:val="24"/>
                <w:szCs w:val="24"/>
                <w:lang w:eastAsia="zh-CN"/>
              </w:rPr>
              <w:t>：</w:t>
            </w:r>
          </w:p>
          <w:p w14:paraId="71133FEF">
            <w:pPr>
              <w:spacing w:line="360" w:lineRule="auto"/>
              <w:ind w:firstLine="480" w:firstLineChars="200"/>
              <w:rPr>
                <w:rFonts w:hint="default" w:ascii="Times New Roman" w:hAnsi="Times New Roman" w:eastAsia="宋体" w:cs="Times New Roman"/>
                <w:color w:val="FF0000"/>
                <w:kern w:val="0"/>
                <w:sz w:val="24"/>
                <w:szCs w:val="24"/>
                <w:lang w:eastAsia="zh-CN"/>
              </w:rPr>
            </w:pPr>
            <w:r>
              <w:rPr>
                <w:rFonts w:hint="eastAsia" w:cs="Times New Roman"/>
                <w:color w:val="auto"/>
                <w:kern w:val="0"/>
                <w:sz w:val="24"/>
                <w:szCs w:val="24"/>
                <w:lang w:eastAsia="zh-CN"/>
              </w:rPr>
              <w:t>（</w:t>
            </w:r>
            <w:r>
              <w:rPr>
                <w:rFonts w:hint="eastAsia" w:cs="Times New Roman"/>
                <w:color w:val="auto"/>
                <w:kern w:val="0"/>
                <w:sz w:val="24"/>
                <w:szCs w:val="24"/>
                <w:lang w:val="en-US" w:eastAsia="zh-CN"/>
              </w:rPr>
              <w:t>1</w:t>
            </w:r>
            <w:r>
              <w:rPr>
                <w:rFonts w:hint="eastAsia" w:cs="Times New Roman"/>
                <w:color w:val="auto"/>
                <w:kern w:val="0"/>
                <w:sz w:val="24"/>
                <w:szCs w:val="24"/>
                <w:lang w:eastAsia="zh-CN"/>
              </w:rPr>
              <w:t>）</w:t>
            </w:r>
            <w:r>
              <w:rPr>
                <w:rFonts w:hint="eastAsia" w:cs="Times New Roman"/>
                <w:color w:val="auto"/>
                <w:sz w:val="24"/>
                <w:szCs w:val="24"/>
                <w:highlight w:val="none"/>
                <w:lang w:val="en-US" w:eastAsia="zh-CN"/>
              </w:rPr>
              <w:t>施工过程中可做到土石方平衡，无弃方产生，泥浆废水沉淀产生的泥渣大部分为河沙，全部回填至河道低洼处</w:t>
            </w:r>
            <w:r>
              <w:rPr>
                <w:rFonts w:hint="default" w:ascii="Times New Roman" w:hAnsi="Times New Roman" w:eastAsia="宋体" w:cs="Times New Roman"/>
                <w:color w:val="auto"/>
                <w:kern w:val="0"/>
                <w:sz w:val="24"/>
                <w:szCs w:val="24"/>
                <w:lang w:eastAsia="zh-CN"/>
              </w:rPr>
              <w:t>。</w:t>
            </w:r>
          </w:p>
          <w:p w14:paraId="24457CC3">
            <w:pPr>
              <w:spacing w:line="360" w:lineRule="auto"/>
              <w:ind w:firstLine="480" w:firstLineChars="200"/>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eastAsia="zh-CN"/>
              </w:rPr>
              <w:t>（</w:t>
            </w:r>
            <w:r>
              <w:rPr>
                <w:rFonts w:hint="eastAsia" w:cs="Times New Roman"/>
                <w:color w:val="auto"/>
                <w:kern w:val="0"/>
                <w:sz w:val="24"/>
                <w:szCs w:val="24"/>
                <w:lang w:val="en-US" w:eastAsia="zh-CN"/>
              </w:rPr>
              <w:t>2</w:t>
            </w:r>
            <w:r>
              <w:rPr>
                <w:rFonts w:hint="eastAsia" w:cs="Times New Roman"/>
                <w:color w:val="auto"/>
                <w:kern w:val="0"/>
                <w:sz w:val="24"/>
                <w:szCs w:val="24"/>
                <w:lang w:eastAsia="zh-CN"/>
              </w:rPr>
              <w:t>）</w:t>
            </w:r>
            <w:r>
              <w:rPr>
                <w:rFonts w:hint="eastAsia" w:ascii="Times New Roman" w:hAnsi="Times New Roman" w:eastAsia="宋体" w:cs="Times New Roman"/>
                <w:color w:val="auto"/>
                <w:kern w:val="0"/>
                <w:sz w:val="24"/>
                <w:szCs w:val="24"/>
                <w:lang w:eastAsia="zh-CN"/>
              </w:rPr>
              <w:t>生活垃圾存放设施远离</w:t>
            </w:r>
            <w:r>
              <w:rPr>
                <w:rFonts w:hint="eastAsia" w:cs="Times New Roman"/>
                <w:color w:val="auto"/>
                <w:kern w:val="0"/>
                <w:sz w:val="24"/>
                <w:szCs w:val="24"/>
                <w:lang w:val="en-US" w:eastAsia="zh-CN"/>
              </w:rPr>
              <w:t>河道</w:t>
            </w:r>
            <w:r>
              <w:rPr>
                <w:rFonts w:hint="eastAsia" w:ascii="Times New Roman" w:hAnsi="Times New Roman" w:eastAsia="宋体" w:cs="Times New Roman"/>
                <w:color w:val="auto"/>
                <w:kern w:val="0"/>
                <w:sz w:val="24"/>
                <w:szCs w:val="24"/>
                <w:lang w:eastAsia="zh-CN"/>
              </w:rPr>
              <w:t>，并且分类收集，及时送往垃圾收集站点处置，以免滋生蚊蝇；</w:t>
            </w:r>
            <w:r>
              <w:rPr>
                <w:rFonts w:hint="eastAsia" w:cs="Times New Roman"/>
                <w:color w:val="auto"/>
                <w:kern w:val="0"/>
                <w:sz w:val="24"/>
                <w:szCs w:val="24"/>
                <w:lang w:val="en-US" w:eastAsia="zh-CN"/>
              </w:rPr>
              <w:t>地表剥离的表土单独堆存，施工结束后用于植被恢复</w:t>
            </w:r>
            <w:r>
              <w:rPr>
                <w:rFonts w:hint="default" w:ascii="Times New Roman" w:hAnsi="Times New Roman" w:eastAsia="宋体" w:cs="Times New Roman"/>
                <w:color w:val="auto"/>
                <w:sz w:val="24"/>
                <w:szCs w:val="24"/>
                <w:highlight w:val="none"/>
                <w:lang w:val="en-US" w:eastAsia="zh-CN"/>
              </w:rPr>
              <w:t>。</w:t>
            </w:r>
          </w:p>
          <w:p w14:paraId="65DFEB93">
            <w:pPr>
              <w:spacing w:line="360" w:lineRule="auto"/>
              <w:ind w:firstLine="480" w:firstLineChars="200"/>
              <w:rPr>
                <w:rFonts w:hint="eastAsia" w:ascii="Times New Roman" w:hAnsi="Times New Roman" w:eastAsia="宋体" w:cs="Times New Roman"/>
                <w:color w:val="auto"/>
                <w:kern w:val="0"/>
                <w:sz w:val="24"/>
                <w:szCs w:val="24"/>
                <w:lang w:eastAsia="zh-CN"/>
              </w:rPr>
            </w:pPr>
            <w:r>
              <w:rPr>
                <w:rFonts w:hint="eastAsia" w:cs="Times New Roman"/>
                <w:color w:val="auto"/>
                <w:kern w:val="0"/>
                <w:sz w:val="24"/>
                <w:szCs w:val="24"/>
                <w:lang w:eastAsia="zh-CN"/>
              </w:rPr>
              <w:t>（</w:t>
            </w:r>
            <w:r>
              <w:rPr>
                <w:rFonts w:hint="eastAsia" w:cs="Times New Roman"/>
                <w:color w:val="auto"/>
                <w:kern w:val="0"/>
                <w:sz w:val="24"/>
                <w:szCs w:val="24"/>
                <w:lang w:val="en-US" w:eastAsia="zh-CN"/>
              </w:rPr>
              <w:t>3</w:t>
            </w:r>
            <w:r>
              <w:rPr>
                <w:rFonts w:hint="eastAsia" w:cs="Times New Roman"/>
                <w:color w:val="auto"/>
                <w:kern w:val="0"/>
                <w:sz w:val="24"/>
                <w:szCs w:val="24"/>
                <w:lang w:eastAsia="zh-CN"/>
              </w:rPr>
              <w:t>）</w:t>
            </w:r>
            <w:r>
              <w:rPr>
                <w:rFonts w:hint="eastAsia" w:cs="Times New Roman"/>
                <w:color w:val="auto"/>
                <w:kern w:val="0"/>
                <w:sz w:val="24"/>
                <w:szCs w:val="24"/>
                <w:lang w:val="en-US" w:eastAsia="zh-CN"/>
              </w:rPr>
              <w:t>建筑</w:t>
            </w:r>
            <w:r>
              <w:rPr>
                <w:rFonts w:hint="eastAsia" w:cs="Times New Roman"/>
                <w:color w:val="auto"/>
                <w:kern w:val="0"/>
                <w:sz w:val="24"/>
                <w:szCs w:val="24"/>
                <w:lang w:eastAsia="zh-CN"/>
              </w:rPr>
              <w:t>垃圾</w:t>
            </w:r>
          </w:p>
          <w:p w14:paraId="542B6608">
            <w:pPr>
              <w:spacing w:line="360" w:lineRule="auto"/>
              <w:ind w:firstLine="480" w:firstLineChars="200"/>
              <w:rPr>
                <w:rFonts w:hint="eastAsia" w:ascii="Times New Roman" w:hAnsi="Times New Roman" w:eastAsia="宋体" w:cs="宋体"/>
                <w:color w:val="auto"/>
                <w:kern w:val="0"/>
                <w:sz w:val="24"/>
                <w:szCs w:val="24"/>
                <w:lang w:eastAsia="zh-CN" w:bidi="ar"/>
              </w:rPr>
            </w:pPr>
            <w:r>
              <w:rPr>
                <w:rFonts w:hint="eastAsia" w:cs="宋体"/>
                <w:color w:val="auto"/>
                <w:kern w:val="0"/>
                <w:sz w:val="24"/>
                <w:szCs w:val="24"/>
                <w:lang w:eastAsia="zh-CN" w:bidi="ar"/>
              </w:rPr>
              <w:t>建筑垃圾</w:t>
            </w:r>
            <w:r>
              <w:rPr>
                <w:rFonts w:hint="eastAsia" w:cs="宋体"/>
                <w:color w:val="auto"/>
                <w:kern w:val="0"/>
                <w:sz w:val="24"/>
                <w:szCs w:val="24"/>
                <w:lang w:val="en-US" w:eastAsia="zh-CN" w:bidi="ar"/>
              </w:rPr>
              <w:t>能回收利用的用于道路路基回填等，不能回收利用的集中收集，</w:t>
            </w:r>
            <w:r>
              <w:rPr>
                <w:rFonts w:hint="eastAsia" w:cs="宋体"/>
                <w:color w:val="auto"/>
                <w:kern w:val="0"/>
                <w:sz w:val="24"/>
                <w:szCs w:val="24"/>
                <w:lang w:eastAsia="zh-CN" w:bidi="ar"/>
              </w:rPr>
              <w:t>及时清运至建筑垃圾场处置。</w:t>
            </w:r>
          </w:p>
          <w:p w14:paraId="685A2D92">
            <w:pPr>
              <w:spacing w:line="360" w:lineRule="auto"/>
              <w:ind w:firstLine="480" w:firstLineChars="200"/>
              <w:rPr>
                <w:rFonts w:hint="eastAsia" w:ascii="Times New Roman" w:hAnsi="Times New Roman" w:eastAsia="宋体" w:cs="Times New Roman"/>
                <w:color w:val="auto"/>
                <w:kern w:val="0"/>
                <w:sz w:val="24"/>
                <w:szCs w:val="24"/>
                <w:lang w:eastAsia="zh-CN"/>
              </w:rPr>
            </w:pPr>
            <w:r>
              <w:rPr>
                <w:rFonts w:hint="eastAsia" w:cs="宋体"/>
                <w:color w:val="auto"/>
                <w:kern w:val="0"/>
                <w:sz w:val="24"/>
                <w:szCs w:val="24"/>
                <w:lang w:eastAsia="zh-CN" w:bidi="ar"/>
              </w:rPr>
              <w:t>（</w:t>
            </w:r>
            <w:r>
              <w:rPr>
                <w:rFonts w:hint="eastAsia" w:cs="宋体"/>
                <w:color w:val="auto"/>
                <w:kern w:val="0"/>
                <w:sz w:val="24"/>
                <w:szCs w:val="24"/>
                <w:lang w:val="en-US" w:eastAsia="zh-CN" w:bidi="ar"/>
              </w:rPr>
              <w:t>4</w:t>
            </w:r>
            <w:r>
              <w:rPr>
                <w:rFonts w:hint="eastAsia" w:cs="宋体"/>
                <w:color w:val="auto"/>
                <w:kern w:val="0"/>
                <w:sz w:val="24"/>
                <w:szCs w:val="24"/>
                <w:lang w:eastAsia="zh-CN" w:bidi="ar"/>
              </w:rPr>
              <w:t>）</w:t>
            </w:r>
            <w:r>
              <w:rPr>
                <w:rFonts w:hint="eastAsia" w:ascii="Times New Roman" w:hAnsi="Times New Roman" w:eastAsia="宋体" w:cs="Times New Roman"/>
                <w:color w:val="auto"/>
                <w:kern w:val="0"/>
                <w:sz w:val="24"/>
                <w:szCs w:val="24"/>
                <w:lang w:eastAsia="zh-CN"/>
              </w:rPr>
              <w:t>河道内严禁堆放任何</w:t>
            </w:r>
            <w:r>
              <w:rPr>
                <w:rFonts w:hint="eastAsia" w:cs="Times New Roman"/>
                <w:color w:val="auto"/>
                <w:kern w:val="0"/>
                <w:sz w:val="24"/>
                <w:szCs w:val="24"/>
                <w:lang w:val="en-US" w:eastAsia="zh-CN"/>
              </w:rPr>
              <w:t>固体废物</w:t>
            </w:r>
            <w:r>
              <w:rPr>
                <w:rFonts w:hint="eastAsia" w:cs="Times New Roman"/>
                <w:color w:val="auto"/>
                <w:kern w:val="0"/>
                <w:sz w:val="24"/>
                <w:szCs w:val="24"/>
                <w:lang w:eastAsia="zh-CN"/>
              </w:rPr>
              <w:t>。</w:t>
            </w:r>
          </w:p>
          <w:p w14:paraId="35F5565A">
            <w:pPr>
              <w:spacing w:line="360" w:lineRule="auto"/>
              <w:ind w:firstLine="480" w:firstLineChars="200"/>
              <w:rPr>
                <w:rFonts w:hint="eastAsia"/>
                <w:color w:val="auto"/>
                <w:lang w:val="en-US" w:eastAsia="zh-CN"/>
              </w:rPr>
            </w:pPr>
            <w:r>
              <w:rPr>
                <w:rFonts w:hint="eastAsia" w:ascii="Times New Roman" w:hAnsi="Times New Roman" w:eastAsia="宋体" w:cs="Times New Roman"/>
                <w:color w:val="auto"/>
                <w:kern w:val="0"/>
                <w:sz w:val="24"/>
                <w:szCs w:val="24"/>
                <w:lang w:eastAsia="zh-CN"/>
              </w:rPr>
              <w:t>建设单位</w:t>
            </w:r>
            <w:r>
              <w:rPr>
                <w:rFonts w:hint="eastAsia" w:cs="Times New Roman"/>
                <w:color w:val="auto"/>
                <w:kern w:val="0"/>
                <w:sz w:val="24"/>
                <w:szCs w:val="24"/>
                <w:lang w:val="en-US" w:eastAsia="zh-CN"/>
              </w:rPr>
              <w:t>对</w:t>
            </w:r>
            <w:r>
              <w:rPr>
                <w:rFonts w:hint="eastAsia" w:ascii="Times New Roman" w:hAnsi="Times New Roman" w:eastAsia="宋体" w:cs="Times New Roman"/>
                <w:color w:val="auto"/>
                <w:kern w:val="0"/>
                <w:sz w:val="24"/>
                <w:szCs w:val="24"/>
                <w:lang w:eastAsia="zh-CN"/>
              </w:rPr>
              <w:t>施工期</w:t>
            </w:r>
            <w:r>
              <w:rPr>
                <w:rFonts w:hint="eastAsia" w:cs="Times New Roman"/>
                <w:color w:val="auto"/>
                <w:kern w:val="0"/>
                <w:sz w:val="24"/>
                <w:szCs w:val="24"/>
                <w:lang w:val="en-US" w:eastAsia="zh-CN"/>
              </w:rPr>
              <w:t>固体废物采取以上措施</w:t>
            </w:r>
            <w:r>
              <w:rPr>
                <w:rFonts w:hint="eastAsia" w:ascii="Times New Roman" w:hAnsi="Times New Roman" w:eastAsia="宋体" w:cs="Times New Roman"/>
                <w:color w:val="auto"/>
                <w:kern w:val="0"/>
                <w:sz w:val="24"/>
                <w:szCs w:val="24"/>
                <w:lang w:eastAsia="zh-CN"/>
              </w:rPr>
              <w:t>处理</w:t>
            </w:r>
            <w:r>
              <w:rPr>
                <w:rFonts w:hint="eastAsia" w:cs="Times New Roman"/>
                <w:color w:val="auto"/>
                <w:kern w:val="0"/>
                <w:sz w:val="24"/>
                <w:szCs w:val="24"/>
                <w:lang w:val="en-US" w:eastAsia="zh-CN"/>
              </w:rPr>
              <w:t>处置</w:t>
            </w:r>
            <w:r>
              <w:rPr>
                <w:rFonts w:hint="eastAsia" w:ascii="Times New Roman" w:hAnsi="Times New Roman" w:eastAsia="宋体" w:cs="Times New Roman"/>
                <w:color w:val="auto"/>
                <w:kern w:val="0"/>
                <w:sz w:val="24"/>
                <w:szCs w:val="24"/>
                <w:lang w:eastAsia="zh-CN"/>
              </w:rPr>
              <w:t>后，可将环境不利影响降至最低</w:t>
            </w:r>
            <w:r>
              <w:rPr>
                <w:rFonts w:hint="eastAsia" w:cs="Times New Roman"/>
                <w:color w:val="auto"/>
                <w:kern w:val="0"/>
                <w:sz w:val="24"/>
                <w:szCs w:val="24"/>
                <w:lang w:eastAsia="zh-CN"/>
              </w:rPr>
              <w:t>，</w:t>
            </w:r>
            <w:r>
              <w:rPr>
                <w:rFonts w:hint="eastAsia" w:cs="Times New Roman"/>
                <w:color w:val="auto"/>
                <w:kern w:val="0"/>
                <w:sz w:val="24"/>
                <w:szCs w:val="24"/>
                <w:lang w:val="en-US" w:eastAsia="zh-CN"/>
              </w:rPr>
              <w:t>固体废物</w:t>
            </w:r>
            <w:r>
              <w:rPr>
                <w:rFonts w:hint="eastAsia" w:ascii="Times New Roman" w:hAnsi="Times New Roman" w:eastAsia="宋体" w:cs="Times New Roman"/>
                <w:color w:val="auto"/>
                <w:kern w:val="0"/>
                <w:sz w:val="24"/>
                <w:szCs w:val="24"/>
                <w:lang w:val="en-US" w:eastAsia="zh-CN" w:bidi="ar"/>
              </w:rPr>
              <w:t>得到妥善处置。</w:t>
            </w:r>
          </w:p>
        </w:tc>
      </w:tr>
      <w:tr w14:paraId="036DA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891" w:type="dxa"/>
            <w:noWrap w:val="0"/>
            <w:tcMar>
              <w:left w:w="28" w:type="dxa"/>
              <w:right w:w="28" w:type="dxa"/>
            </w:tcMar>
            <w:vAlign w:val="center"/>
          </w:tcPr>
          <w:p w14:paraId="5704B9CB">
            <w:pPr>
              <w:pStyle w:val="18"/>
              <w:adjustRightInd w:val="0"/>
              <w:snapToGrid w:val="0"/>
              <w:spacing w:before="0" w:beforeAutospacing="0" w:after="0" w:afterAutospacing="0"/>
              <w:jc w:val="center"/>
              <w:rPr>
                <w:rFonts w:hint="eastAsia" w:cs="宋体"/>
                <w:color w:val="auto"/>
                <w:kern w:val="2"/>
                <w:sz w:val="24"/>
                <w:szCs w:val="24"/>
                <w:lang w:val="en-US" w:eastAsia="zh-CN"/>
              </w:rPr>
            </w:pPr>
            <w:r>
              <w:rPr>
                <w:rFonts w:hint="eastAsia" w:ascii="宋体" w:hAnsi="宋体" w:eastAsia="宋体" w:cs="宋体"/>
                <w:color w:val="auto"/>
                <w:kern w:val="2"/>
                <w:sz w:val="24"/>
                <w:szCs w:val="24"/>
                <w:lang w:val="en-US" w:eastAsia="zh-CN"/>
              </w:rPr>
              <w:t>运营期</w:t>
            </w:r>
            <w:r>
              <w:rPr>
                <w:rFonts w:hint="eastAsia" w:cs="宋体"/>
                <w:color w:val="auto"/>
                <w:kern w:val="2"/>
                <w:sz w:val="24"/>
                <w:szCs w:val="24"/>
                <w:lang w:val="en-US" w:eastAsia="zh-CN"/>
              </w:rPr>
              <w:t>生态环境保护措施</w:t>
            </w:r>
          </w:p>
        </w:tc>
        <w:tc>
          <w:tcPr>
            <w:tcW w:w="8090" w:type="dxa"/>
            <w:noWrap w:val="0"/>
            <w:vAlign w:val="center"/>
          </w:tcPr>
          <w:p w14:paraId="25C88361">
            <w:pPr>
              <w:spacing w:line="360" w:lineRule="auto"/>
              <w:ind w:firstLine="480" w:firstLineChars="200"/>
              <w:jc w:val="both"/>
              <w:rPr>
                <w:rFonts w:hint="default" w:cs="Times New Roman"/>
                <w:b/>
                <w:bCs/>
                <w:color w:val="auto"/>
                <w:kern w:val="0"/>
                <w:sz w:val="21"/>
                <w:szCs w:val="21"/>
                <w:lang w:val="en-US" w:eastAsia="zh-CN" w:bidi="ar"/>
              </w:rPr>
            </w:pPr>
            <w:r>
              <w:rPr>
                <w:rFonts w:hint="eastAsia" w:cs="Times New Roman"/>
                <w:color w:val="auto"/>
                <w:kern w:val="0"/>
                <w:sz w:val="24"/>
                <w:szCs w:val="24"/>
                <w:lang w:val="en-US" w:eastAsia="zh-CN" w:bidi="ar"/>
              </w:rPr>
              <w:t>本项目运营期不排放任何污染物，不会对环境产生不利影响。</w:t>
            </w:r>
          </w:p>
        </w:tc>
      </w:tr>
      <w:tr w14:paraId="5A3CD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891" w:type="dxa"/>
            <w:noWrap w:val="0"/>
            <w:tcMar>
              <w:left w:w="28" w:type="dxa"/>
              <w:right w:w="28" w:type="dxa"/>
            </w:tcMar>
            <w:vAlign w:val="center"/>
          </w:tcPr>
          <w:p w14:paraId="4ED83A8D">
            <w:pPr>
              <w:spacing w:line="360" w:lineRule="auto"/>
              <w:jc w:val="both"/>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kern w:val="0"/>
                <w:sz w:val="24"/>
                <w:szCs w:val="24"/>
                <w:lang w:val="en-US" w:eastAsia="zh-CN" w:bidi="ar"/>
              </w:rPr>
              <w:t>其他</w:t>
            </w:r>
          </w:p>
        </w:tc>
        <w:tc>
          <w:tcPr>
            <w:tcW w:w="8090" w:type="dxa"/>
            <w:noWrap w:val="0"/>
            <w:vAlign w:val="center"/>
          </w:tcPr>
          <w:p w14:paraId="70EFF9D6">
            <w:pPr>
              <w:numPr>
                <w:ilvl w:val="0"/>
                <w:numId w:val="0"/>
              </w:numPr>
              <w:spacing w:line="360" w:lineRule="auto"/>
              <w:ind w:leftChars="200"/>
              <w:jc w:val="both"/>
              <w:rPr>
                <w:rFonts w:hint="default" w:cs="Times New Roman"/>
                <w:color w:val="auto"/>
                <w:kern w:val="0"/>
                <w:sz w:val="24"/>
                <w:szCs w:val="24"/>
                <w:lang w:val="en-US" w:eastAsia="zh-CN" w:bidi="ar"/>
              </w:rPr>
            </w:pPr>
            <w:r>
              <w:rPr>
                <w:rFonts w:hint="eastAsia" w:cs="Times New Roman"/>
                <w:color w:val="auto"/>
                <w:kern w:val="0"/>
                <w:sz w:val="24"/>
                <w:szCs w:val="24"/>
                <w:lang w:val="en-US" w:eastAsia="zh-CN" w:bidi="ar"/>
              </w:rPr>
              <w:t>无</w:t>
            </w:r>
          </w:p>
        </w:tc>
      </w:tr>
      <w:tr w14:paraId="602463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40" w:hRule="atLeast"/>
          <w:jc w:val="center"/>
        </w:trPr>
        <w:tc>
          <w:tcPr>
            <w:tcW w:w="891" w:type="dxa"/>
            <w:noWrap w:val="0"/>
            <w:tcMar>
              <w:left w:w="28" w:type="dxa"/>
              <w:right w:w="28" w:type="dxa"/>
            </w:tcMar>
            <w:vAlign w:val="center"/>
          </w:tcPr>
          <w:p w14:paraId="77A5F8F9">
            <w:pPr>
              <w:pStyle w:val="18"/>
              <w:adjustRightInd w:val="0"/>
              <w:snapToGrid w:val="0"/>
              <w:spacing w:before="0" w:beforeAutospacing="0" w:after="0" w:afterAutospacing="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环保</w:t>
            </w:r>
          </w:p>
          <w:p w14:paraId="73D2EB0E">
            <w:pPr>
              <w:pStyle w:val="18"/>
              <w:adjustRightInd w:val="0"/>
              <w:snapToGrid w:val="0"/>
              <w:spacing w:before="0" w:beforeAutospacing="0" w:after="0" w:afterAutospacing="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投资</w:t>
            </w:r>
          </w:p>
        </w:tc>
        <w:tc>
          <w:tcPr>
            <w:tcW w:w="8090" w:type="dxa"/>
            <w:noWrap w:val="0"/>
            <w:vAlign w:val="center"/>
          </w:tcPr>
          <w:p w14:paraId="2800AF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color w:val="auto"/>
                <w:szCs w:val="21"/>
              </w:rPr>
            </w:pPr>
            <w:r>
              <w:rPr>
                <w:rFonts w:hint="default" w:ascii="Times New Roman" w:hAnsi="Times New Roman" w:cs="Times New Roman"/>
                <w:color w:val="auto"/>
                <w:sz w:val="24"/>
              </w:rPr>
              <w:t>本</w:t>
            </w:r>
            <w:r>
              <w:rPr>
                <w:rFonts w:hint="eastAsia" w:ascii="Times New Roman" w:hAnsi="Times New Roman" w:cs="Times New Roman"/>
                <w:color w:val="auto"/>
                <w:sz w:val="24"/>
                <w:lang w:eastAsia="zh-CN"/>
              </w:rPr>
              <w:t>工程</w:t>
            </w:r>
            <w:r>
              <w:rPr>
                <w:rFonts w:hint="default" w:ascii="Times New Roman" w:hAnsi="Times New Roman" w:cs="Times New Roman"/>
                <w:color w:val="auto"/>
                <w:sz w:val="24"/>
                <w:lang w:val="en-US" w:eastAsia="zh-CN"/>
              </w:rPr>
              <w:t>总投资</w:t>
            </w:r>
            <w:r>
              <w:rPr>
                <w:rFonts w:hint="eastAsia" w:cs="Times New Roman"/>
                <w:color w:val="auto"/>
                <w:sz w:val="24"/>
                <w:lang w:val="en-US" w:eastAsia="zh-CN"/>
              </w:rPr>
              <w:t>2510</w:t>
            </w:r>
            <w:r>
              <w:rPr>
                <w:rFonts w:hint="default" w:ascii="Times New Roman" w:hAnsi="Times New Roman" w:cs="Times New Roman"/>
                <w:color w:val="auto"/>
                <w:sz w:val="24"/>
                <w:lang w:val="en-US" w:eastAsia="zh-CN"/>
              </w:rPr>
              <w:t>万元，其中</w:t>
            </w:r>
            <w:r>
              <w:rPr>
                <w:rFonts w:hint="default" w:ascii="Times New Roman" w:hAnsi="Times New Roman" w:cs="Times New Roman"/>
                <w:color w:val="auto"/>
                <w:kern w:val="0"/>
                <w:sz w:val="24"/>
              </w:rPr>
              <w:t>环保投资</w:t>
            </w:r>
            <w:r>
              <w:rPr>
                <w:rFonts w:hint="eastAsia" w:cs="Times New Roman"/>
                <w:color w:val="auto"/>
                <w:kern w:val="0"/>
                <w:sz w:val="24"/>
                <w:lang w:val="en-US" w:eastAsia="zh-CN"/>
              </w:rPr>
              <w:t>44.5</w:t>
            </w:r>
            <w:r>
              <w:rPr>
                <w:rFonts w:hint="default" w:ascii="Times New Roman" w:hAnsi="Times New Roman" w:cs="Times New Roman"/>
                <w:color w:val="auto"/>
                <w:sz w:val="24"/>
              </w:rPr>
              <w:t>万元，占工程总投资的</w:t>
            </w:r>
            <w:r>
              <w:rPr>
                <w:rFonts w:hint="eastAsia" w:cs="Times New Roman"/>
                <w:color w:val="auto"/>
                <w:sz w:val="24"/>
                <w:lang w:val="en-US" w:eastAsia="zh-CN"/>
              </w:rPr>
              <w:t>1.77</w:t>
            </w:r>
            <w:r>
              <w:rPr>
                <w:rFonts w:hint="default" w:ascii="Times New Roman" w:hAnsi="Times New Roman" w:cs="Times New Roman"/>
                <w:color w:val="auto"/>
                <w:sz w:val="24"/>
              </w:rPr>
              <w:t>%，主要用于</w:t>
            </w:r>
            <w:r>
              <w:rPr>
                <w:rFonts w:hint="default" w:ascii="Times New Roman" w:hAnsi="Times New Roman" w:cs="Times New Roman"/>
                <w:color w:val="auto"/>
                <w:sz w:val="24"/>
                <w:lang w:val="en-US" w:eastAsia="zh-CN"/>
              </w:rPr>
              <w:t>施工扬尘、</w:t>
            </w:r>
            <w:r>
              <w:rPr>
                <w:rFonts w:hint="eastAsia" w:ascii="Times New Roman" w:hAnsi="Times New Roman" w:cs="Times New Roman"/>
                <w:color w:val="auto"/>
                <w:sz w:val="24"/>
                <w:lang w:val="en-US" w:eastAsia="zh-CN"/>
              </w:rPr>
              <w:t>施工废水、</w:t>
            </w:r>
            <w:r>
              <w:rPr>
                <w:rFonts w:hint="default" w:ascii="Times New Roman" w:hAnsi="Times New Roman" w:cs="Times New Roman"/>
                <w:color w:val="auto"/>
                <w:sz w:val="24"/>
                <w:lang w:val="en-US" w:eastAsia="zh-CN"/>
              </w:rPr>
              <w:t>噪声</w:t>
            </w:r>
            <w:r>
              <w:rPr>
                <w:rFonts w:hint="eastAsia" w:ascii="Times New Roman" w:hAnsi="Times New Roman" w:cs="Times New Roman"/>
                <w:color w:val="auto"/>
                <w:sz w:val="24"/>
                <w:lang w:val="en-US" w:eastAsia="zh-CN"/>
              </w:rPr>
              <w:t>、</w:t>
            </w:r>
            <w:r>
              <w:rPr>
                <w:rFonts w:hint="default" w:ascii="Times New Roman" w:hAnsi="Times New Roman" w:cs="Times New Roman"/>
                <w:color w:val="auto"/>
                <w:sz w:val="24"/>
                <w:lang w:val="en-US" w:eastAsia="zh-CN"/>
              </w:rPr>
              <w:t>固体废物</w:t>
            </w:r>
            <w:r>
              <w:rPr>
                <w:rFonts w:hint="eastAsia" w:ascii="Times New Roman" w:hAnsi="Times New Roman" w:cs="Times New Roman"/>
                <w:color w:val="auto"/>
                <w:sz w:val="24"/>
                <w:lang w:eastAsia="zh-CN"/>
              </w:rPr>
              <w:t>和生态环境治理</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工程</w:t>
            </w:r>
            <w:r>
              <w:rPr>
                <w:rFonts w:hint="default" w:ascii="Times New Roman" w:hAnsi="Times New Roman" w:cs="Times New Roman"/>
                <w:color w:val="auto"/>
                <w:sz w:val="24"/>
              </w:rPr>
              <w:t>环保投资估算一览表详见表</w:t>
            </w:r>
            <w:r>
              <w:rPr>
                <w:rFonts w:hint="eastAsia" w:ascii="Times New Roman" w:hAnsi="Times New Roman" w:cs="Times New Roman"/>
                <w:color w:val="auto"/>
                <w:sz w:val="24"/>
                <w:lang w:val="en-US" w:eastAsia="zh-CN"/>
              </w:rPr>
              <w:t>5-1</w:t>
            </w:r>
            <w:r>
              <w:rPr>
                <w:rFonts w:hint="default" w:ascii="Times New Roman" w:hAnsi="Times New Roman" w:cs="Times New Roman"/>
                <w:color w:val="auto"/>
                <w:sz w:val="24"/>
              </w:rPr>
              <w:t>。</w:t>
            </w:r>
          </w:p>
          <w:p w14:paraId="254D364D">
            <w:pPr>
              <w:pStyle w:val="3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w:t>
            </w:r>
            <w:r>
              <w:rPr>
                <w:rFonts w:hint="eastAsia" w:ascii="Times New Roman" w:hAnsi="Times New Roman" w:cs="Times New Roman"/>
                <w:color w:val="auto"/>
                <w:sz w:val="21"/>
                <w:szCs w:val="21"/>
                <w:lang w:val="en-US" w:eastAsia="zh-CN"/>
              </w:rPr>
              <w:t>5-1</w:t>
            </w:r>
            <w:r>
              <w:rPr>
                <w:rFonts w:hint="default" w:ascii="Times New Roman" w:hAnsi="Times New Roman" w:cs="Times New Roman"/>
                <w:color w:val="auto"/>
                <w:sz w:val="21"/>
                <w:szCs w:val="21"/>
              </w:rPr>
              <w:t xml:space="preserve">  本</w:t>
            </w:r>
            <w:r>
              <w:rPr>
                <w:rFonts w:hint="eastAsia" w:ascii="Times New Roman" w:hAnsi="Times New Roman" w:cs="Times New Roman"/>
                <w:color w:val="auto"/>
                <w:sz w:val="21"/>
                <w:szCs w:val="21"/>
                <w:lang w:eastAsia="zh-CN"/>
              </w:rPr>
              <w:t>工程</w:t>
            </w:r>
            <w:r>
              <w:rPr>
                <w:rFonts w:hint="default" w:ascii="Times New Roman" w:hAnsi="Times New Roman" w:cs="Times New Roman"/>
                <w:color w:val="auto"/>
                <w:sz w:val="21"/>
                <w:szCs w:val="21"/>
              </w:rPr>
              <w:t>环保投资估算一览表</w:t>
            </w:r>
          </w:p>
          <w:tbl>
            <w:tblPr>
              <w:tblStyle w:val="19"/>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4975"/>
              <w:gridCol w:w="1100"/>
            </w:tblGrid>
            <w:tr w14:paraId="490C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762" w:type="dxa"/>
                  <w:noWrap w:val="0"/>
                  <w:vAlign w:val="center"/>
                </w:tcPr>
                <w:p w14:paraId="5DECDCD2">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项目</w:t>
                  </w:r>
                </w:p>
              </w:tc>
              <w:tc>
                <w:tcPr>
                  <w:tcW w:w="4976" w:type="dxa"/>
                  <w:noWrap w:val="0"/>
                  <w:vAlign w:val="center"/>
                </w:tcPr>
                <w:p w14:paraId="6CB8B1DA">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rPr>
                    <w:t>环保</w:t>
                  </w:r>
                  <w:r>
                    <w:rPr>
                      <w:rFonts w:hint="default" w:ascii="Times New Roman" w:hAnsi="Times New Roman" w:cs="Times New Roman"/>
                      <w:b/>
                      <w:bCs/>
                      <w:color w:val="auto"/>
                      <w:sz w:val="21"/>
                      <w:szCs w:val="21"/>
                      <w:lang w:val="en-US" w:eastAsia="zh-CN"/>
                    </w:rPr>
                    <w:t>设施</w:t>
                  </w:r>
                </w:p>
              </w:tc>
              <w:tc>
                <w:tcPr>
                  <w:tcW w:w="1100" w:type="dxa"/>
                  <w:noWrap w:val="0"/>
                  <w:vAlign w:val="center"/>
                </w:tcPr>
                <w:p w14:paraId="67475E14">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环保投资</w:t>
                  </w:r>
                </w:p>
                <w:p w14:paraId="587893D4">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（万元）</w:t>
                  </w:r>
                </w:p>
              </w:tc>
            </w:tr>
            <w:tr w14:paraId="2E52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762" w:type="dxa"/>
                  <w:noWrap w:val="0"/>
                  <w:vAlign w:val="center"/>
                </w:tcPr>
                <w:p w14:paraId="63D4E8C2">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施工扬尘</w:t>
                  </w:r>
                </w:p>
              </w:tc>
              <w:tc>
                <w:tcPr>
                  <w:tcW w:w="4976" w:type="dxa"/>
                  <w:noWrap w:val="0"/>
                  <w:vAlign w:val="center"/>
                </w:tcPr>
                <w:p w14:paraId="15E85532">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rPr>
                    <w:t>运输车辆</w:t>
                  </w:r>
                  <w:r>
                    <w:rPr>
                      <w:rFonts w:hint="eastAsia" w:ascii="Times New Roman" w:hAnsi="Times New Roman" w:cs="Times New Roman"/>
                      <w:color w:val="auto"/>
                      <w:sz w:val="21"/>
                      <w:szCs w:val="21"/>
                      <w:highlight w:val="none"/>
                      <w:lang w:val="en-US" w:eastAsia="zh-CN"/>
                    </w:rPr>
                    <w:t>篷布</w:t>
                  </w:r>
                  <w:r>
                    <w:rPr>
                      <w:rFonts w:hint="default" w:ascii="Times New Roman" w:hAnsi="Times New Roman" w:cs="Times New Roman"/>
                      <w:color w:val="auto"/>
                      <w:sz w:val="21"/>
                      <w:szCs w:val="21"/>
                      <w:highlight w:val="none"/>
                    </w:rPr>
                    <w:t>遮盖、</w:t>
                  </w:r>
                  <w:r>
                    <w:rPr>
                      <w:rFonts w:hint="eastAsia" w:cs="Times New Roman"/>
                      <w:color w:val="auto"/>
                      <w:sz w:val="21"/>
                      <w:szCs w:val="21"/>
                      <w:highlight w:val="none"/>
                      <w:lang w:val="en-US" w:eastAsia="zh-CN"/>
                    </w:rPr>
                    <w:t>临时占地物料、土石方</w:t>
                  </w:r>
                  <w:r>
                    <w:rPr>
                      <w:rFonts w:hint="default" w:ascii="Times New Roman" w:hAnsi="Times New Roman" w:cs="Times New Roman"/>
                      <w:color w:val="auto"/>
                      <w:sz w:val="21"/>
                      <w:szCs w:val="21"/>
                      <w:highlight w:val="none"/>
                    </w:rPr>
                    <w:t>覆盖防尘网，并配备</w:t>
                  </w:r>
                  <w:r>
                    <w:rPr>
                      <w:rFonts w:hint="eastAsia" w:ascii="Times New Roman" w:hAnsi="Times New Roman" w:cs="Times New Roman"/>
                      <w:color w:val="auto"/>
                      <w:sz w:val="21"/>
                      <w:szCs w:val="21"/>
                      <w:highlight w:val="none"/>
                      <w:lang w:eastAsia="zh-CN"/>
                    </w:rPr>
                    <w:t>洒水</w:t>
                  </w:r>
                  <w:r>
                    <w:rPr>
                      <w:rFonts w:hint="default" w:ascii="Times New Roman" w:hAnsi="Times New Roman" w:cs="Times New Roman"/>
                      <w:color w:val="auto"/>
                      <w:sz w:val="21"/>
                      <w:szCs w:val="21"/>
                      <w:highlight w:val="none"/>
                    </w:rPr>
                    <w:t>设施</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定期对堆场表面洒水抑尘</w:t>
                  </w:r>
                  <w:r>
                    <w:rPr>
                      <w:rFonts w:hint="eastAsia" w:cs="Times New Roman"/>
                      <w:color w:val="auto"/>
                      <w:sz w:val="21"/>
                      <w:szCs w:val="21"/>
                      <w:highlight w:val="none"/>
                      <w:lang w:eastAsia="zh-CN"/>
                    </w:rPr>
                    <w:t>。</w:t>
                  </w:r>
                </w:p>
              </w:tc>
              <w:tc>
                <w:tcPr>
                  <w:tcW w:w="1100" w:type="dxa"/>
                  <w:noWrap w:val="0"/>
                  <w:vAlign w:val="center"/>
                </w:tcPr>
                <w:p w14:paraId="3B7CB7E4">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r>
            <w:tr w14:paraId="0E7B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762" w:type="dxa"/>
                  <w:noWrap w:val="0"/>
                  <w:vAlign w:val="center"/>
                </w:tcPr>
                <w:p w14:paraId="39E7C8F4">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施工期</w:t>
                  </w:r>
                  <w:r>
                    <w:rPr>
                      <w:rFonts w:hint="default" w:ascii="Times New Roman" w:hAnsi="Times New Roman" w:cs="Times New Roman"/>
                      <w:color w:val="auto"/>
                      <w:sz w:val="21"/>
                      <w:szCs w:val="21"/>
                      <w:lang w:val="en-US" w:eastAsia="zh-CN"/>
                    </w:rPr>
                    <w:t>噪声</w:t>
                  </w:r>
                </w:p>
              </w:tc>
              <w:tc>
                <w:tcPr>
                  <w:tcW w:w="4976" w:type="dxa"/>
                  <w:noWrap w:val="0"/>
                  <w:vAlign w:val="center"/>
                </w:tcPr>
                <w:p w14:paraId="7223F759">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eastAsia="zh-CN"/>
                    </w:rPr>
                  </w:pPr>
                  <w:r>
                    <w:rPr>
                      <w:rFonts w:hint="eastAsia"/>
                      <w:color w:val="auto"/>
                      <w:sz w:val="21"/>
                      <w:szCs w:val="21"/>
                      <w:lang w:val="en-US" w:eastAsia="zh-CN"/>
                    </w:rPr>
                    <w:t>合理安排施工进度和时间、严禁</w:t>
                  </w:r>
                  <w:r>
                    <w:rPr>
                      <w:rFonts w:hint="default"/>
                      <w:color w:val="auto"/>
                      <w:sz w:val="21"/>
                      <w:szCs w:val="21"/>
                    </w:rPr>
                    <w:t>夜间施工</w:t>
                  </w:r>
                  <w:r>
                    <w:rPr>
                      <w:rFonts w:hint="eastAsia"/>
                      <w:color w:val="auto"/>
                      <w:sz w:val="21"/>
                      <w:szCs w:val="21"/>
                      <w:lang w:eastAsia="zh-CN"/>
                    </w:rPr>
                    <w:t>，</w:t>
                  </w:r>
                  <w:r>
                    <w:rPr>
                      <w:rFonts w:hint="default"/>
                      <w:color w:val="auto"/>
                      <w:sz w:val="21"/>
                      <w:szCs w:val="21"/>
                      <w:lang w:val="en-US" w:eastAsia="zh-CN"/>
                    </w:rPr>
                    <w:t>选用低噪声</w:t>
                  </w:r>
                  <w:r>
                    <w:rPr>
                      <w:rFonts w:hint="eastAsia"/>
                      <w:color w:val="auto"/>
                      <w:sz w:val="21"/>
                      <w:szCs w:val="21"/>
                      <w:lang w:val="en-US" w:eastAsia="zh-CN"/>
                    </w:rPr>
                    <w:t>施工</w:t>
                  </w:r>
                  <w:r>
                    <w:rPr>
                      <w:rFonts w:hint="default"/>
                      <w:color w:val="auto"/>
                      <w:sz w:val="21"/>
                      <w:szCs w:val="21"/>
                      <w:lang w:val="en-US" w:eastAsia="zh-CN"/>
                    </w:rPr>
                    <w:t>设备</w:t>
                  </w:r>
                  <w:r>
                    <w:rPr>
                      <w:rFonts w:hint="eastAsia"/>
                      <w:color w:val="auto"/>
                      <w:sz w:val="21"/>
                      <w:szCs w:val="21"/>
                      <w:lang w:val="en-US" w:eastAsia="zh-CN"/>
                    </w:rPr>
                    <w:t>，加强施工机械维护保养、控制车速</w:t>
                  </w:r>
                </w:p>
              </w:tc>
              <w:tc>
                <w:tcPr>
                  <w:tcW w:w="1100" w:type="dxa"/>
                  <w:noWrap w:val="0"/>
                  <w:vAlign w:val="center"/>
                </w:tcPr>
                <w:p w14:paraId="1D51D809">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r>
                    <w:rPr>
                      <w:rFonts w:hint="eastAsia" w:ascii="Times New Roman" w:hAnsi="Times New Roman" w:cs="Times New Roman"/>
                      <w:color w:val="auto"/>
                      <w:sz w:val="21"/>
                      <w:szCs w:val="21"/>
                      <w:lang w:val="en-US" w:eastAsia="zh-CN"/>
                    </w:rPr>
                    <w:t>.5</w:t>
                  </w:r>
                </w:p>
              </w:tc>
            </w:tr>
            <w:tr w14:paraId="5F21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762" w:type="dxa"/>
                  <w:noWrap w:val="0"/>
                  <w:vAlign w:val="center"/>
                </w:tcPr>
                <w:p w14:paraId="78F09493">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施工废水</w:t>
                  </w:r>
                </w:p>
              </w:tc>
              <w:tc>
                <w:tcPr>
                  <w:tcW w:w="4976" w:type="dxa"/>
                  <w:noWrap w:val="0"/>
                  <w:vAlign w:val="center"/>
                </w:tcPr>
                <w:p w14:paraId="5D89C10F">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宋体"/>
                      <w:color w:val="auto"/>
                      <w:spacing w:val="-1"/>
                      <w:sz w:val="21"/>
                      <w:szCs w:val="21"/>
                      <w:lang w:val="en-US" w:eastAsia="zh-CN"/>
                    </w:rPr>
                    <w:t>设临时沉淀池</w:t>
                  </w:r>
                  <w:r>
                    <w:rPr>
                      <w:rFonts w:hint="eastAsia" w:cs="宋体"/>
                      <w:color w:val="auto"/>
                      <w:spacing w:val="-1"/>
                      <w:sz w:val="21"/>
                      <w:szCs w:val="21"/>
                      <w:lang w:val="en-US" w:eastAsia="zh-CN"/>
                    </w:rPr>
                    <w:t>、泥浆池等；施工期废水经沉淀池处理后回用，不外排，围堰内泥浆废水经泥浆池沉淀处理后回用于洒水抑尘，禁止直接排入河道。临时沉淀池在施工结束后全部拆除。</w:t>
                  </w:r>
                </w:p>
              </w:tc>
              <w:tc>
                <w:tcPr>
                  <w:tcW w:w="1100" w:type="dxa"/>
                  <w:noWrap w:val="0"/>
                  <w:vAlign w:val="center"/>
                </w:tcPr>
                <w:p w14:paraId="1D760B6F">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w:t>
                  </w:r>
                </w:p>
              </w:tc>
            </w:tr>
            <w:tr w14:paraId="08F7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762" w:type="dxa"/>
                  <w:vMerge w:val="restart"/>
                  <w:noWrap w:val="0"/>
                  <w:vAlign w:val="center"/>
                </w:tcPr>
                <w:p w14:paraId="13038A84">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施工期</w:t>
                  </w:r>
                  <w:r>
                    <w:rPr>
                      <w:rFonts w:hint="default" w:ascii="Times New Roman" w:hAnsi="Times New Roman" w:cs="Times New Roman"/>
                      <w:color w:val="auto"/>
                      <w:sz w:val="21"/>
                      <w:szCs w:val="21"/>
                    </w:rPr>
                    <w:t>固体废物</w:t>
                  </w:r>
                </w:p>
              </w:tc>
              <w:tc>
                <w:tcPr>
                  <w:tcW w:w="4976" w:type="dxa"/>
                  <w:noWrap w:val="0"/>
                  <w:vAlign w:val="center"/>
                </w:tcPr>
                <w:p w14:paraId="253B3789">
                  <w:pPr>
                    <w:numPr>
                      <w:ilvl w:val="0"/>
                      <w:numId w:val="0"/>
                    </w:numPr>
                    <w:tabs>
                      <w:tab w:val="center" w:pos="1731"/>
                      <w:tab w:val="right" w:pos="3343"/>
                    </w:tabs>
                    <w:ind w:left="0" w:leftChars="0" w:firstLine="0" w:firstLineChars="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vertAlign w:val="baseline"/>
                      <w:lang w:val="en-US" w:eastAsia="zh-CN"/>
                    </w:rPr>
                    <w:t>围堰及钻孔桩施工过程中产生的泥浆废水沉渣，全部回填至河道低洼处</w:t>
                  </w:r>
                  <w:r>
                    <w:rPr>
                      <w:rFonts w:hint="eastAsia" w:ascii="Times New Roman" w:hAnsi="Times New Roman" w:eastAsia="宋体" w:cs="Times New Roman"/>
                      <w:color w:val="auto"/>
                      <w:sz w:val="21"/>
                      <w:szCs w:val="21"/>
                      <w:vertAlign w:val="baseline"/>
                      <w:lang w:val="en-US" w:eastAsia="zh-CN"/>
                    </w:rPr>
                    <w:t>。</w:t>
                  </w:r>
                </w:p>
              </w:tc>
              <w:tc>
                <w:tcPr>
                  <w:tcW w:w="1100" w:type="dxa"/>
                  <w:vMerge w:val="restart"/>
                  <w:noWrap w:val="0"/>
                  <w:vAlign w:val="center"/>
                </w:tcPr>
                <w:p w14:paraId="3D2660F0">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color w:val="auto"/>
                      <w:sz w:val="21"/>
                      <w:szCs w:val="21"/>
                      <w:lang w:val="en-US" w:eastAsia="zh-CN"/>
                    </w:rPr>
                  </w:pPr>
                  <w:r>
                    <w:rPr>
                      <w:rFonts w:hint="eastAsia" w:cs="宋体"/>
                      <w:color w:val="auto"/>
                      <w:spacing w:val="-1"/>
                      <w:sz w:val="21"/>
                      <w:szCs w:val="21"/>
                      <w:lang w:val="en-US" w:eastAsia="zh-CN"/>
                    </w:rPr>
                    <w:t>15</w:t>
                  </w:r>
                </w:p>
              </w:tc>
            </w:tr>
            <w:tr w14:paraId="49EF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762" w:type="dxa"/>
                  <w:vMerge w:val="continue"/>
                  <w:noWrap w:val="0"/>
                  <w:vAlign w:val="center"/>
                </w:tcPr>
                <w:p w14:paraId="6485F205">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p>
              </w:tc>
              <w:tc>
                <w:tcPr>
                  <w:tcW w:w="4976" w:type="dxa"/>
                  <w:noWrap w:val="0"/>
                  <w:vAlign w:val="center"/>
                </w:tcPr>
                <w:p w14:paraId="718D2191">
                  <w:pPr>
                    <w:numPr>
                      <w:ilvl w:val="0"/>
                      <w:numId w:val="0"/>
                    </w:numPr>
                    <w:ind w:left="0" w:leftChars="0" w:firstLine="0" w:firstLineChars="0"/>
                    <w:jc w:val="both"/>
                    <w:rPr>
                      <w:rFonts w:hint="eastAsia" w:cs="Times New Roman"/>
                      <w:bCs/>
                      <w:color w:val="auto"/>
                      <w:spacing w:val="0"/>
                      <w:sz w:val="21"/>
                      <w:szCs w:val="21"/>
                      <w:lang w:val="en-US" w:eastAsia="zh-CN"/>
                    </w:rPr>
                  </w:pPr>
                  <w:r>
                    <w:rPr>
                      <w:rFonts w:hint="eastAsia" w:ascii="Times New Roman" w:hAnsi="Times New Roman" w:eastAsia="宋体"/>
                      <w:color w:val="auto"/>
                      <w:sz w:val="21"/>
                      <w:szCs w:val="21"/>
                      <w:vertAlign w:val="baseline"/>
                      <w:lang w:val="en-US" w:eastAsia="zh-CN"/>
                    </w:rPr>
                    <w:t>施工产生的建筑</w:t>
                  </w:r>
                  <w:r>
                    <w:rPr>
                      <w:rFonts w:hint="eastAsia"/>
                      <w:color w:val="auto"/>
                      <w:sz w:val="21"/>
                      <w:szCs w:val="21"/>
                      <w:vertAlign w:val="baseline"/>
                      <w:lang w:val="en-US" w:eastAsia="zh-CN"/>
                    </w:rPr>
                    <w:t>垃圾能回收利用的优先综合利用，不能利用的</w:t>
                  </w:r>
                  <w:r>
                    <w:rPr>
                      <w:rFonts w:hint="eastAsia" w:ascii="Times New Roman" w:hAnsi="Times New Roman" w:eastAsia="宋体"/>
                      <w:color w:val="auto"/>
                      <w:sz w:val="21"/>
                      <w:szCs w:val="21"/>
                      <w:vertAlign w:val="baseline"/>
                      <w:lang w:val="en-US" w:eastAsia="zh-CN"/>
                    </w:rPr>
                    <w:t>及时外运</w:t>
                  </w:r>
                  <w:r>
                    <w:rPr>
                      <w:rFonts w:hint="eastAsia"/>
                      <w:color w:val="auto"/>
                      <w:sz w:val="21"/>
                      <w:szCs w:val="21"/>
                      <w:vertAlign w:val="baseline"/>
                      <w:lang w:val="en-US" w:eastAsia="zh-CN"/>
                    </w:rPr>
                    <w:t>至当地建筑垃圾填埋场</w:t>
                  </w:r>
                  <w:r>
                    <w:rPr>
                      <w:rFonts w:hint="eastAsia" w:ascii="Times New Roman" w:hAnsi="Times New Roman" w:eastAsia="宋体"/>
                      <w:color w:val="auto"/>
                      <w:sz w:val="21"/>
                      <w:szCs w:val="21"/>
                      <w:vertAlign w:val="baseline"/>
                      <w:lang w:val="en-US" w:eastAsia="zh-CN"/>
                    </w:rPr>
                    <w:t>，施工结束后要清理施工现场，严禁建筑废料就地堆弃。</w:t>
                  </w:r>
                </w:p>
              </w:tc>
              <w:tc>
                <w:tcPr>
                  <w:tcW w:w="1100" w:type="dxa"/>
                  <w:vMerge w:val="continue"/>
                  <w:noWrap w:val="0"/>
                  <w:vAlign w:val="center"/>
                </w:tcPr>
                <w:p w14:paraId="66F8F93D">
                  <w:pPr>
                    <w:pStyle w:val="23"/>
                    <w:rPr>
                      <w:rFonts w:hint="default"/>
                      <w:color w:val="auto"/>
                      <w:sz w:val="21"/>
                      <w:szCs w:val="21"/>
                      <w:lang w:val="en-US" w:eastAsia="zh-CN"/>
                    </w:rPr>
                  </w:pPr>
                </w:p>
              </w:tc>
            </w:tr>
            <w:tr w14:paraId="6D1E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762" w:type="dxa"/>
                  <w:vMerge w:val="continue"/>
                  <w:noWrap w:val="0"/>
                  <w:vAlign w:val="center"/>
                </w:tcPr>
                <w:p w14:paraId="5CB114C1">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p>
              </w:tc>
              <w:tc>
                <w:tcPr>
                  <w:tcW w:w="4976" w:type="dxa"/>
                  <w:noWrap w:val="0"/>
                  <w:vAlign w:val="center"/>
                </w:tcPr>
                <w:p w14:paraId="43E04265">
                  <w:pPr>
                    <w:numPr>
                      <w:ilvl w:val="0"/>
                      <w:numId w:val="0"/>
                    </w:numPr>
                    <w:ind w:left="0" w:leftChars="0" w:firstLine="0" w:firstLineChars="0"/>
                    <w:jc w:val="center"/>
                    <w:rPr>
                      <w:rFonts w:hint="eastAsia" w:cs="Times New Roman"/>
                      <w:bCs/>
                      <w:color w:val="auto"/>
                      <w:spacing w:val="0"/>
                      <w:sz w:val="21"/>
                      <w:szCs w:val="21"/>
                      <w:lang w:val="en-US" w:eastAsia="zh-CN"/>
                    </w:rPr>
                  </w:pPr>
                  <w:r>
                    <w:rPr>
                      <w:rFonts w:hint="default" w:ascii="Times New Roman" w:hAnsi="Times New Roman" w:eastAsia="宋体"/>
                      <w:color w:val="auto"/>
                      <w:sz w:val="21"/>
                      <w:szCs w:val="21"/>
                      <w:vertAlign w:val="baseline"/>
                      <w:lang w:val="en-US" w:eastAsia="zh-CN"/>
                    </w:rPr>
                    <w:t>生活垃圾设置垃圾桶，收集后交由环卫部门统一处置</w:t>
                  </w:r>
                  <w:r>
                    <w:rPr>
                      <w:rFonts w:hint="eastAsia"/>
                      <w:color w:val="auto"/>
                      <w:sz w:val="21"/>
                      <w:szCs w:val="21"/>
                      <w:vertAlign w:val="baseline"/>
                      <w:lang w:val="en-US" w:eastAsia="zh-CN"/>
                    </w:rPr>
                    <w:t>。</w:t>
                  </w:r>
                </w:p>
              </w:tc>
              <w:tc>
                <w:tcPr>
                  <w:tcW w:w="1100" w:type="dxa"/>
                  <w:vMerge w:val="continue"/>
                  <w:noWrap w:val="0"/>
                  <w:vAlign w:val="center"/>
                </w:tcPr>
                <w:p w14:paraId="639715FC">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cs="Times New Roman"/>
                      <w:color w:val="auto"/>
                      <w:sz w:val="21"/>
                      <w:szCs w:val="21"/>
                      <w:lang w:val="en-US" w:eastAsia="zh-CN"/>
                    </w:rPr>
                  </w:pPr>
                </w:p>
              </w:tc>
            </w:tr>
            <w:tr w14:paraId="36ED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762" w:type="dxa"/>
                  <w:noWrap w:val="0"/>
                  <w:vAlign w:val="center"/>
                </w:tcPr>
                <w:p w14:paraId="2022D8A1">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生态环境</w:t>
                  </w:r>
                </w:p>
              </w:tc>
              <w:tc>
                <w:tcPr>
                  <w:tcW w:w="4976" w:type="dxa"/>
                  <w:noWrap w:val="0"/>
                  <w:vAlign w:val="center"/>
                </w:tcPr>
                <w:p w14:paraId="6F376B1C">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olor w:val="auto"/>
                      <w:sz w:val="21"/>
                      <w:szCs w:val="21"/>
                      <w:vertAlign w:val="baseline"/>
                      <w:lang w:val="en-US" w:eastAsia="zh-CN"/>
                    </w:rPr>
                    <w:t>严格控制施工范围，加强施工管理，尽量减少临时占地，细化施工组织设计；加强施工人员宣传教育，严禁破坏环境；临时占地采取水土保持措施，施工结束后按照相关规定对</w:t>
                  </w:r>
                  <w:r>
                    <w:rPr>
                      <w:rFonts w:hint="eastAsia"/>
                      <w:color w:val="auto"/>
                      <w:sz w:val="21"/>
                      <w:szCs w:val="21"/>
                      <w:vertAlign w:val="baseline"/>
                      <w:lang w:val="en-US" w:eastAsia="zh-CN"/>
                    </w:rPr>
                    <w:t>临时工程进行拆除，对</w:t>
                  </w:r>
                  <w:r>
                    <w:rPr>
                      <w:rFonts w:hint="eastAsia" w:ascii="Times New Roman" w:hAnsi="Times New Roman" w:eastAsia="宋体"/>
                      <w:color w:val="auto"/>
                      <w:sz w:val="21"/>
                      <w:szCs w:val="21"/>
                      <w:vertAlign w:val="baseline"/>
                      <w:lang w:val="en-US" w:eastAsia="zh-CN"/>
                    </w:rPr>
                    <w:t>临时占地进行恢复</w:t>
                  </w:r>
                  <w:r>
                    <w:rPr>
                      <w:rFonts w:hint="eastAsia"/>
                      <w:color w:val="auto"/>
                      <w:sz w:val="21"/>
                      <w:szCs w:val="21"/>
                      <w:vertAlign w:val="baseline"/>
                      <w:lang w:val="en-US" w:eastAsia="zh-CN"/>
                    </w:rPr>
                    <w:t>。</w:t>
                  </w:r>
                </w:p>
              </w:tc>
              <w:tc>
                <w:tcPr>
                  <w:tcW w:w="1100" w:type="dxa"/>
                  <w:noWrap w:val="0"/>
                  <w:vAlign w:val="center"/>
                </w:tcPr>
                <w:p w14:paraId="5C8C6FFC">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12.5</w:t>
                  </w:r>
                </w:p>
              </w:tc>
            </w:tr>
            <w:tr w14:paraId="2119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38" w:type="dxa"/>
                  <w:gridSpan w:val="2"/>
                  <w:noWrap w:val="0"/>
                  <w:vAlign w:val="center"/>
                </w:tcPr>
                <w:p w14:paraId="4E0DD9F7">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合计</w:t>
                  </w:r>
                </w:p>
              </w:tc>
              <w:tc>
                <w:tcPr>
                  <w:tcW w:w="1100" w:type="dxa"/>
                  <w:noWrap w:val="0"/>
                  <w:vAlign w:val="center"/>
                </w:tcPr>
                <w:p w14:paraId="160225A7">
                  <w:pPr>
                    <w:keepNext w:val="0"/>
                    <w:keepLines w:val="0"/>
                    <w:pageBreakBefore w:val="0"/>
                    <w:widowControl w:val="0"/>
                    <w:kinsoku/>
                    <w:wordWrap w:val="0"/>
                    <w:overflowPunct w:val="0"/>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fldChar w:fldCharType="begin"/>
                  </w:r>
                  <w:r>
                    <w:rPr>
                      <w:rFonts w:hint="default" w:ascii="Times New Roman" w:hAnsi="Times New Roman" w:cs="Times New Roman"/>
                      <w:color w:val="auto"/>
                      <w:sz w:val="21"/>
                      <w:szCs w:val="21"/>
                      <w:lang w:val="en-US" w:eastAsia="zh-CN"/>
                    </w:rPr>
                    <w:instrText xml:space="preserve"> = sum(C2:C8) \* MERGEFORMAT </w:instrText>
                  </w:r>
                  <w:r>
                    <w:rPr>
                      <w:rFonts w:hint="default" w:ascii="Times New Roman" w:hAnsi="Times New Roman" w:cs="Times New Roman"/>
                      <w:color w:val="auto"/>
                      <w:sz w:val="21"/>
                      <w:szCs w:val="21"/>
                      <w:lang w:val="en-US" w:eastAsia="zh-CN"/>
                    </w:rPr>
                    <w:fldChar w:fldCharType="separate"/>
                  </w:r>
                  <w:r>
                    <w:rPr>
                      <w:rFonts w:hint="default" w:ascii="Times New Roman" w:hAnsi="Times New Roman" w:cs="Times New Roman"/>
                      <w:color w:val="auto"/>
                      <w:sz w:val="21"/>
                      <w:szCs w:val="21"/>
                      <w:lang w:val="en-US" w:eastAsia="zh-CN"/>
                    </w:rPr>
                    <w:t>44.5</w:t>
                  </w:r>
                  <w:r>
                    <w:rPr>
                      <w:rFonts w:hint="default" w:ascii="Times New Roman" w:hAnsi="Times New Roman" w:cs="Times New Roman"/>
                      <w:color w:val="auto"/>
                      <w:sz w:val="21"/>
                      <w:szCs w:val="21"/>
                      <w:lang w:val="en-US" w:eastAsia="zh-CN"/>
                    </w:rPr>
                    <w:fldChar w:fldCharType="end"/>
                  </w:r>
                </w:p>
              </w:tc>
            </w:tr>
          </w:tbl>
          <w:p w14:paraId="42BA389A">
            <w:pPr>
              <w:pStyle w:val="31"/>
              <w:rPr>
                <w:rFonts w:hint="default" w:ascii="Times New Roman" w:hAnsi="Times New Roman" w:cs="Times New Roman"/>
                <w:color w:val="auto"/>
                <w:sz w:val="24"/>
                <w:szCs w:val="24"/>
              </w:rPr>
            </w:pPr>
          </w:p>
          <w:p w14:paraId="14A359E2">
            <w:pPr>
              <w:pStyle w:val="23"/>
              <w:rPr>
                <w:rFonts w:hint="default" w:ascii="Times New Roman" w:hAnsi="Times New Roman" w:eastAsia="宋体" w:cs="Times New Roman"/>
                <w:color w:val="auto"/>
                <w:kern w:val="0"/>
                <w:sz w:val="24"/>
                <w:szCs w:val="24"/>
                <w:lang w:val="en-US" w:eastAsia="zh-CN" w:bidi="ar"/>
              </w:rPr>
            </w:pPr>
          </w:p>
        </w:tc>
      </w:tr>
    </w:tbl>
    <w:p w14:paraId="60D5418A">
      <w:pPr>
        <w:pStyle w:val="18"/>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snapToGrid w:val="0"/>
          <w:color w:val="auto"/>
          <w:sz w:val="30"/>
          <w:szCs w:val="30"/>
          <w:lang w:val="en-US" w:eastAsia="zh-CN"/>
        </w:rPr>
        <w:sectPr>
          <w:pgSz w:w="11905" w:h="16838"/>
          <w:pgMar w:top="1701" w:right="1531" w:bottom="1701" w:left="1531" w:header="851" w:footer="850" w:gutter="0"/>
          <w:pgBorders>
            <w:top w:val="none" w:sz="0" w:space="0"/>
            <w:left w:val="none" w:sz="0" w:space="0"/>
            <w:bottom w:val="none" w:sz="0" w:space="0"/>
            <w:right w:val="none" w:sz="0" w:space="0"/>
          </w:pgBorders>
          <w:pgNumType w:fmt="decimal"/>
          <w:cols w:space="720" w:num="1"/>
          <w:rtlGutter w:val="0"/>
          <w:docGrid w:linePitch="312" w:charSpace="0"/>
        </w:sectPr>
      </w:pPr>
    </w:p>
    <w:p w14:paraId="085AA691">
      <w:pPr>
        <w:pStyle w:val="18"/>
        <w:keepNext w:val="0"/>
        <w:keepLines w:val="0"/>
        <w:pageBreakBefore w:val="0"/>
        <w:widowControl w:val="0"/>
        <w:kinsoku/>
        <w:wordWrap/>
        <w:overflowPunct/>
        <w:topLinePunct w:val="0"/>
        <w:autoSpaceDE/>
        <w:autoSpaceDN/>
        <w:bidi w:val="0"/>
        <w:adjustRightInd/>
        <w:snapToGrid/>
        <w:jc w:val="center"/>
        <w:textAlignment w:val="auto"/>
        <w:outlineLvl w:val="0"/>
        <w:rPr>
          <w:rFonts w:ascii="黑体" w:hAnsi="黑体" w:eastAsia="黑体"/>
          <w:snapToGrid w:val="0"/>
          <w:color w:val="auto"/>
          <w:sz w:val="30"/>
          <w:szCs w:val="30"/>
        </w:rPr>
      </w:pPr>
      <w:r>
        <w:rPr>
          <w:rFonts w:hint="eastAsia" w:ascii="黑体" w:hAnsi="黑体" w:eastAsia="黑体"/>
          <w:snapToGrid w:val="0"/>
          <w:color w:val="auto"/>
          <w:sz w:val="30"/>
          <w:szCs w:val="30"/>
          <w:lang w:val="en-US" w:eastAsia="zh-CN"/>
        </w:rPr>
        <w:t>六</w:t>
      </w:r>
      <w:r>
        <w:rPr>
          <w:rFonts w:hint="eastAsia" w:ascii="黑体" w:hAnsi="黑体" w:eastAsia="黑体"/>
          <w:snapToGrid w:val="0"/>
          <w:color w:val="auto"/>
          <w:sz w:val="30"/>
          <w:szCs w:val="30"/>
        </w:rPr>
        <w:t>、</w:t>
      </w:r>
      <w:bookmarkStart w:id="6" w:name="_Hlk54167917"/>
      <w:r>
        <w:rPr>
          <w:rFonts w:hint="eastAsia" w:ascii="黑体" w:hAnsi="黑体" w:eastAsia="黑体"/>
          <w:snapToGrid w:val="0"/>
          <w:color w:val="auto"/>
          <w:sz w:val="30"/>
          <w:szCs w:val="30"/>
          <w:lang w:val="en-US" w:eastAsia="zh-CN"/>
        </w:rPr>
        <w:t>生态</w:t>
      </w:r>
      <w:r>
        <w:rPr>
          <w:rFonts w:hint="eastAsia" w:ascii="黑体" w:hAnsi="黑体" w:eastAsia="黑体"/>
          <w:snapToGrid w:val="0"/>
          <w:color w:val="auto"/>
          <w:sz w:val="30"/>
          <w:szCs w:val="30"/>
        </w:rPr>
        <w:t>环境保护措施监督检查清单</w:t>
      </w:r>
      <w:bookmarkEnd w:id="6"/>
    </w:p>
    <w:tbl>
      <w:tblPr>
        <w:tblStyle w:val="19"/>
        <w:tblW w:w="89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591"/>
        <w:gridCol w:w="1972"/>
        <w:gridCol w:w="1067"/>
        <w:gridCol w:w="829"/>
      </w:tblGrid>
      <w:tr w14:paraId="1D3A15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79" w:type="dxa"/>
            <w:vMerge w:val="restart"/>
            <w:tcBorders>
              <w:tl2br w:val="single" w:color="auto" w:sz="4" w:space="0"/>
            </w:tcBorders>
            <w:noWrap w:val="0"/>
            <w:vAlign w:val="top"/>
          </w:tcPr>
          <w:p w14:paraId="2F7D03CF">
            <w:pPr>
              <w:keepNext w:val="0"/>
              <w:keepLines w:val="0"/>
              <w:pageBreakBefore w:val="0"/>
              <w:widowControl w:val="0"/>
              <w:kinsoku/>
              <w:wordWrap/>
              <w:overflowPunct w:val="0"/>
              <w:topLinePunct/>
              <w:autoSpaceDE/>
              <w:autoSpaceDN/>
              <w:bidi w:val="0"/>
              <w:adjustRightInd/>
              <w:snapToGrid/>
              <w:spacing w:line="500" w:lineRule="exact"/>
              <w:ind w:firstLine="720" w:firstLineChars="300"/>
              <w:textAlignment w:val="auto"/>
              <w:rPr>
                <w:color w:val="auto"/>
                <w:spacing w:val="0"/>
                <w:sz w:val="24"/>
                <w:szCs w:val="24"/>
              </w:rPr>
            </w:pPr>
            <w:r>
              <w:rPr>
                <w:color w:val="auto"/>
                <w:spacing w:val="0"/>
                <w:sz w:val="24"/>
                <w:szCs w:val="24"/>
              </w:rPr>
              <w:t>内容</w:t>
            </w:r>
          </w:p>
          <w:p w14:paraId="7C1271C8">
            <w:pPr>
              <w:keepNext w:val="0"/>
              <w:keepLines w:val="0"/>
              <w:pageBreakBefore w:val="0"/>
              <w:widowControl w:val="0"/>
              <w:kinsoku/>
              <w:wordWrap/>
              <w:overflowPunct w:val="0"/>
              <w:topLinePunct/>
              <w:autoSpaceDE/>
              <w:autoSpaceDN/>
              <w:bidi w:val="0"/>
              <w:adjustRightInd/>
              <w:snapToGrid/>
              <w:spacing w:line="500" w:lineRule="exact"/>
              <w:textAlignment w:val="auto"/>
              <w:rPr>
                <w:color w:val="auto"/>
                <w:spacing w:val="0"/>
                <w:sz w:val="24"/>
                <w:szCs w:val="24"/>
              </w:rPr>
            </w:pPr>
            <w:r>
              <w:rPr>
                <w:color w:val="auto"/>
                <w:spacing w:val="0"/>
                <w:sz w:val="24"/>
                <w:szCs w:val="24"/>
              </w:rPr>
              <w:t>要素</w:t>
            </w:r>
          </w:p>
        </w:tc>
        <w:tc>
          <w:tcPr>
            <w:tcW w:w="5563" w:type="dxa"/>
            <w:gridSpan w:val="2"/>
            <w:noWrap w:val="0"/>
            <w:vAlign w:val="center"/>
          </w:tcPr>
          <w:p w14:paraId="37711D5C">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施工期</w:t>
            </w:r>
          </w:p>
        </w:tc>
        <w:tc>
          <w:tcPr>
            <w:tcW w:w="1896" w:type="dxa"/>
            <w:gridSpan w:val="2"/>
            <w:noWrap w:val="0"/>
            <w:vAlign w:val="center"/>
          </w:tcPr>
          <w:p w14:paraId="1259E859">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运营期</w:t>
            </w:r>
          </w:p>
        </w:tc>
      </w:tr>
      <w:tr w14:paraId="078F8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479" w:type="dxa"/>
            <w:vMerge w:val="continue"/>
            <w:noWrap w:val="0"/>
            <w:vAlign w:val="center"/>
          </w:tcPr>
          <w:p w14:paraId="413FD379">
            <w:pPr>
              <w:keepNext w:val="0"/>
              <w:keepLines w:val="0"/>
              <w:pageBreakBefore w:val="0"/>
              <w:widowControl w:val="0"/>
              <w:kinsoku/>
              <w:wordWrap/>
              <w:overflowPunct w:val="0"/>
              <w:topLinePunct/>
              <w:autoSpaceDE/>
              <w:autoSpaceDN/>
              <w:bidi w:val="0"/>
              <w:adjustRightInd/>
              <w:snapToGrid/>
              <w:spacing w:line="500" w:lineRule="exact"/>
              <w:jc w:val="center"/>
              <w:textAlignment w:val="auto"/>
              <w:rPr>
                <w:color w:val="auto"/>
                <w:spacing w:val="0"/>
                <w:sz w:val="24"/>
                <w:szCs w:val="24"/>
              </w:rPr>
            </w:pPr>
          </w:p>
        </w:tc>
        <w:tc>
          <w:tcPr>
            <w:tcW w:w="3591" w:type="dxa"/>
            <w:noWrap w:val="0"/>
            <w:vAlign w:val="center"/>
          </w:tcPr>
          <w:p w14:paraId="2050B42D">
            <w:pPr>
              <w:pStyle w:val="34"/>
              <w:keepNext w:val="0"/>
              <w:keepLines w:val="0"/>
              <w:pageBreakBefore w:val="0"/>
              <w:widowControl w:val="0"/>
              <w:kinsoku/>
              <w:wordWrap/>
              <w:overflowPunct w:val="0"/>
              <w:topLinePunct/>
              <w:autoSpaceDE/>
              <w:autoSpaceDN/>
              <w:bidi w:val="0"/>
              <w:adjustRightInd/>
              <w:snapToGrid/>
              <w:spacing w:before="0" w:after="0" w:line="240" w:lineRule="auto"/>
              <w:ind w:firstLine="0" w:firstLineChars="0"/>
              <w:jc w:val="center"/>
              <w:rPr>
                <w:rFonts w:hint="default" w:ascii="Times New Roman" w:hAnsi="Times New Roman" w:eastAsia="宋体" w:cs="Times New Roman"/>
                <w:b w:val="0"/>
                <w:bCs/>
                <w:color w:val="auto"/>
                <w:spacing w:val="0"/>
                <w:sz w:val="24"/>
                <w:szCs w:val="24"/>
                <w:lang w:val="en-US" w:eastAsia="zh-CN"/>
              </w:rPr>
            </w:pPr>
            <w:r>
              <w:rPr>
                <w:rFonts w:hint="eastAsia" w:ascii="Times New Roman" w:hAnsi="Times New Roman" w:eastAsia="宋体" w:cs="Times New Roman"/>
                <w:b w:val="0"/>
                <w:bCs/>
                <w:color w:val="auto"/>
                <w:spacing w:val="0"/>
                <w:sz w:val="24"/>
                <w:szCs w:val="24"/>
                <w:lang w:val="en-US" w:eastAsia="zh-CN"/>
              </w:rPr>
              <w:t>环境保护措施</w:t>
            </w:r>
          </w:p>
        </w:tc>
        <w:tc>
          <w:tcPr>
            <w:tcW w:w="1972" w:type="dxa"/>
            <w:noWrap w:val="0"/>
            <w:vAlign w:val="center"/>
          </w:tcPr>
          <w:p w14:paraId="6FDCF88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kern w:val="2"/>
                <w:sz w:val="24"/>
                <w:szCs w:val="24"/>
                <w:lang w:val="en-US" w:eastAsia="zh-CN" w:bidi="ar-SA"/>
              </w:rPr>
            </w:pPr>
            <w:r>
              <w:rPr>
                <w:rFonts w:hint="eastAsia"/>
                <w:color w:val="auto"/>
                <w:spacing w:val="0"/>
                <w:kern w:val="2"/>
                <w:sz w:val="24"/>
                <w:szCs w:val="24"/>
                <w:lang w:val="en-US" w:eastAsia="zh-CN" w:bidi="ar-SA"/>
              </w:rPr>
              <w:t>验收要求</w:t>
            </w:r>
          </w:p>
        </w:tc>
        <w:tc>
          <w:tcPr>
            <w:tcW w:w="1067" w:type="dxa"/>
            <w:noWrap w:val="0"/>
            <w:vAlign w:val="center"/>
          </w:tcPr>
          <w:p w14:paraId="69687CB4">
            <w:pPr>
              <w:pStyle w:val="34"/>
              <w:keepNext w:val="0"/>
              <w:keepLines w:val="0"/>
              <w:pageBreakBefore w:val="0"/>
              <w:widowControl w:val="0"/>
              <w:kinsoku/>
              <w:wordWrap/>
              <w:overflowPunct w:val="0"/>
              <w:topLinePunct/>
              <w:autoSpaceDE/>
              <w:autoSpaceDN/>
              <w:bidi w:val="0"/>
              <w:adjustRightInd/>
              <w:snapToGrid/>
              <w:spacing w:before="0" w:after="0" w:line="240" w:lineRule="auto"/>
              <w:ind w:firstLine="0" w:firstLineChars="0"/>
              <w:jc w:val="center"/>
              <w:rPr>
                <w:rFonts w:hint="default" w:ascii="Times New Roman" w:hAnsi="Times New Roman" w:eastAsia="宋体" w:cs="Times New Roman"/>
                <w:b w:val="0"/>
                <w:bCs/>
                <w:color w:val="auto"/>
                <w:spacing w:val="0"/>
                <w:kern w:val="0"/>
                <w:sz w:val="24"/>
                <w:szCs w:val="24"/>
                <w:lang w:val="en-US" w:eastAsia="zh-CN" w:bidi="ar-SA"/>
              </w:rPr>
            </w:pPr>
            <w:r>
              <w:rPr>
                <w:rFonts w:hint="eastAsia" w:ascii="Times New Roman" w:hAnsi="Times New Roman" w:eastAsia="宋体" w:cs="Times New Roman"/>
                <w:b w:val="0"/>
                <w:bCs/>
                <w:color w:val="auto"/>
                <w:spacing w:val="0"/>
                <w:sz w:val="24"/>
                <w:szCs w:val="24"/>
                <w:lang w:val="en-US" w:eastAsia="zh-CN"/>
              </w:rPr>
              <w:t>环境保护措施</w:t>
            </w:r>
          </w:p>
        </w:tc>
        <w:tc>
          <w:tcPr>
            <w:tcW w:w="829" w:type="dxa"/>
            <w:noWrap w:val="0"/>
            <w:vAlign w:val="center"/>
          </w:tcPr>
          <w:p w14:paraId="489A814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kern w:val="2"/>
                <w:sz w:val="24"/>
                <w:szCs w:val="24"/>
                <w:lang w:val="en-US" w:eastAsia="zh-CN" w:bidi="ar-SA"/>
              </w:rPr>
            </w:pPr>
            <w:r>
              <w:rPr>
                <w:rFonts w:hint="eastAsia"/>
                <w:color w:val="auto"/>
                <w:spacing w:val="0"/>
                <w:kern w:val="2"/>
                <w:sz w:val="24"/>
                <w:szCs w:val="24"/>
                <w:lang w:val="en-US" w:eastAsia="zh-CN" w:bidi="ar-SA"/>
              </w:rPr>
              <w:t>验收要求</w:t>
            </w:r>
          </w:p>
        </w:tc>
      </w:tr>
      <w:tr w14:paraId="6FAA3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1479" w:type="dxa"/>
            <w:noWrap w:val="0"/>
            <w:vAlign w:val="center"/>
          </w:tcPr>
          <w:p w14:paraId="2C56B2D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陆生生态</w:t>
            </w:r>
          </w:p>
        </w:tc>
        <w:tc>
          <w:tcPr>
            <w:tcW w:w="3591" w:type="dxa"/>
            <w:noWrap w:val="0"/>
            <w:vAlign w:val="center"/>
          </w:tcPr>
          <w:p w14:paraId="0277FB8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color w:val="auto"/>
                <w:spacing w:val="0"/>
                <w:sz w:val="24"/>
                <w:szCs w:val="24"/>
                <w:lang w:val="en-US" w:eastAsia="zh-CN"/>
              </w:rPr>
            </w:pPr>
            <w:r>
              <w:rPr>
                <w:rFonts w:hint="eastAsia"/>
                <w:color w:val="auto"/>
                <w:spacing w:val="0"/>
                <w:sz w:val="24"/>
                <w:szCs w:val="24"/>
                <w:lang w:val="en-US" w:eastAsia="zh-CN"/>
              </w:rPr>
              <w:t>加强施工管理，严格控制施工范围；</w:t>
            </w:r>
            <w:r>
              <w:rPr>
                <w:rFonts w:hint="eastAsia" w:eastAsia="宋体"/>
                <w:color w:val="auto"/>
                <w:spacing w:val="0"/>
                <w:sz w:val="24"/>
                <w:szCs w:val="24"/>
                <w:lang w:val="en-US" w:eastAsia="zh-CN"/>
              </w:rPr>
              <w:t>施工过</w:t>
            </w:r>
            <w:r>
              <w:rPr>
                <w:rFonts w:hint="eastAsia"/>
                <w:color w:val="auto"/>
                <w:spacing w:val="0"/>
                <w:sz w:val="24"/>
                <w:szCs w:val="24"/>
                <w:lang w:val="en-US" w:eastAsia="zh-CN"/>
              </w:rPr>
              <w:t>程中</w:t>
            </w:r>
            <w:r>
              <w:rPr>
                <w:rFonts w:hint="eastAsia" w:eastAsia="宋体"/>
                <w:color w:val="auto"/>
                <w:spacing w:val="0"/>
                <w:sz w:val="24"/>
                <w:szCs w:val="24"/>
                <w:lang w:val="en-US" w:eastAsia="zh-CN"/>
              </w:rPr>
              <w:t>对表土进行剥离，</w:t>
            </w:r>
            <w:r>
              <w:rPr>
                <w:rFonts w:hint="eastAsia"/>
                <w:color w:val="auto"/>
                <w:spacing w:val="0"/>
                <w:sz w:val="24"/>
                <w:szCs w:val="24"/>
                <w:lang w:val="en-US" w:eastAsia="zh-CN"/>
              </w:rPr>
              <w:t>单独</w:t>
            </w:r>
            <w:r>
              <w:rPr>
                <w:rFonts w:hint="eastAsia" w:eastAsia="宋体"/>
                <w:color w:val="auto"/>
                <w:spacing w:val="0"/>
                <w:sz w:val="24"/>
                <w:szCs w:val="24"/>
                <w:lang w:val="en-US" w:eastAsia="zh-CN"/>
              </w:rPr>
              <w:t>堆存，后用于占地的覆土进行植被恢复</w:t>
            </w:r>
            <w:r>
              <w:rPr>
                <w:rFonts w:hint="eastAsia"/>
                <w:color w:val="auto"/>
                <w:spacing w:val="0"/>
                <w:sz w:val="24"/>
                <w:szCs w:val="24"/>
                <w:lang w:val="en-US" w:eastAsia="zh-CN"/>
              </w:rPr>
              <w:t>；施工结束后，及时对施工范围内占地进行清理和生态恢复等措施</w:t>
            </w:r>
          </w:p>
        </w:tc>
        <w:tc>
          <w:tcPr>
            <w:tcW w:w="1972" w:type="dxa"/>
            <w:noWrap w:val="0"/>
            <w:vAlign w:val="center"/>
          </w:tcPr>
          <w:p w14:paraId="6E0D09A7">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落实环保措施，减少对陆生生态的影响</w:t>
            </w:r>
          </w:p>
        </w:tc>
        <w:tc>
          <w:tcPr>
            <w:tcW w:w="1067" w:type="dxa"/>
            <w:noWrap w:val="0"/>
            <w:vAlign w:val="center"/>
          </w:tcPr>
          <w:p w14:paraId="02200DD9">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临时占地均恢复原有土地类型、采取植被恢复措施</w:t>
            </w:r>
          </w:p>
        </w:tc>
        <w:tc>
          <w:tcPr>
            <w:tcW w:w="829" w:type="dxa"/>
            <w:noWrap w:val="0"/>
            <w:vAlign w:val="center"/>
          </w:tcPr>
          <w:p w14:paraId="6468B14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满足环评要求</w:t>
            </w:r>
          </w:p>
        </w:tc>
      </w:tr>
      <w:tr w14:paraId="2A42D3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1479" w:type="dxa"/>
            <w:noWrap w:val="0"/>
            <w:vAlign w:val="center"/>
          </w:tcPr>
          <w:p w14:paraId="4A267BC5">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水生生态</w:t>
            </w:r>
          </w:p>
        </w:tc>
        <w:tc>
          <w:tcPr>
            <w:tcW w:w="3591" w:type="dxa"/>
            <w:noWrap w:val="0"/>
            <w:vAlign w:val="center"/>
          </w:tcPr>
          <w:p w14:paraId="633D0E9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施工中土方堆放采取苫盖措施，施工废水不外排；禁止在河道内存放砂子、水泥等施工材料以及施工机械维修，以免SS等污染物质进入地表水体，影响水生生物生存</w:t>
            </w:r>
            <w:r>
              <w:rPr>
                <w:rFonts w:hint="eastAsia" w:cs="Times New Roman"/>
                <w:color w:val="auto"/>
                <w:spacing w:val="0"/>
                <w:sz w:val="24"/>
                <w:szCs w:val="24"/>
                <w:lang w:val="en-US" w:eastAsia="zh-CN"/>
              </w:rPr>
              <w:t>，涉水工程采用围堰施工。</w:t>
            </w:r>
          </w:p>
        </w:tc>
        <w:tc>
          <w:tcPr>
            <w:tcW w:w="1972" w:type="dxa"/>
            <w:noWrap w:val="0"/>
            <w:vAlign w:val="center"/>
          </w:tcPr>
          <w:p w14:paraId="1A8243B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落实环保措施，减少对水生生态的影响</w:t>
            </w:r>
          </w:p>
        </w:tc>
        <w:tc>
          <w:tcPr>
            <w:tcW w:w="1067" w:type="dxa"/>
            <w:noWrap w:val="0"/>
            <w:vAlign w:val="center"/>
          </w:tcPr>
          <w:p w14:paraId="51C0337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highlight w:val="none"/>
                <w:lang w:val="en-US" w:eastAsia="zh-CN"/>
              </w:rPr>
            </w:pPr>
            <w:r>
              <w:rPr>
                <w:rFonts w:hint="eastAsia"/>
                <w:color w:val="auto"/>
                <w:spacing w:val="0"/>
                <w:sz w:val="24"/>
                <w:szCs w:val="24"/>
                <w:lang w:val="en-US" w:eastAsia="zh-CN"/>
              </w:rPr>
              <w:t>/</w:t>
            </w:r>
          </w:p>
        </w:tc>
        <w:tc>
          <w:tcPr>
            <w:tcW w:w="829" w:type="dxa"/>
            <w:noWrap w:val="0"/>
            <w:vAlign w:val="center"/>
          </w:tcPr>
          <w:p w14:paraId="0673FCB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highlight w:val="none"/>
                <w:lang w:val="en-US" w:eastAsia="zh-CN"/>
              </w:rPr>
            </w:pPr>
            <w:r>
              <w:rPr>
                <w:rFonts w:hint="eastAsia"/>
                <w:color w:val="auto"/>
                <w:spacing w:val="0"/>
                <w:sz w:val="24"/>
                <w:szCs w:val="24"/>
                <w:lang w:val="en-US" w:eastAsia="zh-CN"/>
              </w:rPr>
              <w:t>/</w:t>
            </w:r>
          </w:p>
        </w:tc>
      </w:tr>
      <w:tr w14:paraId="037A9E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79" w:type="dxa"/>
            <w:noWrap w:val="0"/>
            <w:vAlign w:val="center"/>
          </w:tcPr>
          <w:p w14:paraId="5132940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地表水环境</w:t>
            </w:r>
          </w:p>
        </w:tc>
        <w:tc>
          <w:tcPr>
            <w:tcW w:w="3591" w:type="dxa"/>
            <w:noWrap w:val="0"/>
            <w:vAlign w:val="center"/>
          </w:tcPr>
          <w:p w14:paraId="73A01C4B">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施工期施工废水采用临时沉淀池处理后</w:t>
            </w:r>
            <w:r>
              <w:rPr>
                <w:rFonts w:hint="eastAsia" w:cs="Times New Roman"/>
                <w:color w:val="auto"/>
                <w:spacing w:val="0"/>
                <w:sz w:val="24"/>
                <w:szCs w:val="24"/>
                <w:lang w:val="en-US" w:eastAsia="zh-CN"/>
              </w:rPr>
              <w:t>回用于洒水等</w:t>
            </w:r>
            <w:r>
              <w:rPr>
                <w:rFonts w:hint="eastAsia" w:ascii="Times New Roman" w:hAnsi="Times New Roman" w:eastAsia="宋体" w:cs="Times New Roman"/>
                <w:color w:val="auto"/>
                <w:spacing w:val="0"/>
                <w:sz w:val="24"/>
                <w:szCs w:val="24"/>
                <w:lang w:val="en-US" w:eastAsia="zh-CN"/>
              </w:rPr>
              <w:t>，不外排；</w:t>
            </w:r>
            <w:r>
              <w:rPr>
                <w:rFonts w:hint="eastAsia" w:cs="Times New Roman"/>
                <w:color w:val="auto"/>
                <w:spacing w:val="0"/>
                <w:sz w:val="24"/>
                <w:szCs w:val="24"/>
                <w:lang w:val="en-US" w:eastAsia="zh-CN"/>
              </w:rPr>
              <w:t>泥浆废水</w:t>
            </w:r>
            <w:r>
              <w:rPr>
                <w:rFonts w:hint="eastAsia" w:ascii="Times New Roman" w:hAnsi="Times New Roman" w:eastAsia="宋体" w:cs="Times New Roman"/>
                <w:color w:val="auto"/>
                <w:spacing w:val="0"/>
                <w:sz w:val="24"/>
                <w:szCs w:val="24"/>
                <w:lang w:val="en-US" w:eastAsia="zh-CN"/>
              </w:rPr>
              <w:t>经</w:t>
            </w:r>
            <w:r>
              <w:rPr>
                <w:rFonts w:hint="eastAsia" w:cs="Times New Roman"/>
                <w:color w:val="auto"/>
                <w:spacing w:val="0"/>
                <w:sz w:val="24"/>
                <w:szCs w:val="24"/>
                <w:lang w:val="en-US" w:eastAsia="zh-CN"/>
              </w:rPr>
              <w:t>泥浆池沉淀处理后</w:t>
            </w:r>
            <w:r>
              <w:rPr>
                <w:rFonts w:hint="eastAsia" w:ascii="Times New Roman" w:hAnsi="Times New Roman" w:eastAsia="宋体" w:cs="Times New Roman"/>
                <w:color w:val="auto"/>
                <w:spacing w:val="0"/>
                <w:sz w:val="24"/>
                <w:szCs w:val="24"/>
                <w:lang w:val="en-US" w:eastAsia="zh-CN"/>
              </w:rPr>
              <w:t>回用于场地洒水；生活区污水依托租住的民舍</w:t>
            </w:r>
            <w:r>
              <w:rPr>
                <w:rFonts w:hint="eastAsia" w:cs="Times New Roman"/>
                <w:color w:val="auto"/>
                <w:spacing w:val="0"/>
                <w:sz w:val="24"/>
                <w:szCs w:val="24"/>
                <w:lang w:val="en-US" w:eastAsia="zh-CN"/>
              </w:rPr>
              <w:t>化粪池</w:t>
            </w:r>
            <w:r>
              <w:rPr>
                <w:rFonts w:hint="eastAsia" w:ascii="Times New Roman" w:hAnsi="Times New Roman" w:eastAsia="宋体" w:cs="Times New Roman"/>
                <w:color w:val="auto"/>
                <w:spacing w:val="0"/>
                <w:sz w:val="24"/>
                <w:szCs w:val="24"/>
                <w:lang w:val="en-US" w:eastAsia="zh-CN"/>
              </w:rPr>
              <w:t>收集，施工现场污水依托沿线居民</w:t>
            </w:r>
            <w:r>
              <w:rPr>
                <w:rFonts w:hint="eastAsia" w:cs="Times New Roman"/>
                <w:color w:val="auto"/>
                <w:spacing w:val="0"/>
                <w:sz w:val="24"/>
                <w:szCs w:val="24"/>
                <w:lang w:val="en-US" w:eastAsia="zh-CN"/>
              </w:rPr>
              <w:t>化粪池</w:t>
            </w:r>
            <w:r>
              <w:rPr>
                <w:rFonts w:hint="eastAsia" w:ascii="Times New Roman" w:hAnsi="Times New Roman" w:eastAsia="宋体" w:cs="Times New Roman"/>
                <w:color w:val="auto"/>
                <w:spacing w:val="0"/>
                <w:sz w:val="24"/>
                <w:szCs w:val="24"/>
                <w:lang w:val="en-US" w:eastAsia="zh-CN"/>
              </w:rPr>
              <w:t>，不外排。</w:t>
            </w:r>
          </w:p>
        </w:tc>
        <w:tc>
          <w:tcPr>
            <w:tcW w:w="1972" w:type="dxa"/>
            <w:noWrap w:val="0"/>
            <w:vAlign w:val="center"/>
          </w:tcPr>
          <w:p w14:paraId="3765552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废水综合利用，不外排</w:t>
            </w:r>
          </w:p>
        </w:tc>
        <w:tc>
          <w:tcPr>
            <w:tcW w:w="1067" w:type="dxa"/>
            <w:noWrap w:val="0"/>
            <w:vAlign w:val="center"/>
          </w:tcPr>
          <w:p w14:paraId="78B6C92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cs="Times New Roman"/>
                <w:color w:val="auto"/>
                <w:spacing w:val="0"/>
                <w:sz w:val="24"/>
                <w:szCs w:val="24"/>
                <w:highlight w:val="none"/>
                <w:vertAlign w:val="baseline"/>
                <w:lang w:val="en-US" w:eastAsia="zh-CN"/>
              </w:rPr>
            </w:pPr>
            <w:r>
              <w:rPr>
                <w:rFonts w:hint="eastAsia" w:ascii="Times New Roman" w:hAnsi="Times New Roman" w:eastAsia="宋体" w:cs="Times New Roman"/>
                <w:b w:val="0"/>
                <w:bCs w:val="0"/>
                <w:color w:val="auto"/>
                <w:spacing w:val="0"/>
                <w:kern w:val="0"/>
                <w:sz w:val="24"/>
                <w:szCs w:val="24"/>
                <w:lang w:val="en-US" w:eastAsia="zh-CN" w:bidi="ar"/>
              </w:rPr>
              <w:t>/</w:t>
            </w:r>
          </w:p>
        </w:tc>
        <w:tc>
          <w:tcPr>
            <w:tcW w:w="829" w:type="dxa"/>
            <w:noWrap w:val="0"/>
            <w:vAlign w:val="center"/>
          </w:tcPr>
          <w:p w14:paraId="51D0325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eastAsia="宋体"/>
                <w:color w:val="auto"/>
                <w:spacing w:val="0"/>
                <w:sz w:val="24"/>
                <w:szCs w:val="24"/>
                <w:lang w:val="en-US" w:eastAsia="zh-CN"/>
              </w:rPr>
              <w:t>/</w:t>
            </w:r>
          </w:p>
        </w:tc>
      </w:tr>
      <w:tr w14:paraId="54A23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479" w:type="dxa"/>
            <w:noWrap w:val="0"/>
            <w:vAlign w:val="center"/>
          </w:tcPr>
          <w:p w14:paraId="30D53D7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color w:val="auto"/>
                <w:spacing w:val="0"/>
                <w:sz w:val="24"/>
                <w:szCs w:val="24"/>
                <w:lang w:val="en-US" w:eastAsia="zh-CN"/>
              </w:rPr>
            </w:pPr>
            <w:r>
              <w:rPr>
                <w:rFonts w:hint="eastAsia"/>
                <w:color w:val="auto"/>
                <w:spacing w:val="0"/>
                <w:sz w:val="24"/>
                <w:szCs w:val="24"/>
                <w:lang w:val="en-US" w:eastAsia="zh-CN"/>
              </w:rPr>
              <w:t>地下水及</w:t>
            </w:r>
          </w:p>
          <w:p w14:paraId="4B3F29E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土壤环境</w:t>
            </w:r>
          </w:p>
        </w:tc>
        <w:tc>
          <w:tcPr>
            <w:tcW w:w="3591" w:type="dxa"/>
            <w:noWrap w:val="0"/>
            <w:vAlign w:val="center"/>
          </w:tcPr>
          <w:p w14:paraId="3E39931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沉淀池</w:t>
            </w:r>
            <w:r>
              <w:rPr>
                <w:rFonts w:hint="eastAsia" w:cs="Times New Roman"/>
                <w:color w:val="auto"/>
                <w:spacing w:val="0"/>
                <w:sz w:val="24"/>
                <w:szCs w:val="24"/>
                <w:lang w:val="en-US" w:eastAsia="zh-CN"/>
              </w:rPr>
              <w:t>和泥浆池</w:t>
            </w:r>
            <w:r>
              <w:rPr>
                <w:rFonts w:hint="eastAsia" w:ascii="Times New Roman" w:hAnsi="Times New Roman" w:eastAsia="宋体" w:cs="Times New Roman"/>
                <w:color w:val="auto"/>
                <w:spacing w:val="0"/>
                <w:sz w:val="24"/>
                <w:szCs w:val="24"/>
                <w:lang w:val="en-US" w:eastAsia="zh-CN"/>
              </w:rPr>
              <w:t>采取防渗措施</w:t>
            </w:r>
          </w:p>
        </w:tc>
        <w:tc>
          <w:tcPr>
            <w:tcW w:w="1972" w:type="dxa"/>
            <w:noWrap w:val="0"/>
            <w:vAlign w:val="center"/>
          </w:tcPr>
          <w:p w14:paraId="47D31C0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按环评要求落实</w:t>
            </w:r>
          </w:p>
        </w:tc>
        <w:tc>
          <w:tcPr>
            <w:tcW w:w="1067" w:type="dxa"/>
            <w:noWrap w:val="0"/>
            <w:vAlign w:val="center"/>
          </w:tcPr>
          <w:p w14:paraId="79CA582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c>
          <w:tcPr>
            <w:tcW w:w="829" w:type="dxa"/>
            <w:noWrap w:val="0"/>
            <w:vAlign w:val="center"/>
          </w:tcPr>
          <w:p w14:paraId="02D91B2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r>
      <w:tr w14:paraId="55994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1479" w:type="dxa"/>
            <w:noWrap w:val="0"/>
            <w:vAlign w:val="center"/>
          </w:tcPr>
          <w:p w14:paraId="6A70FC1A">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声环境</w:t>
            </w:r>
          </w:p>
        </w:tc>
        <w:tc>
          <w:tcPr>
            <w:tcW w:w="3591" w:type="dxa"/>
            <w:noWrap w:val="0"/>
            <w:vAlign w:val="center"/>
          </w:tcPr>
          <w:p w14:paraId="2489DC9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选用低噪声设备、加强设备维护与保养；合理安排施工作业、运输时间，途经声环境保护目标处减速缓行，并禁止鸣笛；优化施工场地布设，使施工场地远离居民点；尽量避免所有机械同时施工，振动较大的机械设备采取基座减振</w:t>
            </w:r>
          </w:p>
        </w:tc>
        <w:tc>
          <w:tcPr>
            <w:tcW w:w="1972" w:type="dxa"/>
            <w:noWrap w:val="0"/>
            <w:vAlign w:val="center"/>
          </w:tcPr>
          <w:p w14:paraId="47542E0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ascii="Times New Roman" w:hAnsi="Times New Roman" w:eastAsia="宋体" w:cs="Times New Roman"/>
                <w:color w:val="auto"/>
                <w:spacing w:val="0"/>
                <w:sz w:val="24"/>
                <w:szCs w:val="24"/>
                <w:lang w:val="en-US" w:eastAsia="zh-CN"/>
              </w:rPr>
            </w:pPr>
            <w:r>
              <w:rPr>
                <w:rFonts w:hint="eastAsia" w:ascii="Times New Roman" w:hAnsi="Times New Roman" w:eastAsia="宋体" w:cs="Times New Roman"/>
                <w:color w:val="auto"/>
                <w:spacing w:val="0"/>
                <w:sz w:val="24"/>
                <w:szCs w:val="24"/>
                <w:lang w:val="en-US" w:eastAsia="zh-CN"/>
              </w:rPr>
              <w:t>施工场界噪声满足《建筑施工场界环境噪声排放标准》（GB12523-2025），环境敏感点噪声满足《声环境质量标准》（GB3096-2008）2类标准</w:t>
            </w:r>
          </w:p>
        </w:tc>
        <w:tc>
          <w:tcPr>
            <w:tcW w:w="1067" w:type="dxa"/>
            <w:noWrap w:val="0"/>
            <w:vAlign w:val="center"/>
          </w:tcPr>
          <w:p w14:paraId="0BCD2B6F">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rPr>
            </w:pPr>
            <w:r>
              <w:rPr>
                <w:rFonts w:hint="eastAsia" w:eastAsia="宋体" w:cs="宋体"/>
                <w:color w:val="auto"/>
                <w:spacing w:val="0"/>
                <w:kern w:val="0"/>
                <w:sz w:val="24"/>
                <w:szCs w:val="24"/>
                <w:lang w:val="en-US" w:eastAsia="zh-CN" w:bidi="ar"/>
              </w:rPr>
              <w:t>/</w:t>
            </w:r>
          </w:p>
        </w:tc>
        <w:tc>
          <w:tcPr>
            <w:tcW w:w="829" w:type="dxa"/>
            <w:noWrap w:val="0"/>
            <w:vAlign w:val="center"/>
          </w:tcPr>
          <w:p w14:paraId="493D9D0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r>
      <w:tr w14:paraId="64AF7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79" w:type="dxa"/>
            <w:noWrap w:val="0"/>
            <w:vAlign w:val="center"/>
          </w:tcPr>
          <w:p w14:paraId="2FDFFC0C">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振动</w:t>
            </w:r>
          </w:p>
        </w:tc>
        <w:tc>
          <w:tcPr>
            <w:tcW w:w="3591" w:type="dxa"/>
            <w:noWrap w:val="0"/>
            <w:vAlign w:val="center"/>
          </w:tcPr>
          <w:p w14:paraId="3AED0EAD">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eastAsia="zh-CN"/>
              </w:rPr>
            </w:pPr>
            <w:r>
              <w:rPr>
                <w:rFonts w:hint="eastAsia"/>
                <w:color w:val="auto"/>
                <w:spacing w:val="0"/>
                <w:sz w:val="24"/>
                <w:szCs w:val="24"/>
                <w:lang w:val="en-US" w:eastAsia="zh-CN"/>
              </w:rPr>
              <w:t>/</w:t>
            </w:r>
          </w:p>
        </w:tc>
        <w:tc>
          <w:tcPr>
            <w:tcW w:w="1972" w:type="dxa"/>
            <w:noWrap w:val="0"/>
            <w:vAlign w:val="center"/>
          </w:tcPr>
          <w:p w14:paraId="553B0D05">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eastAsia="宋体"/>
                <w:color w:val="auto"/>
                <w:spacing w:val="0"/>
                <w:sz w:val="24"/>
                <w:szCs w:val="24"/>
                <w:lang w:val="en-US" w:eastAsia="zh-CN"/>
              </w:rPr>
              <w:t>/</w:t>
            </w:r>
          </w:p>
        </w:tc>
        <w:tc>
          <w:tcPr>
            <w:tcW w:w="1067" w:type="dxa"/>
            <w:noWrap w:val="0"/>
            <w:vAlign w:val="center"/>
          </w:tcPr>
          <w:p w14:paraId="29F3729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c>
          <w:tcPr>
            <w:tcW w:w="829" w:type="dxa"/>
            <w:noWrap w:val="0"/>
            <w:vAlign w:val="center"/>
          </w:tcPr>
          <w:p w14:paraId="7D82AB77">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r>
      <w:tr w14:paraId="50425F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1479" w:type="dxa"/>
            <w:noWrap w:val="0"/>
            <w:vAlign w:val="center"/>
          </w:tcPr>
          <w:p w14:paraId="0FEAAC9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大气环境</w:t>
            </w:r>
          </w:p>
        </w:tc>
        <w:tc>
          <w:tcPr>
            <w:tcW w:w="3591" w:type="dxa"/>
            <w:noWrap w:val="0"/>
            <w:vAlign w:val="center"/>
          </w:tcPr>
          <w:p w14:paraId="22195C3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eastAsia="zh-CN"/>
              </w:rPr>
            </w:pPr>
            <w:r>
              <w:rPr>
                <w:rFonts w:hint="default"/>
                <w:color w:val="auto"/>
                <w:spacing w:val="0"/>
                <w:sz w:val="24"/>
                <w:szCs w:val="24"/>
                <w:lang w:val="en-US" w:eastAsia="zh-CN"/>
              </w:rPr>
              <w:t>施工道路定时洒水抑尘</w:t>
            </w:r>
            <w:r>
              <w:rPr>
                <w:rFonts w:hint="eastAsia"/>
                <w:color w:val="auto"/>
                <w:spacing w:val="0"/>
                <w:sz w:val="24"/>
                <w:szCs w:val="24"/>
                <w:lang w:val="en-US" w:eastAsia="zh-CN"/>
              </w:rPr>
              <w:t>；</w:t>
            </w:r>
            <w:r>
              <w:rPr>
                <w:rFonts w:hint="default"/>
                <w:color w:val="auto"/>
                <w:spacing w:val="0"/>
                <w:sz w:val="24"/>
                <w:szCs w:val="24"/>
                <w:lang w:val="en-US" w:eastAsia="zh-CN"/>
              </w:rPr>
              <w:t>对建筑材料和开挖的土石方采用防尘网进行覆盖</w:t>
            </w:r>
            <w:r>
              <w:rPr>
                <w:rFonts w:hint="eastAsia"/>
                <w:color w:val="auto"/>
                <w:spacing w:val="0"/>
                <w:sz w:val="24"/>
                <w:szCs w:val="24"/>
                <w:lang w:val="en-US" w:eastAsia="zh-CN"/>
              </w:rPr>
              <w:t>；</w:t>
            </w:r>
            <w:r>
              <w:rPr>
                <w:rFonts w:hint="default"/>
                <w:color w:val="auto"/>
                <w:spacing w:val="0"/>
                <w:sz w:val="24"/>
                <w:szCs w:val="24"/>
                <w:lang w:val="en-US" w:eastAsia="zh-CN"/>
              </w:rPr>
              <w:t>采用符合相关环境标准的机械和车辆</w:t>
            </w:r>
          </w:p>
        </w:tc>
        <w:tc>
          <w:tcPr>
            <w:tcW w:w="1972" w:type="dxa"/>
            <w:noWrap w:val="0"/>
            <w:vAlign w:val="center"/>
          </w:tcPr>
          <w:p w14:paraId="2314B715">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eastAsia="zh-CN"/>
              </w:rPr>
              <w:t>满足</w:t>
            </w:r>
            <w:r>
              <w:rPr>
                <w:rFonts w:hint="eastAsia"/>
                <w:color w:val="auto"/>
                <w:spacing w:val="0"/>
                <w:sz w:val="24"/>
                <w:szCs w:val="24"/>
              </w:rPr>
              <w:t>《施工场界扬尘排放限值》（DB61/1078-2017）</w:t>
            </w:r>
            <w:r>
              <w:rPr>
                <w:rFonts w:hint="eastAsia"/>
                <w:color w:val="auto"/>
                <w:spacing w:val="0"/>
                <w:sz w:val="24"/>
                <w:szCs w:val="24"/>
                <w:lang w:eastAsia="zh-CN"/>
              </w:rPr>
              <w:t>中施工场界扬尘浓度限值</w:t>
            </w:r>
          </w:p>
        </w:tc>
        <w:tc>
          <w:tcPr>
            <w:tcW w:w="1067" w:type="dxa"/>
            <w:noWrap w:val="0"/>
            <w:vAlign w:val="center"/>
          </w:tcPr>
          <w:p w14:paraId="2092BCB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rPr>
            </w:pPr>
            <w:r>
              <w:rPr>
                <w:rFonts w:hint="eastAsia" w:ascii="Times New Roman" w:hAnsi="Times New Roman" w:eastAsia="宋体" w:cs="Times New Roman"/>
                <w:color w:val="auto"/>
                <w:spacing w:val="0"/>
                <w:kern w:val="0"/>
                <w:sz w:val="24"/>
                <w:szCs w:val="24"/>
                <w:lang w:val="en-US" w:eastAsia="zh-CN" w:bidi="ar"/>
              </w:rPr>
              <w:t>/</w:t>
            </w:r>
          </w:p>
        </w:tc>
        <w:tc>
          <w:tcPr>
            <w:tcW w:w="829" w:type="dxa"/>
            <w:noWrap w:val="0"/>
            <w:vAlign w:val="center"/>
          </w:tcPr>
          <w:p w14:paraId="2E51C05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p>
        </w:tc>
      </w:tr>
      <w:tr w14:paraId="1F607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479" w:type="dxa"/>
            <w:noWrap w:val="0"/>
            <w:vAlign w:val="center"/>
          </w:tcPr>
          <w:p w14:paraId="079854DF">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固体废物</w:t>
            </w:r>
          </w:p>
        </w:tc>
        <w:tc>
          <w:tcPr>
            <w:tcW w:w="3591" w:type="dxa"/>
            <w:noWrap w:val="0"/>
            <w:vAlign w:val="center"/>
          </w:tcPr>
          <w:p w14:paraId="49B16EE1">
            <w:pPr>
              <w:pStyle w:val="38"/>
              <w:spacing w:before="39" w:line="246" w:lineRule="auto"/>
              <w:ind w:left="0" w:leftChars="0" w:right="105" w:rightChars="0" w:firstLine="0" w:firstLineChars="0"/>
              <w:jc w:val="both"/>
              <w:rPr>
                <w:rFonts w:hint="eastAsia"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olor w:val="auto"/>
                <w:sz w:val="24"/>
                <w:szCs w:val="24"/>
                <w:vertAlign w:val="baseline"/>
                <w:lang w:val="en-US" w:eastAsia="zh-CN"/>
              </w:rPr>
              <w:t>施工产生的建筑废料及时外运</w:t>
            </w:r>
            <w:r>
              <w:rPr>
                <w:rFonts w:hint="eastAsia" w:ascii="Times New Roman" w:hAnsi="Times New Roman"/>
                <w:color w:val="auto"/>
                <w:sz w:val="24"/>
                <w:szCs w:val="24"/>
                <w:vertAlign w:val="baseline"/>
                <w:lang w:val="en-US" w:eastAsia="zh-CN"/>
              </w:rPr>
              <w:t>至当地建筑垃圾填埋场；</w:t>
            </w:r>
            <w:r>
              <w:rPr>
                <w:rFonts w:ascii="Times New Roman" w:hAnsi="Times New Roman" w:eastAsia="宋体"/>
                <w:color w:val="auto"/>
                <w:spacing w:val="16"/>
                <w:sz w:val="24"/>
                <w:szCs w:val="24"/>
              </w:rPr>
              <w:t>生活垃圾分类收集</w:t>
            </w:r>
            <w:r>
              <w:rPr>
                <w:rFonts w:hint="eastAsia" w:ascii="Times New Roman" w:hAnsi="Times New Roman"/>
                <w:color w:val="auto"/>
                <w:spacing w:val="16"/>
                <w:sz w:val="24"/>
                <w:szCs w:val="24"/>
                <w:lang w:val="en-US" w:eastAsia="zh-CN"/>
              </w:rPr>
              <w:t>至垃圾桶</w:t>
            </w:r>
            <w:r>
              <w:rPr>
                <w:rFonts w:ascii="Times New Roman" w:hAnsi="Times New Roman" w:eastAsia="宋体"/>
                <w:color w:val="auto"/>
                <w:spacing w:val="16"/>
                <w:sz w:val="24"/>
                <w:szCs w:val="24"/>
              </w:rPr>
              <w:t>后定期清运</w:t>
            </w:r>
            <w:r>
              <w:rPr>
                <w:rFonts w:ascii="Times New Roman" w:hAnsi="Times New Roman" w:eastAsia="宋体"/>
                <w:color w:val="auto"/>
                <w:spacing w:val="7"/>
                <w:sz w:val="24"/>
                <w:szCs w:val="24"/>
              </w:rPr>
              <w:t>至环卫部门指定地点处置</w:t>
            </w:r>
            <w:r>
              <w:rPr>
                <w:rFonts w:hint="eastAsia" w:ascii="Times New Roman" w:hAnsi="Times New Roman"/>
                <w:color w:val="auto"/>
                <w:spacing w:val="7"/>
                <w:sz w:val="24"/>
                <w:szCs w:val="24"/>
                <w:lang w:eastAsia="zh-CN"/>
              </w:rPr>
              <w:t>；</w:t>
            </w:r>
            <w:r>
              <w:rPr>
                <w:rFonts w:hint="eastAsia" w:ascii="Times New Roman" w:hAnsi="Times New Roman"/>
                <w:color w:val="auto"/>
                <w:spacing w:val="7"/>
                <w:sz w:val="24"/>
                <w:szCs w:val="24"/>
                <w:lang w:val="en-US" w:eastAsia="zh-CN"/>
              </w:rPr>
              <w:t>泥浆水沉渣回填至河道低洼处</w:t>
            </w:r>
            <w:r>
              <w:rPr>
                <w:rFonts w:hint="eastAsia" w:ascii="Times New Roman" w:hAnsi="Times New Roman"/>
                <w:color w:val="auto"/>
                <w:spacing w:val="7"/>
                <w:sz w:val="24"/>
                <w:szCs w:val="24"/>
                <w:lang w:eastAsia="zh-CN"/>
              </w:rPr>
              <w:t>。</w:t>
            </w:r>
          </w:p>
        </w:tc>
        <w:tc>
          <w:tcPr>
            <w:tcW w:w="1972" w:type="dxa"/>
            <w:noWrap w:val="0"/>
            <w:vAlign w:val="center"/>
          </w:tcPr>
          <w:p w14:paraId="3970B5A9">
            <w:pPr>
              <w:pStyle w:val="38"/>
              <w:spacing w:before="65" w:line="232" w:lineRule="auto"/>
              <w:ind w:left="0" w:leftChars="0" w:firstLine="0" w:firstLineChars="0"/>
              <w:jc w:val="center"/>
              <w:rPr>
                <w:rFonts w:hint="eastAsia" w:eastAsia="宋体"/>
                <w:color w:val="auto"/>
                <w:spacing w:val="0"/>
                <w:sz w:val="24"/>
                <w:szCs w:val="24"/>
                <w:lang w:val="en-US" w:eastAsia="zh-CN"/>
              </w:rPr>
            </w:pPr>
            <w:r>
              <w:rPr>
                <w:rFonts w:ascii="Times New Roman" w:hAnsi="Times New Roman" w:eastAsia="宋体"/>
                <w:color w:val="auto"/>
                <w:spacing w:val="7"/>
                <w:sz w:val="24"/>
                <w:szCs w:val="24"/>
              </w:rPr>
              <w:t>合理处置</w:t>
            </w:r>
          </w:p>
        </w:tc>
        <w:tc>
          <w:tcPr>
            <w:tcW w:w="1067" w:type="dxa"/>
            <w:noWrap w:val="0"/>
            <w:vAlign w:val="center"/>
          </w:tcPr>
          <w:p w14:paraId="300ED0D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rPr>
            </w:pPr>
            <w:r>
              <w:rPr>
                <w:rFonts w:hint="eastAsia" w:ascii="Times New Roman" w:hAnsi="Times New Roman" w:eastAsia="宋体" w:cs="Times New Roman"/>
                <w:color w:val="auto"/>
                <w:spacing w:val="0"/>
                <w:kern w:val="0"/>
                <w:sz w:val="24"/>
                <w:szCs w:val="24"/>
                <w:lang w:val="en-US" w:eastAsia="zh-CN" w:bidi="ar"/>
              </w:rPr>
              <w:t>/</w:t>
            </w:r>
          </w:p>
        </w:tc>
        <w:tc>
          <w:tcPr>
            <w:tcW w:w="829" w:type="dxa"/>
            <w:noWrap w:val="0"/>
            <w:vAlign w:val="center"/>
          </w:tcPr>
          <w:p w14:paraId="0F55DC67">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eastAsia="宋体"/>
                <w:color w:val="auto"/>
                <w:spacing w:val="0"/>
                <w:sz w:val="24"/>
                <w:szCs w:val="24"/>
                <w:lang w:val="en-US" w:eastAsia="zh-CN"/>
              </w:rPr>
              <w:t>/</w:t>
            </w:r>
          </w:p>
        </w:tc>
      </w:tr>
      <w:tr w14:paraId="0E235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479" w:type="dxa"/>
            <w:noWrap w:val="0"/>
            <w:vAlign w:val="center"/>
          </w:tcPr>
          <w:p w14:paraId="39FD8BA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电磁环境</w:t>
            </w:r>
          </w:p>
        </w:tc>
        <w:tc>
          <w:tcPr>
            <w:tcW w:w="3591" w:type="dxa"/>
            <w:noWrap w:val="0"/>
            <w:vAlign w:val="center"/>
          </w:tcPr>
          <w:p w14:paraId="64C0317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eastAsia="zh-CN"/>
              </w:rPr>
            </w:pPr>
            <w:r>
              <w:rPr>
                <w:rFonts w:hint="eastAsia"/>
                <w:color w:val="auto"/>
                <w:spacing w:val="0"/>
                <w:sz w:val="24"/>
                <w:szCs w:val="24"/>
                <w:lang w:val="en-US" w:eastAsia="zh-CN"/>
              </w:rPr>
              <w:t>/</w:t>
            </w:r>
          </w:p>
        </w:tc>
        <w:tc>
          <w:tcPr>
            <w:tcW w:w="1972" w:type="dxa"/>
            <w:noWrap w:val="0"/>
            <w:vAlign w:val="center"/>
          </w:tcPr>
          <w:p w14:paraId="361D4812">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eastAsia="宋体"/>
                <w:color w:val="auto"/>
                <w:spacing w:val="0"/>
                <w:sz w:val="24"/>
                <w:szCs w:val="24"/>
                <w:lang w:val="en-US" w:eastAsia="zh-CN"/>
              </w:rPr>
              <w:t>/</w:t>
            </w:r>
          </w:p>
        </w:tc>
        <w:tc>
          <w:tcPr>
            <w:tcW w:w="1067" w:type="dxa"/>
            <w:noWrap w:val="0"/>
            <w:vAlign w:val="center"/>
          </w:tcPr>
          <w:p w14:paraId="30983FDE">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c>
          <w:tcPr>
            <w:tcW w:w="829" w:type="dxa"/>
            <w:noWrap w:val="0"/>
            <w:vAlign w:val="center"/>
          </w:tcPr>
          <w:p w14:paraId="5294746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r>
      <w:tr w14:paraId="44DF90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79" w:type="dxa"/>
            <w:noWrap w:val="0"/>
            <w:vAlign w:val="center"/>
          </w:tcPr>
          <w:p w14:paraId="4FA7B5DF">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eastAsia="zh-CN"/>
              </w:rPr>
            </w:pPr>
            <w:r>
              <w:rPr>
                <w:rFonts w:hint="eastAsia"/>
                <w:color w:val="auto"/>
                <w:spacing w:val="0"/>
                <w:sz w:val="24"/>
                <w:szCs w:val="24"/>
                <w:lang w:val="en-US" w:eastAsia="zh-CN"/>
              </w:rPr>
              <w:t>环境风险</w:t>
            </w:r>
          </w:p>
        </w:tc>
        <w:tc>
          <w:tcPr>
            <w:tcW w:w="3591" w:type="dxa"/>
            <w:noWrap w:val="0"/>
            <w:vAlign w:val="center"/>
          </w:tcPr>
          <w:p w14:paraId="331A714C">
            <w:pPr>
              <w:pStyle w:val="38"/>
              <w:spacing w:before="39" w:line="246" w:lineRule="auto"/>
              <w:ind w:left="0" w:leftChars="0" w:right="105" w:rightChars="0" w:firstLine="0" w:firstLineChars="0"/>
              <w:jc w:val="center"/>
              <w:rPr>
                <w:rFonts w:hint="default" w:ascii="Times New Roman" w:hAnsi="Times New Roman" w:eastAsia="宋体" w:cs="宋体"/>
                <w:color w:val="auto"/>
                <w:sz w:val="24"/>
                <w:szCs w:val="24"/>
                <w:vertAlign w:val="baseline"/>
                <w:lang w:val="en-US" w:eastAsia="zh-CN"/>
              </w:rPr>
            </w:pPr>
            <w:r>
              <w:rPr>
                <w:rFonts w:hint="eastAsia" w:ascii="Times New Roman" w:hAnsi="Times New Roman" w:eastAsia="宋体" w:cs="宋体"/>
                <w:color w:val="auto"/>
                <w:sz w:val="24"/>
                <w:szCs w:val="24"/>
                <w:vertAlign w:val="baseline"/>
                <w:lang w:val="en-US" w:eastAsia="zh-CN"/>
              </w:rPr>
              <w:t>加强施工机械、运输车辆的管理和维修保养；严格控制施工作业范围；若有油类物质</w:t>
            </w:r>
            <w:r>
              <w:rPr>
                <w:rFonts w:hint="eastAsia" w:ascii="Times New Roman" w:hAnsi="Times New Roman" w:cs="宋体"/>
                <w:color w:val="auto"/>
                <w:sz w:val="24"/>
                <w:szCs w:val="24"/>
                <w:vertAlign w:val="baseline"/>
                <w:lang w:val="en-US" w:eastAsia="zh-CN"/>
              </w:rPr>
              <w:t>泄漏</w:t>
            </w:r>
            <w:r>
              <w:rPr>
                <w:rFonts w:hint="eastAsia" w:ascii="Times New Roman" w:hAnsi="Times New Roman" w:eastAsia="宋体" w:cs="宋体"/>
                <w:color w:val="auto"/>
                <w:sz w:val="24"/>
                <w:szCs w:val="24"/>
                <w:vertAlign w:val="baseline"/>
                <w:lang w:val="en-US" w:eastAsia="zh-CN"/>
              </w:rPr>
              <w:t>，则对</w:t>
            </w:r>
            <w:r>
              <w:rPr>
                <w:rFonts w:hint="eastAsia" w:ascii="Times New Roman" w:hAnsi="Times New Roman" w:cs="宋体"/>
                <w:color w:val="auto"/>
                <w:sz w:val="24"/>
                <w:szCs w:val="24"/>
                <w:vertAlign w:val="baseline"/>
                <w:lang w:val="en-US" w:eastAsia="zh-CN"/>
              </w:rPr>
              <w:t>泄漏</w:t>
            </w:r>
            <w:r>
              <w:rPr>
                <w:rFonts w:hint="eastAsia" w:ascii="Times New Roman" w:hAnsi="Times New Roman" w:eastAsia="宋体" w:cs="宋体"/>
                <w:color w:val="auto"/>
                <w:sz w:val="24"/>
                <w:szCs w:val="24"/>
                <w:vertAlign w:val="baseline"/>
                <w:lang w:val="en-US" w:eastAsia="zh-CN"/>
              </w:rPr>
              <w:t>的油类物质进行导流、收集后，施工结束后由有资质单位收集处置，对污染场地采取修复措施。</w:t>
            </w:r>
          </w:p>
        </w:tc>
        <w:tc>
          <w:tcPr>
            <w:tcW w:w="1972" w:type="dxa"/>
            <w:noWrap w:val="0"/>
            <w:vAlign w:val="center"/>
          </w:tcPr>
          <w:p w14:paraId="01CD6469">
            <w:pPr>
              <w:pStyle w:val="38"/>
              <w:spacing w:before="39" w:line="246" w:lineRule="auto"/>
              <w:ind w:left="0" w:leftChars="0" w:right="105" w:rightChars="0" w:firstLine="0" w:firstLineChars="0"/>
              <w:jc w:val="center"/>
              <w:rPr>
                <w:rFonts w:hint="default" w:ascii="Times New Roman" w:hAnsi="Times New Roman" w:eastAsia="宋体" w:cs="宋体"/>
                <w:color w:val="auto"/>
                <w:sz w:val="24"/>
                <w:szCs w:val="24"/>
                <w:vertAlign w:val="baseline"/>
                <w:lang w:val="en-US" w:eastAsia="zh-CN"/>
              </w:rPr>
            </w:pPr>
            <w:r>
              <w:rPr>
                <w:rFonts w:hint="eastAsia" w:ascii="Times New Roman" w:hAnsi="Times New Roman" w:eastAsia="宋体" w:cs="宋体"/>
                <w:color w:val="auto"/>
                <w:sz w:val="24"/>
                <w:szCs w:val="24"/>
                <w:vertAlign w:val="baseline"/>
                <w:lang w:val="en-US" w:eastAsia="zh-CN"/>
              </w:rPr>
              <w:t>按环评要求落实</w:t>
            </w:r>
          </w:p>
        </w:tc>
        <w:tc>
          <w:tcPr>
            <w:tcW w:w="1067" w:type="dxa"/>
            <w:noWrap w:val="0"/>
            <w:vAlign w:val="center"/>
          </w:tcPr>
          <w:p w14:paraId="3ED8AA51">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c>
          <w:tcPr>
            <w:tcW w:w="829" w:type="dxa"/>
            <w:noWrap w:val="0"/>
            <w:vAlign w:val="center"/>
          </w:tcPr>
          <w:p w14:paraId="6DB403B0">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r>
      <w:tr w14:paraId="54AD9A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79" w:type="dxa"/>
            <w:noWrap w:val="0"/>
            <w:vAlign w:val="center"/>
          </w:tcPr>
          <w:p w14:paraId="35B2BCF7">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eastAsia="zh-CN"/>
              </w:rPr>
            </w:pPr>
            <w:r>
              <w:rPr>
                <w:rFonts w:hint="eastAsia"/>
                <w:color w:val="auto"/>
                <w:spacing w:val="0"/>
                <w:sz w:val="24"/>
                <w:szCs w:val="24"/>
                <w:lang w:val="en-US" w:eastAsia="zh-CN"/>
              </w:rPr>
              <w:t>环境监测</w:t>
            </w:r>
          </w:p>
        </w:tc>
        <w:tc>
          <w:tcPr>
            <w:tcW w:w="3591" w:type="dxa"/>
            <w:noWrap w:val="0"/>
            <w:vAlign w:val="center"/>
          </w:tcPr>
          <w:p w14:paraId="5A4EE93C">
            <w:pPr>
              <w:pStyle w:val="23"/>
              <w:keepNext w:val="0"/>
              <w:keepLines w:val="0"/>
              <w:pageBreakBefore w:val="0"/>
              <w:widowControl w:val="0"/>
              <w:kinsoku/>
              <w:wordWrap/>
              <w:overflowPunct w:val="0"/>
              <w:topLinePunct/>
              <w:autoSpaceDE/>
              <w:autoSpaceDN/>
              <w:bidi w:val="0"/>
              <w:adjustRightInd/>
              <w:snapToGrid/>
              <w:spacing w:line="240" w:lineRule="auto"/>
              <w:jc w:val="center"/>
              <w:rPr>
                <w:rFonts w:hint="default"/>
                <w:color w:val="auto"/>
                <w:spacing w:val="0"/>
                <w:sz w:val="24"/>
                <w:szCs w:val="24"/>
                <w:lang w:val="en-US" w:eastAsia="zh-CN"/>
              </w:rPr>
            </w:pPr>
            <w:r>
              <w:rPr>
                <w:rFonts w:hint="eastAsia"/>
                <w:color w:val="auto"/>
                <w:spacing w:val="0"/>
                <w:sz w:val="24"/>
                <w:szCs w:val="24"/>
                <w:lang w:val="en-US" w:eastAsia="zh-CN"/>
              </w:rPr>
              <w:t>/</w:t>
            </w:r>
          </w:p>
        </w:tc>
        <w:tc>
          <w:tcPr>
            <w:tcW w:w="1972" w:type="dxa"/>
            <w:noWrap w:val="0"/>
            <w:vAlign w:val="center"/>
          </w:tcPr>
          <w:p w14:paraId="2A04072A">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w:t>
            </w:r>
          </w:p>
        </w:tc>
        <w:tc>
          <w:tcPr>
            <w:tcW w:w="1067" w:type="dxa"/>
            <w:noWrap w:val="0"/>
            <w:vAlign w:val="center"/>
          </w:tcPr>
          <w:p w14:paraId="7C91F3B8">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eastAsia="宋体"/>
                <w:color w:val="auto"/>
                <w:spacing w:val="0"/>
                <w:sz w:val="24"/>
                <w:szCs w:val="24"/>
                <w:lang w:val="en-US" w:eastAsia="zh-CN"/>
              </w:rPr>
            </w:pPr>
            <w:r>
              <w:rPr>
                <w:rFonts w:hint="eastAsia"/>
                <w:color w:val="auto"/>
                <w:spacing w:val="0"/>
                <w:sz w:val="24"/>
                <w:szCs w:val="24"/>
                <w:lang w:val="en-US" w:eastAsia="zh-CN"/>
              </w:rPr>
              <w:t>/</w:t>
            </w:r>
          </w:p>
        </w:tc>
        <w:tc>
          <w:tcPr>
            <w:tcW w:w="829" w:type="dxa"/>
            <w:noWrap w:val="0"/>
            <w:vAlign w:val="center"/>
          </w:tcPr>
          <w:p w14:paraId="10B843A6">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color w:val="auto"/>
                <w:spacing w:val="0"/>
                <w:sz w:val="24"/>
                <w:szCs w:val="24"/>
                <w:lang w:val="en-US" w:eastAsia="zh-CN"/>
              </w:rPr>
              <w:t>/</w:t>
            </w:r>
          </w:p>
        </w:tc>
      </w:tr>
      <w:tr w14:paraId="0C423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1479" w:type="dxa"/>
            <w:noWrap w:val="0"/>
            <w:vAlign w:val="center"/>
          </w:tcPr>
          <w:p w14:paraId="01B34643">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default"/>
                <w:color w:val="auto"/>
                <w:spacing w:val="0"/>
                <w:sz w:val="24"/>
                <w:szCs w:val="24"/>
                <w:lang w:val="en-US" w:eastAsia="zh-CN"/>
              </w:rPr>
            </w:pPr>
            <w:r>
              <w:rPr>
                <w:rFonts w:hint="eastAsia"/>
                <w:color w:val="auto"/>
                <w:spacing w:val="0"/>
                <w:sz w:val="24"/>
                <w:szCs w:val="24"/>
                <w:lang w:val="en-US" w:eastAsia="zh-CN"/>
              </w:rPr>
              <w:t>其他</w:t>
            </w:r>
          </w:p>
        </w:tc>
        <w:tc>
          <w:tcPr>
            <w:tcW w:w="7459" w:type="dxa"/>
            <w:gridSpan w:val="4"/>
            <w:noWrap w:val="0"/>
            <w:vAlign w:val="center"/>
          </w:tcPr>
          <w:p w14:paraId="7B8848B4">
            <w:pPr>
              <w:keepNext w:val="0"/>
              <w:keepLines w:val="0"/>
              <w:pageBreakBefore w:val="0"/>
              <w:widowControl w:val="0"/>
              <w:kinsoku/>
              <w:wordWrap/>
              <w:overflowPunct w:val="0"/>
              <w:topLinePunct/>
              <w:autoSpaceDE/>
              <w:autoSpaceDN/>
              <w:bidi w:val="0"/>
              <w:adjustRightInd/>
              <w:snapToGrid/>
              <w:spacing w:line="240" w:lineRule="auto"/>
              <w:jc w:val="center"/>
              <w:textAlignment w:val="auto"/>
              <w:rPr>
                <w:rFonts w:hint="eastAsia" w:eastAsia="宋体"/>
                <w:color w:val="auto"/>
                <w:spacing w:val="0"/>
                <w:sz w:val="24"/>
                <w:szCs w:val="24"/>
                <w:lang w:val="en-US" w:eastAsia="zh-CN"/>
              </w:rPr>
            </w:pPr>
            <w:r>
              <w:rPr>
                <w:rFonts w:hint="eastAsia" w:eastAsia="宋体"/>
                <w:color w:val="auto"/>
                <w:spacing w:val="0"/>
                <w:sz w:val="24"/>
                <w:szCs w:val="24"/>
                <w:lang w:val="en-US" w:eastAsia="zh-CN"/>
              </w:rPr>
              <w:t>建设单位应按照《建设项目竣工环境保护验收管理办法》中的相关规定，及时进行自主验收，并报当地生态环境主管部门备案。</w:t>
            </w:r>
          </w:p>
        </w:tc>
      </w:tr>
    </w:tbl>
    <w:p w14:paraId="41D5883F">
      <w:pPr>
        <w:pStyle w:val="18"/>
        <w:jc w:val="center"/>
        <w:outlineLvl w:val="0"/>
        <w:rPr>
          <w:rFonts w:ascii="黑体" w:hAnsi="黑体" w:eastAsia="黑体"/>
          <w:snapToGrid w:val="0"/>
          <w:color w:val="auto"/>
          <w:sz w:val="30"/>
          <w:szCs w:val="30"/>
        </w:rPr>
      </w:pPr>
      <w:r>
        <w:rPr>
          <w:snapToGrid w:val="0"/>
          <w:color w:val="auto"/>
        </w:rPr>
        <w:br w:type="page"/>
      </w:r>
      <w:r>
        <w:rPr>
          <w:rFonts w:hint="eastAsia" w:ascii="黑体" w:hAnsi="黑体" w:eastAsia="黑体"/>
          <w:snapToGrid w:val="0"/>
          <w:color w:val="auto"/>
          <w:sz w:val="30"/>
          <w:szCs w:val="30"/>
          <w:lang w:val="en-US" w:eastAsia="zh-CN"/>
        </w:rPr>
        <w:t>七</w:t>
      </w:r>
      <w:r>
        <w:rPr>
          <w:rFonts w:hint="eastAsia" w:ascii="黑体" w:hAnsi="黑体" w:eastAsia="黑体"/>
          <w:snapToGrid w:val="0"/>
          <w:color w:val="auto"/>
          <w:sz w:val="30"/>
          <w:szCs w:val="30"/>
        </w:rPr>
        <w:t>、结论</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7E8A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1EA458E3">
            <w:pPr>
              <w:pStyle w:val="38"/>
              <w:spacing w:before="39" w:line="360" w:lineRule="auto"/>
              <w:ind w:left="0" w:leftChars="0" w:right="105" w:rightChars="0" w:firstLine="480" w:firstLineChars="200"/>
              <w:jc w:val="both"/>
              <w:rPr>
                <w:rFonts w:ascii="宋体" w:cs="宋体"/>
                <w:color w:val="auto"/>
                <w:sz w:val="24"/>
              </w:rPr>
            </w:pPr>
            <w:r>
              <w:rPr>
                <w:rFonts w:hint="default" w:ascii="Times New Roman" w:hAnsi="Times New Roman" w:eastAsia="宋体" w:cs="宋体"/>
                <w:color w:val="auto"/>
                <w:sz w:val="24"/>
                <w:szCs w:val="24"/>
                <w:vertAlign w:val="baseline"/>
                <w:lang w:val="en-US" w:eastAsia="zh-CN"/>
              </w:rPr>
              <w:t>本项目的建设符合国家相关产业政策</w:t>
            </w:r>
            <w:r>
              <w:rPr>
                <w:rFonts w:hint="eastAsia" w:ascii="Times New Roman" w:hAnsi="Times New Roman" w:cs="宋体"/>
                <w:color w:val="auto"/>
                <w:sz w:val="24"/>
                <w:szCs w:val="24"/>
                <w:vertAlign w:val="baseline"/>
                <w:lang w:val="en-US" w:eastAsia="zh-CN"/>
              </w:rPr>
              <w:t>，选址合理</w:t>
            </w:r>
            <w:r>
              <w:rPr>
                <w:rFonts w:hint="default" w:ascii="Times New Roman" w:hAnsi="Times New Roman" w:eastAsia="宋体" w:cs="宋体"/>
                <w:color w:val="auto"/>
                <w:sz w:val="24"/>
                <w:szCs w:val="24"/>
                <w:vertAlign w:val="baseline"/>
                <w:lang w:val="en-US" w:eastAsia="zh-CN"/>
              </w:rPr>
              <w:t>。建设单位在严格落实本次评价提出的生态环境保护措施和污染防治措施的情况下，履行环保</w:t>
            </w:r>
            <w:r>
              <w:rPr>
                <w:rFonts w:hint="eastAsia" w:ascii="Times New Roman" w:hAnsi="Times New Roman" w:eastAsia="宋体" w:cs="宋体"/>
                <w:color w:val="auto"/>
                <w:sz w:val="24"/>
                <w:szCs w:val="24"/>
                <w:vertAlign w:val="baseline"/>
                <w:lang w:val="en-US" w:eastAsia="zh-CN"/>
              </w:rPr>
              <w:t>“</w:t>
            </w:r>
            <w:r>
              <w:rPr>
                <w:rFonts w:hint="default" w:ascii="Times New Roman" w:hAnsi="Times New Roman" w:eastAsia="宋体" w:cs="宋体"/>
                <w:color w:val="auto"/>
                <w:sz w:val="24"/>
                <w:szCs w:val="24"/>
                <w:vertAlign w:val="baseline"/>
                <w:lang w:val="en-US" w:eastAsia="zh-CN"/>
              </w:rPr>
              <w:t>三同时</w:t>
            </w:r>
            <w:r>
              <w:rPr>
                <w:rFonts w:hint="eastAsia" w:ascii="Times New Roman" w:hAnsi="Times New Roman" w:eastAsia="宋体" w:cs="宋体"/>
                <w:color w:val="auto"/>
                <w:sz w:val="24"/>
                <w:szCs w:val="24"/>
                <w:vertAlign w:val="baseline"/>
                <w:lang w:val="en-US" w:eastAsia="zh-CN"/>
              </w:rPr>
              <w:t>”</w:t>
            </w:r>
            <w:r>
              <w:rPr>
                <w:rFonts w:hint="default" w:ascii="Times New Roman" w:hAnsi="Times New Roman" w:eastAsia="宋体" w:cs="宋体"/>
                <w:color w:val="auto"/>
                <w:sz w:val="24"/>
                <w:szCs w:val="24"/>
                <w:vertAlign w:val="baseline"/>
                <w:lang w:val="en-US" w:eastAsia="zh-CN"/>
              </w:rPr>
              <w:t>手续，加强施工管理</w:t>
            </w:r>
            <w:r>
              <w:rPr>
                <w:rFonts w:hint="eastAsia" w:ascii="Times New Roman" w:hAnsi="Times New Roman" w:cs="宋体"/>
                <w:color w:val="auto"/>
                <w:sz w:val="24"/>
                <w:szCs w:val="24"/>
                <w:vertAlign w:val="baseline"/>
                <w:lang w:val="en-US" w:eastAsia="zh-CN"/>
              </w:rPr>
              <w:t>的前提下</w:t>
            </w:r>
            <w:r>
              <w:rPr>
                <w:rFonts w:hint="default" w:ascii="Times New Roman" w:hAnsi="Times New Roman" w:eastAsia="宋体" w:cs="宋体"/>
                <w:color w:val="auto"/>
                <w:sz w:val="24"/>
                <w:szCs w:val="24"/>
                <w:vertAlign w:val="baseline"/>
                <w:lang w:val="en-US" w:eastAsia="zh-CN"/>
              </w:rPr>
              <w:t>，项目实施不会对当地环境质量及生态环境产生明显不利影响。从环境保护角度，建设项目环境影响可行。</w:t>
            </w:r>
          </w:p>
        </w:tc>
      </w:tr>
    </w:tbl>
    <w:p w14:paraId="04CD8DAD">
      <w:pPr>
        <w:rPr>
          <w:color w:val="auto"/>
        </w:rPr>
      </w:pPr>
    </w:p>
    <w:sectPr>
      <w:pgSz w:w="11905" w:h="16838"/>
      <w:pgMar w:top="1701" w:right="1531" w:bottom="1701" w:left="1531" w:header="851" w:footer="850" w:gutter="0"/>
      <w:pgBorders>
        <w:top w:val="none" w:sz="0" w:space="0"/>
        <w:left w:val="none" w:sz="0" w:space="0"/>
        <w:bottom w:val="none" w:sz="0" w:space="0"/>
        <w:right w:val="none" w:sz="0" w:space="0"/>
      </w:pgBorders>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B3C7E">
    <w:pPr>
      <w:pStyle w:val="11"/>
      <w:jc w:val="right"/>
      <w:rPr>
        <w:lang w:eastAsia="zh-CN"/>
      </w:rPr>
    </w:pPr>
  </w:p>
  <w:p w14:paraId="49252414">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7DAB2">
    <w:pPr>
      <w:pStyle w:val="11"/>
      <w:rPr>
        <w:rFonts w:hint="eastAsia"/>
        <w:lang w:eastAsia="zh-CN"/>
      </w:rPr>
    </w:pPr>
  </w:p>
  <w:p w14:paraId="3C30219A">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8FC4C">
    <w:pPr>
      <w:pStyle w:val="11"/>
      <w:jc w:val="both"/>
      <w:rPr>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posOffset>2758440</wp:posOffset>
              </wp:positionH>
              <wp:positionV relativeFrom="paragraph">
                <wp:posOffset>177800</wp:posOffset>
              </wp:positionV>
              <wp:extent cx="20447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0447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D2678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7.2pt;margin-top:14pt;height:144pt;width:16.1pt;mso-position-horizontal-relative:margin;z-index:251661312;mso-width-relative:page;mso-height-relative:page;" filled="f" stroked="f" coordsize="21600,21600" o:gfxdata="UEsDBAoAAAAAAIdO4kAAAAAAAAAAAAAAAAAEAAAAZHJzL1BLAwQUAAAACACHTuJAAOYbv9gAAAAK&#10;AQAADwAAAGRycy9kb3ducmV2LnhtbE2PsU7DMBCGdyTewTokNmqnjawqxOlQQQeYSCvE6MaXODS2&#10;o9hNC0/PMcF4uu/++/5yc3UDm3GKffAKsoUAhr4JpvedgsP++WENLCbtjR6CRwVfGGFT3d6UujDh&#10;4t9wrlPHKMTHQiuwKY0F57Gx6HRchBE97dowOZ1onDpuJn2hcDfwpRCSO917+mD1iFuLzak+O9J4&#10;fxVu993aD/ei21jb/bx7+lTq/i4Tj8ASXtMfDL/6dAMVOR3D2ZvIBgX5Ks8JVbBcUycCciklsKOC&#10;VSYF8Krk/ytUP1BLAwQUAAAACACHTuJAaYu5/TkCAABkBAAADgAAAGRycy9lMm9Eb2MueG1srVTL&#10;jtMwFN0j8Q+W9zRpGYaqajoqUxUhjZiRCmLtOk4TyS9st8nwAfAHrNiw57v6HRw7TQcNLGbBxr25&#10;j3PvOb7u/KpTkhyE843RBR2PckqE5qZs9K6gHz+sX0wp8YHpkkmjRUHvhadXi+fP5q2diYmpjSyF&#10;IwDRftbagtYh2FmWeV4LxfzIWKERrIxTLODT7bLSsRboSmaTPL/MWuNK6wwX3sO76oP0hOieAmiq&#10;quFiZfheCR16VCckC6Dk68Z6ukjTVpXg4baqvAhEFhRMQzrRBPY2ntlizmY7x2zd8NMI7CkjPOKk&#10;WKPR9Ay1YoGRvWv+glINd8abKoy4UVlPJCkCFuP8kTabmlmRuEBqb8+i+/8Hy98f7hxpyoJOIIlm&#10;Cjd+/P7t+OPX8edXAh8Eaq2fIW9jkRm6N6bD2gx+D2fk3VVOxV8wIogD6/4sr+gC4XBO8ouL14hw&#10;hMbTyXSaJ/jsodo6H94Ko0g0CupwfUlVdrjxAZMgdUiJzbRZN1KmK5SatAW9fPkqTwXnCCqkRmHk&#10;0M8ardBtuxOxrSnvwcuZfjW85esGzW+YD3fMYRcwMF5LuMVRSYMm5mRRUhv35V/+mI8rQpSSFrtV&#10;UP95z5ygRL7TuDxAhsFwg7EdDL1X1wbrOsY7tDyZKHBBDmbljPqER7SMXRBimqNXQcNgXod+w/EI&#10;uVguU9LeumZX9wVYPcvCjd5YHttEKb1d7gPkTCpHiXpdTsph+ZL4p4cSt/vP75T18Oe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A5hu/2AAAAAoBAAAPAAAAAAAAAAEAIAAAACIAAABkcnMvZG93&#10;bnJldi54bWxQSwECFAAUAAAACACHTuJAaYu5/TkCAABkBAAADgAAAAAAAAABACAAAAAnAQAAZHJz&#10;L2Uyb0RvYy54bWxQSwUGAAAAAAYABgBZAQAA0gUAAAAA&#10;">
              <v:fill on="f" focussize="0,0"/>
              <v:stroke on="f" weight="0.5pt"/>
              <v:imagedata o:title=""/>
              <o:lock v:ext="edit" aspectratio="f"/>
              <v:textbox inset="0mm,0mm,0mm,0mm" style="mso-fit-shape-to-text:t;">
                <w:txbxContent>
                  <w:p w14:paraId="02D26788">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574727CD">
    <w:pPr>
      <w:pStyle w:val="11"/>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3178E">
    <w:pPr>
      <w:pStyle w:val="11"/>
      <w:rPr>
        <w:rFonts w:hint="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FC4368">
                          <w:pPr>
                            <w:pStyle w:val="11"/>
                          </w:pPr>
                          <w: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28</w:t>
                          </w:r>
                          <w:r>
                            <w:rPr>
                              <w:sz w:val="21"/>
                              <w:szCs w:val="21"/>
                            </w:rPr>
                            <w:fldChar w:fldCharType="end"/>
                          </w:r>
                          <w:r>
                            <w:rPr>
                              <w:rFonts w:hint="eastAsia"/>
                              <w:sz w:val="21"/>
                              <w:szCs w:val="21"/>
                              <w:lang w:eastAsia="zh-CN"/>
                            </w:rPr>
                            <w:t xml:space="preserve"> </w:t>
                          </w:r>
                          <w:r>
                            <w:t>—</w:t>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SV6lc0BAACoAwAADgAAAGRycy9lMm9Eb2MueG1srVPNjtMwEL4j8Q6W&#10;7zTZHqBETVegahESAqRlH8B1nMaS/zTjNukLwBtw4sKd5+pzMHaSLuxe9rAXZ/78zXyfJ+vrwRp2&#10;VIDau5pfLUrOlJO+0W5f87tvN69WnGEUrhHGO1Xzk0J+vXn5Yt2HSi19502jgBGIw6oPNe9iDFVR&#10;oOyUFbjwQTlKth6siOTCvmhA9IRuTbEsy9dF76EJ4KVCpOh2TPIJEZ4C6NtWS7X18mCViyMqKCMi&#10;UcJOB+SbPG3bKhm/tC2qyEzNiWnMJzUhe5fOYrMW1R5E6LScRhBPGeEBJyu0o6YXqK2Igh1AP4Ky&#10;WoJH38aF9LYYiWRFiMVV+UCb204ElbmQ1BguouPzwcrPx6/AdEOb8JYzJyy9+Pnnj/OvP+ff39mb&#10;pE8fsKKy20CFcXjvB6qd40jBRHtowaYvEWKUJ3VPF3XVEJlMl1bL1aqklKTc7BB+cX89AMYPyluW&#10;jJoDPV9WVRw/YRxL55LUzfkbbUx+QuP+CxDmGFF5B6bbick4cbLisBsmejvfnIhdT3tQc0drz5n5&#10;6EjmtDKzAbOxm41DAL3v8k6l7hjeHSKNlCdNHUZYYpgcesDMdVq2tCH/+rnq/gfb/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4SV6lc0BAACoAwAADgAAAAAAAAABACAAAAAeAQAAZHJzL2Uy&#10;b0RvYy54bWxQSwUGAAAAAAYABgBZAQAAXQUAAAAA&#10;">
              <v:fill on="f" focussize="0,0"/>
              <v:stroke on="f"/>
              <v:imagedata o:title=""/>
              <o:lock v:ext="edit" aspectratio="f"/>
              <v:textbox inset="0mm,0mm,0mm,0mm" style="mso-fit-shape-to-text:t;">
                <w:txbxContent>
                  <w:p w14:paraId="6AFC4368">
                    <w:pPr>
                      <w:pStyle w:val="11"/>
                    </w:pPr>
                    <w: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28</w:t>
                    </w:r>
                    <w:r>
                      <w:rPr>
                        <w:sz w:val="21"/>
                        <w:szCs w:val="21"/>
                      </w:rPr>
                      <w:fldChar w:fldCharType="end"/>
                    </w:r>
                    <w:r>
                      <w:rPr>
                        <w:rFonts w:hint="eastAsia"/>
                        <w:sz w:val="21"/>
                        <w:szCs w:val="21"/>
                        <w:lang w:eastAsia="zh-CN"/>
                      </w:rPr>
                      <w:t xml:space="preserve"> </w:t>
                    </w:r>
                    <w:r>
                      <w:t>—</w:t>
                    </w:r>
                  </w:p>
                </w:txbxContent>
              </v:textbox>
            </v:shape>
          </w:pict>
        </mc:Fallback>
      </mc:AlternateContent>
    </w:r>
  </w:p>
  <w:p w14:paraId="33C2E33D">
    <w:pPr>
      <w:pStyle w:val="11"/>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71057"/>
    <w:multiLevelType w:val="singleLevel"/>
    <w:tmpl w:val="B5B71057"/>
    <w:lvl w:ilvl="0" w:tentative="0">
      <w:start w:val="1"/>
      <w:numFmt w:val="decimal"/>
      <w:suff w:val="nothing"/>
      <w:lvlText w:val="%1、"/>
      <w:lvlJc w:val="left"/>
    </w:lvl>
  </w:abstractNum>
  <w:abstractNum w:abstractNumId="1">
    <w:nsid w:val="B88DCC21"/>
    <w:multiLevelType w:val="singleLevel"/>
    <w:tmpl w:val="B88DCC21"/>
    <w:lvl w:ilvl="0" w:tentative="0">
      <w:start w:val="2"/>
      <w:numFmt w:val="chineseCounting"/>
      <w:suff w:val="nothing"/>
      <w:lvlText w:val="（%1）"/>
      <w:lvlJc w:val="left"/>
      <w:rPr>
        <w:rFonts w:hint="eastAsia"/>
      </w:rPr>
    </w:lvl>
  </w:abstractNum>
  <w:abstractNum w:abstractNumId="2">
    <w:nsid w:val="BAA9D9DF"/>
    <w:multiLevelType w:val="singleLevel"/>
    <w:tmpl w:val="BAA9D9DF"/>
    <w:lvl w:ilvl="0" w:tentative="0">
      <w:start w:val="1"/>
      <w:numFmt w:val="decimal"/>
      <w:suff w:val="nothing"/>
      <w:lvlText w:val="（%1）"/>
      <w:lvlJc w:val="left"/>
    </w:lvl>
  </w:abstractNum>
  <w:abstractNum w:abstractNumId="3">
    <w:nsid w:val="CF741C6D"/>
    <w:multiLevelType w:val="singleLevel"/>
    <w:tmpl w:val="CF741C6D"/>
    <w:lvl w:ilvl="0" w:tentative="0">
      <w:start w:val="1"/>
      <w:numFmt w:val="decimal"/>
      <w:suff w:val="nothing"/>
      <w:lvlText w:val="（%1）"/>
      <w:lvlJc w:val="left"/>
    </w:lvl>
  </w:abstractNum>
  <w:abstractNum w:abstractNumId="4">
    <w:nsid w:val="EB39A9C6"/>
    <w:multiLevelType w:val="singleLevel"/>
    <w:tmpl w:val="EB39A9C6"/>
    <w:lvl w:ilvl="0" w:tentative="0">
      <w:start w:val="5"/>
      <w:numFmt w:val="decimal"/>
      <w:suff w:val="nothing"/>
      <w:lvlText w:val="%1、"/>
      <w:lvlJc w:val="left"/>
    </w:lvl>
  </w:abstractNum>
  <w:abstractNum w:abstractNumId="5">
    <w:nsid w:val="593C0600"/>
    <w:multiLevelType w:val="singleLevel"/>
    <w:tmpl w:val="593C0600"/>
    <w:lvl w:ilvl="0" w:tentative="0">
      <w:start w:val="1"/>
      <w:numFmt w:val="decimal"/>
      <w:suff w:val="nothing"/>
      <w:lvlText w:val="%1、"/>
      <w:lvlJc w:val="left"/>
    </w:lvl>
  </w:abstractNum>
  <w:abstractNum w:abstractNumId="6">
    <w:nsid w:val="7EBDD48D"/>
    <w:multiLevelType w:val="singleLevel"/>
    <w:tmpl w:val="7EBDD48D"/>
    <w:lvl w:ilvl="0" w:tentative="0">
      <w:start w:val="1"/>
      <w:numFmt w:val="decimal"/>
      <w:suff w:val="nothing"/>
      <w:lvlText w:val="%1、"/>
      <w:lvlJc w:val="left"/>
      <w:pPr>
        <w:ind w:left="148"/>
      </w:pPr>
    </w:lvl>
  </w:abstractNum>
  <w:num w:numId="1">
    <w:abstractNumId w:val="2"/>
  </w:num>
  <w:num w:numId="2">
    <w:abstractNumId w:val="1"/>
  </w:num>
  <w:num w:numId="3">
    <w:abstractNumId w:val="6"/>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61B01"/>
    <w:rsid w:val="00AE4E5E"/>
    <w:rsid w:val="01545A05"/>
    <w:rsid w:val="020016E9"/>
    <w:rsid w:val="02437698"/>
    <w:rsid w:val="03931798"/>
    <w:rsid w:val="039E565E"/>
    <w:rsid w:val="03AD06A1"/>
    <w:rsid w:val="04447FB3"/>
    <w:rsid w:val="049E7BE4"/>
    <w:rsid w:val="0530165D"/>
    <w:rsid w:val="053E4A03"/>
    <w:rsid w:val="0696261C"/>
    <w:rsid w:val="06B70F10"/>
    <w:rsid w:val="07F2137D"/>
    <w:rsid w:val="089E3E17"/>
    <w:rsid w:val="08D77648"/>
    <w:rsid w:val="0B14530F"/>
    <w:rsid w:val="0E625C06"/>
    <w:rsid w:val="103E6AEE"/>
    <w:rsid w:val="106405B8"/>
    <w:rsid w:val="109951E3"/>
    <w:rsid w:val="11E608FC"/>
    <w:rsid w:val="13AE6CFA"/>
    <w:rsid w:val="149334F8"/>
    <w:rsid w:val="15323E58"/>
    <w:rsid w:val="15447A0F"/>
    <w:rsid w:val="156C639B"/>
    <w:rsid w:val="158A06BD"/>
    <w:rsid w:val="15E11B06"/>
    <w:rsid w:val="15F1161D"/>
    <w:rsid w:val="17013AE2"/>
    <w:rsid w:val="1736461C"/>
    <w:rsid w:val="175956CC"/>
    <w:rsid w:val="19BD487D"/>
    <w:rsid w:val="1AA91AFB"/>
    <w:rsid w:val="1B88127C"/>
    <w:rsid w:val="1BFD5177"/>
    <w:rsid w:val="1BFF2AFC"/>
    <w:rsid w:val="1C1B5646"/>
    <w:rsid w:val="1DF443A0"/>
    <w:rsid w:val="1DFD14A7"/>
    <w:rsid w:val="1E74728F"/>
    <w:rsid w:val="1E7828DC"/>
    <w:rsid w:val="1FF474D5"/>
    <w:rsid w:val="214967B1"/>
    <w:rsid w:val="219A5C58"/>
    <w:rsid w:val="2205092A"/>
    <w:rsid w:val="23BA1BE8"/>
    <w:rsid w:val="247022A7"/>
    <w:rsid w:val="248D6697"/>
    <w:rsid w:val="24EF25BE"/>
    <w:rsid w:val="25FC0296"/>
    <w:rsid w:val="260649ED"/>
    <w:rsid w:val="26404627"/>
    <w:rsid w:val="27147861"/>
    <w:rsid w:val="27202125"/>
    <w:rsid w:val="273A4F32"/>
    <w:rsid w:val="27426C46"/>
    <w:rsid w:val="27EF7218"/>
    <w:rsid w:val="285724F7"/>
    <w:rsid w:val="28B34027"/>
    <w:rsid w:val="28B9246E"/>
    <w:rsid w:val="28C8394B"/>
    <w:rsid w:val="29635E57"/>
    <w:rsid w:val="2AEC121F"/>
    <w:rsid w:val="2B4A2326"/>
    <w:rsid w:val="2BF512F6"/>
    <w:rsid w:val="2C343397"/>
    <w:rsid w:val="2E24620A"/>
    <w:rsid w:val="2E410EE6"/>
    <w:rsid w:val="2E5F1C27"/>
    <w:rsid w:val="2EBF552C"/>
    <w:rsid w:val="2F9847FA"/>
    <w:rsid w:val="31496359"/>
    <w:rsid w:val="31515CFC"/>
    <w:rsid w:val="31880C30"/>
    <w:rsid w:val="319516F4"/>
    <w:rsid w:val="31EE25B8"/>
    <w:rsid w:val="33E50BC6"/>
    <w:rsid w:val="344D6161"/>
    <w:rsid w:val="35611EC4"/>
    <w:rsid w:val="35A46254"/>
    <w:rsid w:val="37734130"/>
    <w:rsid w:val="38BB76AB"/>
    <w:rsid w:val="39292CF8"/>
    <w:rsid w:val="396F4FB9"/>
    <w:rsid w:val="39D552AB"/>
    <w:rsid w:val="3A107557"/>
    <w:rsid w:val="3A9C399E"/>
    <w:rsid w:val="3B343BD6"/>
    <w:rsid w:val="3B64270E"/>
    <w:rsid w:val="3C706E90"/>
    <w:rsid w:val="3CC80A7A"/>
    <w:rsid w:val="3CE27D8E"/>
    <w:rsid w:val="3CF03B2D"/>
    <w:rsid w:val="3D8E75CE"/>
    <w:rsid w:val="3EF21DDE"/>
    <w:rsid w:val="3F7907F7"/>
    <w:rsid w:val="403B7AEF"/>
    <w:rsid w:val="406F4EB4"/>
    <w:rsid w:val="4077259B"/>
    <w:rsid w:val="408D6263"/>
    <w:rsid w:val="41DB2FFE"/>
    <w:rsid w:val="42815953"/>
    <w:rsid w:val="42B555FD"/>
    <w:rsid w:val="43056584"/>
    <w:rsid w:val="430D368B"/>
    <w:rsid w:val="434A3F97"/>
    <w:rsid w:val="43886B45"/>
    <w:rsid w:val="43BF2BD7"/>
    <w:rsid w:val="44185E43"/>
    <w:rsid w:val="459260C9"/>
    <w:rsid w:val="45C538B6"/>
    <w:rsid w:val="467847A7"/>
    <w:rsid w:val="46813408"/>
    <w:rsid w:val="46D51C66"/>
    <w:rsid w:val="47420FE3"/>
    <w:rsid w:val="47DE3796"/>
    <w:rsid w:val="48180B08"/>
    <w:rsid w:val="48A26623"/>
    <w:rsid w:val="48F01C77"/>
    <w:rsid w:val="49080B7C"/>
    <w:rsid w:val="498118F7"/>
    <w:rsid w:val="4A6022F2"/>
    <w:rsid w:val="4AC97E97"/>
    <w:rsid w:val="4B337A07"/>
    <w:rsid w:val="4CBE1552"/>
    <w:rsid w:val="4D600EC9"/>
    <w:rsid w:val="4DF416CF"/>
    <w:rsid w:val="4E3077A6"/>
    <w:rsid w:val="4EEC5A77"/>
    <w:rsid w:val="4EFF657E"/>
    <w:rsid w:val="50C51101"/>
    <w:rsid w:val="510F6CDF"/>
    <w:rsid w:val="518B234A"/>
    <w:rsid w:val="52484432"/>
    <w:rsid w:val="52DD4E28"/>
    <w:rsid w:val="53AB0A82"/>
    <w:rsid w:val="552E07B1"/>
    <w:rsid w:val="55436A98"/>
    <w:rsid w:val="55572544"/>
    <w:rsid w:val="559919CA"/>
    <w:rsid w:val="55A21A11"/>
    <w:rsid w:val="57106E4E"/>
    <w:rsid w:val="576B045F"/>
    <w:rsid w:val="57D85BBE"/>
    <w:rsid w:val="58450D79"/>
    <w:rsid w:val="585C67EF"/>
    <w:rsid w:val="58861440"/>
    <w:rsid w:val="58C31515"/>
    <w:rsid w:val="58C8033C"/>
    <w:rsid w:val="5927777C"/>
    <w:rsid w:val="5B0E2079"/>
    <w:rsid w:val="5D335644"/>
    <w:rsid w:val="5D662A70"/>
    <w:rsid w:val="5EA26F25"/>
    <w:rsid w:val="5EE55CAA"/>
    <w:rsid w:val="5EF17565"/>
    <w:rsid w:val="5EF37781"/>
    <w:rsid w:val="5F30008D"/>
    <w:rsid w:val="5F781A34"/>
    <w:rsid w:val="606E3929"/>
    <w:rsid w:val="61007F33"/>
    <w:rsid w:val="61131A15"/>
    <w:rsid w:val="611F2AAF"/>
    <w:rsid w:val="616A6F6B"/>
    <w:rsid w:val="619507BD"/>
    <w:rsid w:val="61E909C7"/>
    <w:rsid w:val="62864468"/>
    <w:rsid w:val="62E018F9"/>
    <w:rsid w:val="63AC68B3"/>
    <w:rsid w:val="64C97258"/>
    <w:rsid w:val="653A1C66"/>
    <w:rsid w:val="681E586F"/>
    <w:rsid w:val="68AD3F43"/>
    <w:rsid w:val="68C0060C"/>
    <w:rsid w:val="68FE11FC"/>
    <w:rsid w:val="69690543"/>
    <w:rsid w:val="69DD0AC3"/>
    <w:rsid w:val="6B264A3A"/>
    <w:rsid w:val="6B2C2051"/>
    <w:rsid w:val="6B4E646B"/>
    <w:rsid w:val="6BC17491"/>
    <w:rsid w:val="6C7A6DEC"/>
    <w:rsid w:val="6D5B6C1D"/>
    <w:rsid w:val="6D7101EF"/>
    <w:rsid w:val="6DDD7632"/>
    <w:rsid w:val="6F9E5515"/>
    <w:rsid w:val="6FDB4045"/>
    <w:rsid w:val="70FF5B11"/>
    <w:rsid w:val="71237A52"/>
    <w:rsid w:val="712B4B58"/>
    <w:rsid w:val="72225F5B"/>
    <w:rsid w:val="72D07765"/>
    <w:rsid w:val="72D50446"/>
    <w:rsid w:val="749E7B1F"/>
    <w:rsid w:val="7557416E"/>
    <w:rsid w:val="75AD1FE0"/>
    <w:rsid w:val="764D44B3"/>
    <w:rsid w:val="76DD4B47"/>
    <w:rsid w:val="77A17150"/>
    <w:rsid w:val="77B33BCD"/>
    <w:rsid w:val="78764C12"/>
    <w:rsid w:val="78B10096"/>
    <w:rsid w:val="79057639"/>
    <w:rsid w:val="796643BD"/>
    <w:rsid w:val="7A4B2370"/>
    <w:rsid w:val="7AAD65DE"/>
    <w:rsid w:val="7B087CB8"/>
    <w:rsid w:val="7B876E2F"/>
    <w:rsid w:val="7BCD0B3A"/>
    <w:rsid w:val="7BD5702E"/>
    <w:rsid w:val="7CFE585E"/>
    <w:rsid w:val="7E2D1F10"/>
    <w:rsid w:val="7E580036"/>
    <w:rsid w:val="7EF44A7E"/>
    <w:rsid w:val="7F3F024F"/>
    <w:rsid w:val="7F4B50A9"/>
    <w:rsid w:val="7F651B7D"/>
    <w:rsid w:val="7FEE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Lines="0" w:beforeAutospacing="0" w:afterLines="0" w:afterAutospacing="0" w:line="360" w:lineRule="auto"/>
      <w:ind w:firstLine="0" w:firstLineChars="0"/>
      <w:jc w:val="left"/>
      <w:outlineLvl w:val="0"/>
    </w:pPr>
    <w:rPr>
      <w:rFonts w:ascii="Times New Roman" w:hAnsi="Times New Roman" w:eastAsia="宋体" w:cs="Times New Roman"/>
      <w:b/>
      <w:kern w:val="44"/>
      <w:sz w:val="32"/>
      <w:szCs w:val="32"/>
    </w:rPr>
  </w:style>
  <w:style w:type="paragraph" w:styleId="3">
    <w:name w:val="heading 2"/>
    <w:basedOn w:val="1"/>
    <w:next w:val="1"/>
    <w:unhideWhenUsed/>
    <w:qFormat/>
    <w:uiPriority w:val="0"/>
    <w:pPr>
      <w:keepNext/>
      <w:keepLines/>
      <w:spacing w:beforeAutospacing="0" w:afterLines="0" w:afterAutospacing="0" w:line="360" w:lineRule="auto"/>
      <w:ind w:firstLine="0" w:firstLineChars="0"/>
      <w:outlineLvl w:val="1"/>
    </w:pPr>
    <w:rPr>
      <w:rFonts w:ascii="Times New Roman" w:hAnsi="Times New Roman" w:eastAsia="仿宋" w:cs="Times New Roman"/>
      <w:b/>
      <w:sz w:val="30"/>
      <w:szCs w:val="30"/>
    </w:rPr>
  </w:style>
  <w:style w:type="paragraph" w:styleId="4">
    <w:name w:val="heading 3"/>
    <w:basedOn w:val="1"/>
    <w:next w:val="1"/>
    <w:unhideWhenUsed/>
    <w:qFormat/>
    <w:uiPriority w:val="0"/>
    <w:pPr>
      <w:keepNext/>
      <w:keepLines/>
      <w:spacing w:beforeLines="0" w:beforeAutospacing="0" w:afterLines="0" w:afterAutospacing="0" w:line="360" w:lineRule="auto"/>
      <w:ind w:firstLine="560" w:firstLineChars="200"/>
      <w:outlineLvl w:val="2"/>
    </w:pPr>
    <w:rPr>
      <w:rFonts w:ascii="Times New Roman" w:hAnsi="Times New Roman" w:eastAsia="宋体" w:cs="Times New Roman"/>
      <w:b/>
      <w:sz w:val="28"/>
      <w:szCs w:val="28"/>
    </w:rPr>
  </w:style>
  <w:style w:type="paragraph" w:styleId="5">
    <w:name w:val="heading 4"/>
    <w:basedOn w:val="1"/>
    <w:next w:val="1"/>
    <w:unhideWhenUsed/>
    <w:qFormat/>
    <w:uiPriority w:val="0"/>
    <w:pPr>
      <w:spacing w:line="360" w:lineRule="auto"/>
      <w:ind w:firstLine="0" w:firstLineChars="0"/>
      <w:jc w:val="center"/>
      <w:outlineLvl w:val="3"/>
    </w:pPr>
    <w:rPr>
      <w:rFonts w:ascii="Times New Roman" w:hAnsi="Times New Roman" w:eastAsia="宋体"/>
      <w:b/>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pPr>
    <w:rPr>
      <w:szCs w:val="20"/>
    </w:rPr>
  </w:style>
  <w:style w:type="paragraph" w:styleId="7">
    <w:name w:val="Body Text First Indent 2"/>
    <w:basedOn w:val="1"/>
    <w:next w:val="1"/>
    <w:qFormat/>
    <w:uiPriority w:val="0"/>
    <w:pPr>
      <w:ind w:firstLine="420" w:firstLineChars="200"/>
    </w:pPr>
    <w:rPr>
      <w:kern w:val="2"/>
      <w:sz w:val="21"/>
      <w:szCs w:val="24"/>
      <w:lang w:val="en-US" w:eastAsia="zh-CN"/>
    </w:rPr>
  </w:style>
  <w:style w:type="paragraph" w:styleId="8">
    <w:name w:val="annotation text"/>
    <w:basedOn w:val="1"/>
    <w:qFormat/>
    <w:uiPriority w:val="0"/>
    <w:pPr>
      <w:jc w:val="left"/>
    </w:pPr>
  </w:style>
  <w:style w:type="paragraph" w:styleId="9">
    <w:name w:val="Body Text"/>
    <w:basedOn w:val="1"/>
    <w:qFormat/>
    <w:uiPriority w:val="0"/>
    <w:pPr>
      <w:widowControl/>
      <w:snapToGrid w:val="0"/>
      <w:spacing w:before="60" w:after="160" w:line="259" w:lineRule="auto"/>
      <w:ind w:right="113"/>
    </w:pPr>
    <w:rPr>
      <w:kern w:val="0"/>
      <w:sz w:val="18"/>
      <w:szCs w:val="20"/>
    </w:rPr>
  </w:style>
  <w:style w:type="paragraph" w:styleId="10">
    <w:name w:val="Body Text Indent"/>
    <w:basedOn w:val="1"/>
    <w:next w:val="1"/>
    <w:unhideWhenUsed/>
    <w:qFormat/>
    <w:uiPriority w:val="99"/>
    <w:pPr>
      <w:spacing w:after="120"/>
      <w:ind w:left="420" w:leftChars="200"/>
    </w:p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next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3">
    <w:name w:val="样式5"/>
    <w:basedOn w:val="14"/>
    <w:qFormat/>
    <w:uiPriority w:val="0"/>
    <w:pPr>
      <w:snapToGrid w:val="0"/>
      <w:ind w:firstLine="510"/>
    </w:pPr>
    <w:rPr>
      <w:rFonts w:hint="eastAsia"/>
    </w:rPr>
  </w:style>
  <w:style w:type="paragraph" w:customStyle="1" w:styleId="14">
    <w:name w:val="样式2"/>
    <w:basedOn w:val="15"/>
    <w:next w:val="15"/>
    <w:qFormat/>
    <w:uiPriority w:val="0"/>
    <w:pPr>
      <w:spacing w:before="120" w:after="120" w:line="460" w:lineRule="exact"/>
    </w:pPr>
    <w:rPr>
      <w:rFonts w:ascii="Cambria" w:hAnsi="Cambria"/>
      <w:sz w:val="24"/>
    </w:rPr>
  </w:style>
  <w:style w:type="paragraph" w:customStyle="1" w:styleId="15">
    <w:name w:val="标题 41"/>
    <w:basedOn w:val="1"/>
    <w:next w:val="1"/>
    <w:qFormat/>
    <w:uiPriority w:val="1"/>
    <w:pPr>
      <w:keepNext/>
      <w:keepLines/>
      <w:spacing w:before="280" w:after="290" w:line="372" w:lineRule="auto"/>
      <w:outlineLvl w:val="3"/>
    </w:pPr>
    <w:rPr>
      <w:rFonts w:ascii="Arial" w:hAnsi="Arial" w:eastAsia="黑体"/>
      <w:sz w:val="28"/>
    </w:rPr>
  </w:style>
  <w:style w:type="paragraph" w:styleId="16">
    <w:name w:val="Body Text Indent 3"/>
    <w:basedOn w:val="1"/>
    <w:qFormat/>
    <w:uiPriority w:val="0"/>
    <w:pPr>
      <w:spacing w:after="120"/>
      <w:ind w:left="420" w:leftChars="200"/>
    </w:pPr>
    <w:rPr>
      <w:sz w:val="16"/>
      <w:szCs w:val="16"/>
    </w:rPr>
  </w:style>
  <w:style w:type="paragraph" w:styleId="17">
    <w:name w:val="table of figures"/>
    <w:basedOn w:val="1"/>
    <w:next w:val="1"/>
    <w:qFormat/>
    <w:uiPriority w:val="0"/>
    <w:pPr>
      <w:ind w:leftChars="200" w:hanging="200" w:hangingChars="200"/>
    </w:pPr>
  </w:style>
  <w:style w:type="paragraph" w:styleId="18">
    <w:name w:val="Normal (Web)"/>
    <w:basedOn w:val="1"/>
    <w:qFormat/>
    <w:uiPriority w:val="99"/>
    <w:pPr>
      <w:widowControl/>
      <w:spacing w:before="100" w:beforeAutospacing="1" w:after="100" w:afterAutospacing="1"/>
      <w:jc w:val="left"/>
    </w:pPr>
    <w:rPr>
      <w:rFonts w:ascii="宋体" w:hAnsi="宋体"/>
      <w:kern w:val="0"/>
      <w:sz w:val="24"/>
      <w:szCs w:val="20"/>
    </w:rPr>
  </w:style>
  <w:style w:type="table" w:styleId="20">
    <w:name w:val="Table Grid"/>
    <w:basedOn w:val="19"/>
    <w:qFormat/>
    <w:uiPriority w:val="59"/>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0"/>
    <w:rPr>
      <w:color w:val="0000FF"/>
      <w:u w:val="single"/>
    </w:rPr>
  </w:style>
  <w:style w:type="paragraph" w:customStyle="1" w:styleId="23">
    <w:name w:val="Default"/>
    <w:basedOn w:val="24"/>
    <w:unhideWhenUsed/>
    <w:qFormat/>
    <w:uiPriority w:val="0"/>
    <w:pPr>
      <w:widowControl w:val="0"/>
      <w:autoSpaceDE w:val="0"/>
      <w:autoSpaceDN w:val="0"/>
      <w:adjustRightInd w:val="0"/>
    </w:pPr>
    <w:rPr>
      <w:rFonts w:ascii="宋体" w:hAnsi="宋体"/>
      <w:color w:val="000000"/>
      <w:sz w:val="24"/>
      <w:lang w:val="en-US" w:eastAsia="zh-CN" w:bidi="ar-SA"/>
    </w:rPr>
  </w:style>
  <w:style w:type="paragraph" w:customStyle="1" w:styleId="24">
    <w:name w:val="纯文本1"/>
    <w:basedOn w:val="1"/>
    <w:qFormat/>
    <w:uiPriority w:val="99"/>
    <w:pPr>
      <w:autoSpaceDE w:val="0"/>
      <w:autoSpaceDN w:val="0"/>
      <w:adjustRightInd w:val="0"/>
      <w:textAlignment w:val="baseline"/>
    </w:pPr>
    <w:rPr>
      <w:rFonts w:ascii="宋体"/>
      <w:szCs w:val="20"/>
    </w:rPr>
  </w:style>
  <w:style w:type="character" w:customStyle="1" w:styleId="25">
    <w:name w:val="标题 1 Char"/>
    <w:link w:val="2"/>
    <w:qFormat/>
    <w:uiPriority w:val="0"/>
    <w:rPr>
      <w:rFonts w:ascii="Times New Roman" w:hAnsi="Times New Roman" w:eastAsia="宋体" w:cs="Times New Roman"/>
      <w:b/>
      <w:kern w:val="44"/>
      <w:sz w:val="32"/>
      <w:szCs w:val="32"/>
    </w:rPr>
  </w:style>
  <w:style w:type="paragraph" w:customStyle="1" w:styleId="26">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27">
    <w:name w:val="样式 正文缩进正文缩进2正文缩进 Char Char正文缩进 Char Char Char Char正文缩进 Char ..."/>
    <w:basedOn w:val="6"/>
    <w:qFormat/>
    <w:uiPriority w:val="0"/>
    <w:pPr>
      <w:spacing w:line="360" w:lineRule="auto"/>
      <w:ind w:firstLine="200"/>
    </w:pPr>
    <w:rPr>
      <w:rFonts w:cs="宋体"/>
      <w:sz w:val="24"/>
    </w:rPr>
  </w:style>
  <w:style w:type="paragraph" w:customStyle="1" w:styleId="28">
    <w:name w:val="5E8A942B92774C978FFC2A16BCB09EA4"/>
    <w:qFormat/>
    <w:uiPriority w:val="99"/>
    <w:pPr>
      <w:spacing w:after="200" w:line="276" w:lineRule="auto"/>
    </w:pPr>
    <w:rPr>
      <w:rFonts w:ascii="Calibri" w:hAnsi="Calibri" w:eastAsia="宋体" w:cs="Times New Roman"/>
      <w:sz w:val="22"/>
      <w:szCs w:val="22"/>
      <w:lang w:val="en-US" w:eastAsia="en-US" w:bidi="ar-SA"/>
    </w:rPr>
  </w:style>
  <w:style w:type="paragraph" w:customStyle="1" w:styleId="29">
    <w:name w:val="正文1"/>
    <w:basedOn w:val="1"/>
    <w:qFormat/>
    <w:uiPriority w:val="0"/>
    <w:pPr>
      <w:spacing w:line="360" w:lineRule="auto"/>
      <w:ind w:firstLine="480" w:firstLineChars="200"/>
    </w:pPr>
    <w:rPr>
      <w:kern w:val="0"/>
      <w:position w:val="-14"/>
      <w:sz w:val="24"/>
      <w:lang w:val="zh-CN"/>
    </w:rPr>
  </w:style>
  <w:style w:type="paragraph" w:customStyle="1" w:styleId="30">
    <w:name w:val="列表段落1"/>
    <w:basedOn w:val="1"/>
    <w:qFormat/>
    <w:uiPriority w:val="0"/>
    <w:pPr>
      <w:ind w:firstLine="420" w:firstLineChars="200"/>
    </w:pPr>
    <w:rPr>
      <w:rFonts w:ascii="Calibri" w:hAnsi="Calibri"/>
    </w:rPr>
  </w:style>
  <w:style w:type="paragraph" w:customStyle="1" w:styleId="31">
    <w:name w:val="表标题"/>
    <w:basedOn w:val="1"/>
    <w:qFormat/>
    <w:uiPriority w:val="0"/>
    <w:pPr>
      <w:jc w:val="center"/>
    </w:pPr>
    <w:rPr>
      <w:rFonts w:ascii="Times New Roman" w:hAnsi="Times New Roman" w:eastAsia="宋体"/>
      <w:b/>
    </w:rPr>
  </w:style>
  <w:style w:type="paragraph" w:customStyle="1" w:styleId="32">
    <w:name w:val="正文-ls"/>
    <w:basedOn w:val="1"/>
    <w:qFormat/>
    <w:uiPriority w:val="0"/>
    <w:pPr>
      <w:spacing w:line="360" w:lineRule="auto"/>
      <w:ind w:firstLine="200" w:firstLineChars="200"/>
    </w:pPr>
    <w:rPr>
      <w:rFonts w:hAnsi="宋体" w:cs="宋体"/>
      <w:sz w:val="24"/>
      <w:szCs w:val="20"/>
    </w:rPr>
  </w:style>
  <w:style w:type="paragraph" w:customStyle="1" w:styleId="33">
    <w:name w:val="样式 样式 首行缩进:  1 字符 + (符号) 宋体 四号"/>
    <w:basedOn w:val="1"/>
    <w:qFormat/>
    <w:uiPriority w:val="0"/>
    <w:pPr>
      <w:adjustRightInd w:val="0"/>
      <w:snapToGrid w:val="0"/>
      <w:spacing w:line="360" w:lineRule="auto"/>
      <w:ind w:firstLine="200" w:firstLineChars="200"/>
    </w:pPr>
    <w:rPr>
      <w:rFonts w:ascii="宋体" w:cs="宋体"/>
      <w:snapToGrid w:val="0"/>
      <w:kern w:val="0"/>
      <w:sz w:val="24"/>
      <w:szCs w:val="24"/>
    </w:rPr>
  </w:style>
  <w:style w:type="paragraph" w:customStyle="1" w:styleId="34">
    <w:name w:val="表格内容"/>
    <w:basedOn w:val="35"/>
    <w:qFormat/>
    <w:uiPriority w:val="0"/>
    <w:pPr>
      <w:overflowPunct w:val="0"/>
      <w:adjustRightInd w:val="0"/>
      <w:spacing w:before="40" w:after="60" w:line="200" w:lineRule="atLeast"/>
      <w:textAlignment w:val="baseline"/>
    </w:pPr>
    <w:rPr>
      <w:rFonts w:ascii="Arial" w:hAnsi="Arial" w:eastAsia="仿宋_GB2312"/>
      <w:kern w:val="0"/>
      <w:sz w:val="24"/>
      <w:szCs w:val="20"/>
    </w:rPr>
  </w:style>
  <w:style w:type="paragraph" w:customStyle="1" w:styleId="35">
    <w:name w:val="图标标题"/>
    <w:basedOn w:val="1"/>
    <w:qFormat/>
    <w:uiPriority w:val="0"/>
    <w:pPr>
      <w:spacing w:line="240" w:lineRule="auto"/>
      <w:ind w:firstLine="0" w:firstLineChars="0"/>
      <w:jc w:val="center"/>
    </w:pPr>
    <w:rPr>
      <w:rFonts w:cs="Times New Roman"/>
      <w:b/>
      <w:kern w:val="0"/>
      <w:sz w:val="21"/>
      <w:szCs w:val="20"/>
    </w:rPr>
  </w:style>
  <w:style w:type="paragraph" w:customStyle="1" w:styleId="36">
    <w:name w:val="表格文字."/>
    <w:basedOn w:val="1"/>
    <w:qFormat/>
    <w:uiPriority w:val="0"/>
    <w:pPr>
      <w:adjustRightInd w:val="0"/>
      <w:snapToGrid w:val="0"/>
      <w:jc w:val="center"/>
    </w:pPr>
    <w:rPr>
      <w:rFonts w:ascii="Calibri" w:hAnsi="Calibri"/>
      <w:color w:val="000000"/>
      <w:szCs w:val="22"/>
    </w:rPr>
  </w:style>
  <w:style w:type="paragraph" w:customStyle="1" w:styleId="37">
    <w:name w:val="*正文"/>
    <w:basedOn w:val="1"/>
    <w:qFormat/>
    <w:uiPriority w:val="0"/>
    <w:pPr>
      <w:spacing w:line="360" w:lineRule="auto"/>
      <w:ind w:firstLine="200" w:firstLineChars="200"/>
    </w:pPr>
    <w:rPr>
      <w:rFonts w:ascii="Times New Roman" w:hAnsi="Times New Roman" w:eastAsia="宋体" w:cs="仿宋_GB2312"/>
      <w:sz w:val="24"/>
      <w:szCs w:val="24"/>
    </w:rPr>
  </w:style>
  <w:style w:type="paragraph" w:customStyle="1" w:styleId="38">
    <w:name w:val="Table Text"/>
    <w:basedOn w:val="1"/>
    <w:semiHidden/>
    <w:qFormat/>
    <w:uiPriority w:val="0"/>
    <w:rPr>
      <w:rFonts w:ascii="宋体" w:hAnsi="宋体" w:eastAsia="宋体" w:cs="宋体"/>
      <w:sz w:val="24"/>
      <w:szCs w:val="24"/>
      <w:lang w:val="en-US" w:eastAsia="en-US" w:bidi="ar-SA"/>
    </w:rPr>
  </w:style>
  <w:style w:type="table" w:customStyle="1" w:styleId="39">
    <w:name w:val="Table Normal"/>
    <w:unhideWhenUsed/>
    <w:qFormat/>
    <w:uiPriority w:val="0"/>
    <w:tblPr>
      <w:tblCellMar>
        <w:top w:w="0" w:type="dxa"/>
        <w:left w:w="0" w:type="dxa"/>
        <w:bottom w:w="0" w:type="dxa"/>
        <w:right w:w="0" w:type="dxa"/>
      </w:tblCellMar>
    </w:tblPr>
  </w:style>
  <w:style w:type="paragraph" w:customStyle="1" w:styleId="40">
    <w:name w:val="表格"/>
    <w:basedOn w:val="1"/>
    <w:next w:val="1"/>
    <w:qFormat/>
    <w:uiPriority w:val="0"/>
    <w:pPr>
      <w:spacing w:line="240" w:lineRule="auto"/>
      <w:ind w:firstLine="0" w:firstLineChars="0"/>
      <w:jc w:val="center"/>
    </w:pPr>
    <w:rPr>
      <w:rFonts w:ascii="Times New Roman" w:hAnsi="Times New Roman"/>
      <w:kern w:val="0"/>
      <w:sz w:val="21"/>
      <w:szCs w:val="20"/>
    </w:rPr>
  </w:style>
  <w:style w:type="paragraph" w:customStyle="1" w:styleId="41">
    <w:name w:val="飞海正文"/>
    <w:basedOn w:val="1"/>
    <w:qFormat/>
    <w:uiPriority w:val="0"/>
    <w:pPr>
      <w:widowControl/>
      <w:spacing w:line="480" w:lineRule="exact"/>
      <w:ind w:firstLine="480" w:firstLineChars="200"/>
    </w:pPr>
    <w:rPr>
      <w:rFonts w:ascii="Times New Roman" w:hAnsi="Times New Roman" w:eastAsia="宋体" w:cs="Times New Roman"/>
      <w:color w:val="000000"/>
      <w:sz w:val="24"/>
      <w:szCs w:val="24"/>
    </w:rPr>
  </w:style>
  <w:style w:type="paragraph" w:customStyle="1" w:styleId="42">
    <w:name w:val="表内文字"/>
    <w:basedOn w:val="1"/>
    <w:qFormat/>
    <w:uiPriority w:val="0"/>
    <w:pPr>
      <w:spacing w:line="240" w:lineRule="auto"/>
      <w:ind w:firstLine="0" w:firstLineChars="0"/>
      <w:jc w:val="center"/>
    </w:pPr>
    <w:rPr>
      <w:rFonts w:eastAsia="宋体" w:cs="Times New Roman"/>
      <w:kern w:val="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f2510b2f-9610-46ad-bd35-0b0aa62a05e1</errorID>
      <errorWord>》（试行）</errorWord>
      <group>L1_Word</group>
      <groupName>字词问题</groupName>
      <ability>L2_Typo</ability>
      <abilityName>字词错误</abilityName>
      <candidateList>
        <item>（试行）》</item>
      </candidateList>
      <explain/>
      <paraID>6C097D44</paraID>
      <start>27</start>
      <end>32</end>
      <status>modified</status>
      <modifiedWord>（试行）》</modifiedWord>
      <trackRevisions>false</trackRevisions>
    </reviewItem>
    <reviewItem>
      <errorID>e3c5ce08-2d91-4bdc-a105-875142bb3646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5DE9E5C4</paraID>
      <start>0</start>
      <end>2</end>
      <status>unmodified</status>
      <modifiedWord/>
      <trackRevisions>false</trackRevisions>
    </reviewItem>
    <reviewItem>
      <errorID>e60be9c2-5bf1-45d6-8bd5-8b1861f9cb41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3A86B7E</paraID>
      <start>0</start>
      <end>2</end>
      <status>unmodified</status>
      <modifiedWord/>
      <trackRevisions>false</trackRevisions>
    </reviewItem>
    <reviewItem>
      <errorID>5df49de3-3312-4216-a863-b9341e93f425</errorID>
      <errorWord>》</errorWord>
      <group>L1_Word</group>
      <groupName>字词问题</groupName>
      <ability>L2_Typo</ability>
      <abilityName>字词错误</abilityName>
      <candidateList>
        <item>》等</item>
      </candidateList>
      <explain/>
      <paraID>278CB295</paraID>
      <start>61</start>
      <end>62</end>
      <status>unmodified</status>
      <modifiedWord/>
      <trackRevisions>false</trackRevisions>
    </reviewItem>
    <reviewItem>
      <errorID>6fa4bba9-0710-4723-8dd5-e29190b19fdc</errorID>
      <errorWord>原住居民</errorWord>
      <group>L1_Sensitive</group>
      <groupName>敏感问题</groupName>
      <ability>L2_Violent</ability>
      <abilityName>暴恐词条</abilityName>
      <candidateList/>
      <explain>【暴恐词条】句中包含暴恐类敏感词条，请注意甄别。</explain>
      <paraID>26F372B1</paraID>
      <start>184</start>
      <end>188</end>
      <status>unmodified</status>
      <modifiedWord/>
      <trackRevisions>false</trackRevisions>
    </reviewItem>
    <reviewItem>
      <errorID>5f8887cc-642f-4f7b-a7ca-4fbc99926c18</errorID>
      <errorWord>城乡结合部</errorWord>
      <group>L1_Word</group>
      <groupName>字词问题</groupName>
      <ability>L2_Typo</ability>
      <abilityName>字词错误</abilityName>
      <candidateList>
        <item>城乡接合部</item>
      </candidateList>
      <explain/>
      <paraID>2C9B09BC</paraID>
      <start>17</start>
      <end>22</end>
      <status>unmodified</status>
      <modifiedWord/>
      <trackRevisions>false</trackRevisions>
    </reviewItem>
    <reviewItem>
      <errorID>30b9a368-9491-40b3-8b06-cd8df9552b64</errorID>
      <errorWord>城乡结合部</errorWord>
      <group>L1_Word</group>
      <groupName>字词问题</groupName>
      <ability>L2_Typo</ability>
      <abilityName>字词错误</abilityName>
      <candidateList>
        <item>城乡接合部</item>
      </candidateList>
      <explain/>
      <paraID>2D67C6EA</paraID>
      <start>17</start>
      <end>22</end>
      <status>unmodified</status>
      <modifiedWord/>
      <trackRevisions>false</trackRevisions>
    </reviewItem>
    <reviewItem>
      <errorID>315f520b-bbf6-4e78-bd43-26d28546420d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1A3303B3</paraID>
      <start>0</start>
      <end>2</end>
      <status>unmodified</status>
      <modifiedWord/>
      <trackRevisions>false</trackRevisions>
    </reviewItem>
    <reviewItem>
      <errorID>35c13854-a2e1-40fd-81d6-3005ef0da6dd</errorID>
      <errorWord>存贮</errorWord>
      <group>L1_Word</group>
      <groupName>字词问题</groupName>
      <ability>L2_Typo</ability>
      <abilityName>字词错误</abilityName>
      <candidateList>
        <item>贮存</item>
      </candidateList>
      <explain/>
      <paraID>63C84921</paraID>
      <start>39</start>
      <end>41</end>
      <status>unmodified</status>
      <modifiedWord/>
      <trackRevisions>false</trackRevisions>
    </reviewItem>
    <reviewItem>
      <errorID>004c4a28-c58f-41e4-b2a4-bbdcfe50cf7e</errorID>
      <errorWord>原住居民</errorWord>
      <group>L1_Sensitive</group>
      <groupName>敏感问题</groupName>
      <ability>L2_Violent</ability>
      <abilityName>暴恐词条</abilityName>
      <candidateList/>
      <explain>【暴恐词条】句中包含暴恐类敏感词条，请注意甄别。</explain>
      <paraID>7DA1D7AC</paraID>
      <start>5</start>
      <end>9</end>
      <status>unmodified</status>
      <modifiedWord/>
      <trackRevisions>false</trackRevisions>
    </reviewItem>
    <reviewItem>
      <errorID>3d2d6b7d-35d2-4a35-b26d-7fc25c21a54f</errorID>
      <errorWord>....</errorWord>
      <group>L1_Punc</group>
      <groupName>标点问题</groupName>
      <ability>L2_Punc_CN</ability>
      <abilityName>标点符号问题</abilityName>
      <candidateList>
        <item>……</item>
      </candidateList>
      <explain>省略号错误。</explain>
      <paraID>10930915</paraID>
      <start>240</start>
      <end>244</end>
      <status>unmodified</status>
      <modifiedWord/>
      <trackRevisions>false</trackRevisions>
    </reviewItem>
    <reviewItem>
      <errorID>47b274b5-aba7-4c48-9324-a1ecec77dda2</errorID>
      <errorWord>生态红线</errorWord>
      <group>L1_Political</group>
      <groupName>政治性问题</groupName>
      <ability>L2_Unpolitical</ability>
      <abilityName>政治敏感错误</abilityName>
      <candidateList>
        <item>生态保护红线</item>
      </candidateList>
      <explain/>
      <paraID>291237A7</paraID>
      <start>85</start>
      <end>91</end>
      <status>modified</status>
      <modifiedWord>生态保护红线</modifiedWord>
      <trackRevisions>false</trackRevisions>
    </reviewItem>
    <reviewItem>
      <errorID>0803b92b-3b2f-4d8d-81b8-2c3c36f9c9c7</errorID>
      <errorWord>(</errorWord>
      <group>L1_Format</group>
      <groupName>格式问题</groupName>
      <ability>L2_HalfPunc_CN</ability>
      <abilityName>全半角问题</abilityName>
      <candidateList>
        <item>（</item>
      </candidateList>
      <explain>文本全半角错误。</explain>
      <paraID>1E33014A</paraID>
      <start>43</start>
      <end>44</end>
      <status>modified</status>
      <modifiedWord>（</modifiedWord>
      <trackRevisions>false</trackRevisions>
    </reviewItem>
    <reviewItem>
      <errorID>4ed6aed6-f260-4fce-ae6d-6ca80a82fd2f</errorID>
      <errorWord>)</errorWord>
      <group>L1_Format</group>
      <groupName>格式问题</groupName>
      <ability>L2_HalfPunc_CN</ability>
      <abilityName>全半角问题</abilityName>
      <candidateList>
        <item>）</item>
      </candidateList>
      <explain>文本全半角错误。</explain>
      <paraID>1E33014A</paraID>
      <start>57</start>
      <end>58</end>
      <status>modified</status>
      <modifiedWord>）</modifiedWord>
      <trackRevisions>false</trackRevisions>
    </reviewItem>
    <reviewItem>
      <errorID>f83664bd-c48e-4f57-9c16-fc41e31fb874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36265FF1</paraID>
      <start>0</start>
      <end>2</end>
      <status>unmodified</status>
      <modifiedWord/>
      <trackRevisions>false</trackRevisions>
    </reviewItem>
    <reviewItem>
      <errorID>1d9f049b-1818-4977-bbff-464a6b0a983a</errorID>
      <errorWord>己有</errorWord>
      <group>L1_Word</group>
      <groupName>字词问题</groupName>
      <ability>L2_Typo</ability>
      <abilityName>字词错误</abilityName>
      <candidateList>
        <item>已有</item>
      </candidateList>
      <explain>存在字形相近字词的误用。</explain>
      <paraID> B09F335</paraID>
      <start>61</start>
      <end>63</end>
      <status>modified</status>
      <modifiedWord>已有</modifiedWord>
      <trackRevisions>false</trackRevisions>
    </reviewItem>
    <reviewItem>
      <errorID>12f1466b-8e07-4e80-8a23-0872f0e96aa1</errorID>
      <errorWord>列</errorWord>
      <group>L1_Word</group>
      <groupName>字词问题</groupName>
      <ability>L2_Typo</ability>
      <abilityName>字词错误</abilityName>
      <candidateList>
        <item>列行</item>
      </candidateList>
      <explain/>
      <paraID> 70041EF</paraID>
      <start>16</start>
      <end>17</end>
      <status>unmodified</status>
      <modifiedWord/>
      <trackRevisions>false</trackRevisions>
    </reviewItem>
    <reviewItem>
      <errorID>fd13fa5e-5988-4503-8eae-6a627d6e8ec2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5D5C72DC</paraID>
      <start>22</start>
      <end>23</end>
      <status>unmodified</status>
      <modifiedWord/>
      <trackRevisions>false</trackRevisions>
    </reviewItem>
    <reviewItem>
      <errorID>ffaea93f-d1da-4353-8d3f-a6c691f32781</errorID>
      <errorWord>工地</errorWord>
      <group>L1_Word</group>
      <groupName>字词问题</groupName>
      <ability>L2_Typo</ability>
      <abilityName>字词错误</abilityName>
      <candidateList>
        <item>场地</item>
      </candidateList>
      <explain/>
      <paraID>7DE6BF95</paraID>
      <start>5</start>
      <end>7</end>
      <status>unmodified</status>
      <modifiedWord/>
      <trackRevisions>false</trackRevisions>
    </reviewItem>
    <reviewItem>
      <errorID>621d67cd-5eea-471b-be11-2f63b00c58be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FEF4707</paraID>
      <start>21</start>
      <end>22</end>
      <status>unmodified</status>
      <modifiedWord/>
      <trackRevisions>false</trackRevisions>
    </reviewItem>
    <reviewItem>
      <errorID>e7c337cd-89ce-4342-9fa6-c9e2681845e0</errorID>
      <errorWord>IV</errorWord>
      <group>L1_Knowledge</group>
      <groupName>知识性问题</groupName>
      <ability>L2_Knowledge</ability>
      <abilityName>其他知识</abilityName>
      <candidateList>
        <item>Ⅳ</item>
      </candidateList>
      <explain>中文环境下罗马数字格式错误。</explain>
      <paraID>29E6D8A1</paraID>
      <start>16</start>
      <end>18</end>
      <status>unmodified</status>
      <modifiedWord/>
      <trackRevisions>false</trackRevisions>
    </reviewItem>
    <reviewItem>
      <errorID>2159b714-d31c-4eac-a63e-78b07a6e24db</errorID>
      <errorWord>存贮</errorWord>
      <group>L1_Word</group>
      <groupName>字词问题</groupName>
      <ability>L2_Typo</ability>
      <abilityName>字词错误</abilityName>
      <candidateList>
        <item>贮存</item>
      </candidateList>
      <explain/>
      <paraID> B50353A</paraID>
      <start>293</start>
      <end>295</end>
      <status>unmodified</status>
      <modifiedWord/>
      <trackRevisions>false</trackRevisions>
    </reviewItem>
    <reviewItem>
      <errorID>f0eab267-dfa1-4178-b048-c729ea2754e2</errorID>
      <errorWord>"</errorWord>
      <group>L1_Format</group>
      <groupName>格式问题</groupName>
      <ability>L2_HalfPunc_CN</ability>
      <abilityName>全半角问题</abilityName>
      <candidateList/>
      <explain>文本全半角错误。</explain>
      <paraID> B75E686</paraID>
      <start>114</start>
      <end>115</end>
      <status>unmodified</status>
      <modifiedWord/>
      <trackRevisions>false</trackRevisions>
    </reviewItem>
    <reviewItem>
      <errorID>87cbacab-7659-4511-915c-60a7f3a20f0b</errorID>
      <errorWord>"</errorWord>
      <group>L1_Format</group>
      <groupName>格式问题</groupName>
      <ability>L2_HalfPunc_CN</ability>
      <abilityName>全半角问题</abilityName>
      <candidateList>
        <item>”</item>
      </candidateList>
      <explain>文本全半角错误。</explain>
      <paraID> B75E686</paraID>
      <start>127</start>
      <end>128</end>
      <status>unmodified</status>
      <modifiedWord/>
      <trackRevisions>false</trackRevisions>
    </reviewItem>
    <reviewItem>
      <errorID>1f947880-7bc2-40f9-8fd2-7344578f0bf4</errorID>
      <errorWord>"</errorWord>
      <group>L1_Format</group>
      <groupName>格式问题</groupName>
      <ability>L2_HalfPunc_CN</ability>
      <abilityName>全半角问题</abilityName>
      <candidateList/>
      <explain>文本全半角错误。</explain>
      <paraID> B75E686</paraID>
      <start>146</start>
      <end>147</end>
      <status>unmodified</status>
      <modifiedWord/>
      <trackRevisions>false</trackRevisions>
    </reviewItem>
    <reviewItem>
      <errorID>b241d428-f8ee-4199-a230-9107c6171337</errorID>
      <errorWord>"</errorWord>
      <group>L1_Format</group>
      <groupName>格式问题</groupName>
      <ability>L2_HalfPunc_CN</ability>
      <abilityName>全半角问题</abilityName>
      <candidateList>
        <item>”</item>
      </candidateList>
      <explain>文本全半角错误。</explain>
      <paraID> B75E686</paraID>
      <start>159</start>
      <end>160</end>
      <status>unmodified</status>
      <modifiedWord/>
      <trackRevisions>false</trackRevisions>
    </reviewItem>
    <reviewItem>
      <errorID>ff29f951-3bf0-446b-a1cd-9e41cc5b4309</errorID>
      <errorWord>，</errorWord>
      <group>L1_Format</group>
      <groupName>格式问题</groupName>
      <ability>L2_HalfPunc_CN</ability>
      <abilityName>全半角问题</abilityName>
      <candidateList>
        <item>,</item>
      </candidateList>
      <explain>文本全半角错误。</explain>
      <paraID> 5070766</paraID>
      <start>14</start>
      <end>15</end>
      <status>unmodified</status>
      <modifiedWord/>
      <trackRevisions>false</trackRevisions>
    </reviewItem>
    <reviewItem>
      <errorID>32af92cb-ae01-44cd-a80f-1ad622d5d08c</errorID>
      <errorWord>，</errorWord>
      <group>L1_Format</group>
      <groupName>格式问题</groupName>
      <ability>L2_HalfPunc_CN</ability>
      <abilityName>全半角问题</abilityName>
      <candidateList>
        <item>,</item>
      </candidateList>
      <explain>文本全半角错误。</explain>
      <paraID> 4F56E54</paraID>
      <start>13</start>
      <end>14</end>
      <status>unmodified</status>
      <modifiedWord/>
      <trackRevisions>false</trackRevisions>
    </reviewItem>
    <reviewItem>
      <errorID>d580687d-c645-4eb2-bf10-b6e99bef6a71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32063B3D</paraID>
      <start>0</start>
      <end>2</end>
      <status>unmodified</status>
      <modifiedWord/>
      <trackRevisions>false</trackRevisions>
    </reviewItem>
    <reviewItem>
      <errorID>1f7e06e7-8b83-418e-8339-5ca003327c6e</errorID>
      <errorWord>~</errorWord>
      <group>L1_Format</group>
      <groupName>格式问题</groupName>
      <ability>L2_HalfPunc_CN</ability>
      <abilityName>全半角问题</abilityName>
      <candidateList>
        <item>～</item>
      </candidateList>
      <explain>文本全半角错误。</explain>
      <paraID>4AA6E99E</paraID>
      <start>30</start>
      <end>31</end>
      <status>unmodified</status>
      <modifiedWord/>
      <trackRevisions>false</trackRevisions>
    </reviewItem>
    <reviewItem>
      <errorID>0c9e3f29-bf2a-4a7b-86d7-aa636a9b4b50</errorID>
      <errorWord>~</errorWord>
      <group>L1_Format</group>
      <groupName>格式问题</groupName>
      <ability>L2_HalfPunc_CN</ability>
      <abilityName>全半角问题</abilityName>
      <candidateList>
        <item>～</item>
      </candidateList>
      <explain>文本全半角错误。</explain>
      <paraID> 8ADC5DA</paraID>
      <start>88</start>
      <end>89</end>
      <status>unmodified</status>
      <modifiedWord/>
      <trackRevisions>false</trackRevisions>
    </reviewItem>
    <reviewItem>
      <errorID>20f6cedb-0931-4b40-9ff7-dbfb4da6a98d</errorID>
      <errorWord>~</errorWord>
      <group>L1_Format</group>
      <groupName>格式问题</groupName>
      <ability>L2_HalfPunc_CN</ability>
      <abilityName>全半角问题</abilityName>
      <candidateList>
        <item>～</item>
      </candidateList>
      <explain>文本全半角错误。</explain>
      <paraID> 8ADC5DA</paraID>
      <start>97</start>
      <end>98</end>
      <status>unmodified</status>
      <modifiedWord/>
      <trackRevisions>false</trackRevisions>
    </reviewItem>
    <reviewItem>
      <errorID>90bd2df6-3f3f-47b8-86e4-de3f1ebeea61</errorID>
      <errorWord>~</errorWord>
      <group>L1_Format</group>
      <groupName>格式问题</groupName>
      <ability>L2_HalfPunc_CN</ability>
      <abilityName>全半角问题</abilityName>
      <candidateList>
        <item>～</item>
      </candidateList>
      <explain>文本全半角错误。</explain>
      <paraID> 8ADC5DA</paraID>
      <start>112</start>
      <end>113</end>
      <status>unmodified</status>
      <modifiedWord/>
      <trackRevisions>false</trackRevisions>
    </reviewItem>
    <reviewItem>
      <errorID>a5bbdf80-25bc-420f-a1c6-d52fb819fb82</errorID>
      <errorWord>-</errorWord>
      <group>L1_Format</group>
      <groupName>格式问题</groupName>
      <ability>L2_HalfPunc_CN</ability>
      <abilityName>全半角问题</abilityName>
      <candidateList>
        <item>－</item>
      </candidateList>
      <explain>文本全半角错误。</explain>
      <paraID>5911A742</paraID>
      <start>135</start>
      <end>136</end>
      <status>unmodified</status>
      <modifiedWord/>
      <trackRevisions>false</trackRevisions>
    </reviewItem>
    <reviewItem>
      <errorID>3316d96d-c78a-4349-882c-93b03b699bef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5FF46633</paraID>
      <start>0</start>
      <end>2</end>
      <status>unmodified</status>
      <modifiedWord/>
      <trackRevisions>false</trackRevisions>
    </reviewItem>
    <reviewItem>
      <errorID>f15db5db-dd6c-4cf0-aa53-6feefd0903b4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6F73CCBC</paraID>
      <start>0</start>
      <end>2</end>
      <status>unmodified</status>
      <modifiedWord/>
      <trackRevisions>false</trackRevisions>
    </reviewItem>
    <reviewItem>
      <errorID>1838cfcb-abda-4f4a-8bbe-7b89c549df79</errorID>
      <errorWord>环型</errorWord>
      <group>L1_Word</group>
      <groupName>字词问题</groupName>
      <ability>L2_Typo</ability>
      <abilityName>字词错误</abilityName>
      <candidateList>
        <item>环形</item>
      </candidateList>
      <explain>存在发音相同字词的误用。</explain>
      <paraID>1CE4CE1D</paraID>
      <start>115</start>
      <end>117</end>
      <status>unmodified</status>
      <modifiedWord/>
      <trackRevisions>false</trackRevisions>
    </reviewItem>
    <reviewItem>
      <errorID>114a434e-533c-40b3-94c3-2821acb35673</errorID>
      <errorWord>或墩底</errorWord>
      <group>L1_Word</group>
      <groupName>字词问题</groupName>
      <ability>L2_Typo</ability>
      <abilityName>字词错误</abilityName>
      <candidateList>
        <item>或蹾底</item>
      </candidateList>
      <explain/>
      <paraID>1CE4CE1D</paraID>
      <start>172</start>
      <end>175</end>
      <status>unmodified</status>
      <modifiedWord/>
      <trackRevisions>false</trackRevisions>
    </reviewItem>
    <reviewItem>
      <errorID>20024af7-4958-4431-8e61-2a92946862f8</errorID>
      <errorWord>环型</errorWord>
      <group>L1_Word</group>
      <groupName>字词问题</groupName>
      <ability>L2_Typo</ability>
      <abilityName>字词错误</abilityName>
      <candidateList>
        <item>环形</item>
      </candidateList>
      <explain/>
      <paraID>483B4506</paraID>
      <start>44</start>
      <end>46</end>
      <status>unmodified</status>
      <modifiedWord/>
      <trackRevisions>false</trackRevisions>
    </reviewItem>
    <reviewItem>
      <errorID>8a7986af-cb05-4d49-b0f9-8e7871a940ca</errorID>
      <errorWord>~</errorWord>
      <group>L1_Format</group>
      <groupName>格式问题</groupName>
      <ability>L2_HalfPunc_CN</ability>
      <abilityName>全半角问题</abilityName>
      <candidateList>
        <item>～</item>
      </candidateList>
      <explain>文本全半角错误。</explain>
      <paraID>483B4506</paraID>
      <start>54</start>
      <end>55</end>
      <status>unmodified</status>
      <modifiedWord/>
      <trackRevisions>false</trackRevisions>
    </reviewItem>
    <reviewItem>
      <errorID>c586663b-9a2b-4ae9-8dc8-7a6df83a8be4</errorID>
      <errorWord>环型</errorWord>
      <group>L1_Word</group>
      <groupName>字词问题</groupName>
      <ability>L2_Typo</ability>
      <abilityName>字词错误</abilityName>
      <candidateList>
        <item>环形</item>
      </candidateList>
      <explain>存在发音相同字词的误用。</explain>
      <paraID>1D75133A</paraID>
      <start>41</start>
      <end>43</end>
      <status>unmodified</status>
      <modifiedWord/>
      <trackRevisions>false</trackRevisions>
    </reviewItem>
    <reviewItem>
      <errorID>614f0df3-a7ee-47f1-ad96-15d94355219f</errorID>
      <errorWord>或墩底</errorWord>
      <group>L1_Word</group>
      <groupName>字词问题</groupName>
      <ability>L2_Typo</ability>
      <abilityName>字词错误</abilityName>
      <candidateList>
        <item>或蹾底</item>
      </candidateList>
      <explain/>
      <paraID>1D75133A</paraID>
      <start>98</start>
      <end>101</end>
      <status>unmodified</status>
      <modifiedWord/>
      <trackRevisions>false</trackRevisions>
    </reviewItem>
    <reviewItem>
      <errorID>ad7a0755-d5b9-40b7-ab71-f4c16fbd6858</errorID>
      <errorWord>环型</errorWord>
      <group>L1_Word</group>
      <groupName>字词问题</groupName>
      <ability>L2_Typo</ability>
      <abilityName>字词错误</abilityName>
      <candidateList>
        <item>环形</item>
      </candidateList>
      <explain/>
      <paraID>4FB30F20</paraID>
      <start>44</start>
      <end>46</end>
      <status>unmodified</status>
      <modifiedWord/>
      <trackRevisions>false</trackRevisions>
    </reviewItem>
    <reviewItem>
      <errorID>e1bc2fe1-9bdc-4c67-9155-2c9238fc27af</errorID>
      <errorWord>~</errorWord>
      <group>L1_Format</group>
      <groupName>格式问题</groupName>
      <ability>L2_HalfPunc_CN</ability>
      <abilityName>全半角问题</abilityName>
      <candidateList>
        <item>～</item>
      </candidateList>
      <explain>文本全半角错误。</explain>
      <paraID>4FB30F20</paraID>
      <start>54</start>
      <end>55</end>
      <status>unmodified</status>
      <modifiedWord/>
      <trackRevisions>false</trackRevisions>
    </reviewItem>
    <reviewItem>
      <errorID>938f73bc-c797-4cdc-a211-cdd1db3b67b0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61B251A1</paraID>
      <start>0</start>
      <end>2</end>
      <status>unmodified</status>
      <modifiedWord/>
      <trackRevisions>false</trackRevisions>
    </reviewItem>
    <reviewItem>
      <errorID>76e8a105-7463-46c2-907d-549f81621cb2</errorID>
      <errorWord>环型</errorWord>
      <group>L1_Word</group>
      <groupName>字词问题</groupName>
      <ability>L2_Typo</ability>
      <abilityName>字词错误</abilityName>
      <candidateList>
        <item>环形</item>
      </candidateList>
      <explain>存在发音相同字词的误用。</explain>
      <paraID>2C7C7123</paraID>
      <start>41</start>
      <end>43</end>
      <status>unmodified</status>
      <modifiedWord/>
      <trackRevisions>false</trackRevisions>
    </reviewItem>
    <reviewItem>
      <errorID>06074e7b-7cc9-495c-aa9a-e34a1a67ead9</errorID>
      <errorWord>或墩底</errorWord>
      <group>L1_Word</group>
      <groupName>字词问题</groupName>
      <ability>L2_Typo</ability>
      <abilityName>字词错误</abilityName>
      <candidateList>
        <item>或蹾底</item>
      </candidateList>
      <explain/>
      <paraID>2C7C7123</paraID>
      <start>98</start>
      <end>101</end>
      <status>unmodified</status>
      <modifiedWord/>
      <trackRevisions>false</trackRevisions>
    </reviewItem>
    <reviewItem>
      <errorID>4083ea19-cbe8-4972-a8b6-b9f4fcc3745a</errorID>
      <errorWord>环型</errorWord>
      <group>L1_Word</group>
      <groupName>字词问题</groupName>
      <ability>L2_Typo</ability>
      <abilityName>字词错误</abilityName>
      <candidateList>
        <item>环形</item>
      </candidateList>
      <explain/>
      <paraID>5F8F4576</paraID>
      <start>44</start>
      <end>46</end>
      <status>unmodified</status>
      <modifiedWord/>
      <trackRevisions>false</trackRevisions>
    </reviewItem>
    <reviewItem>
      <errorID>1608ad4b-350b-4c5b-916a-1b7c0a8179a8</errorID>
      <errorWord>~</errorWord>
      <group>L1_Format</group>
      <groupName>格式问题</groupName>
      <ability>L2_HalfPunc_CN</ability>
      <abilityName>全半角问题</abilityName>
      <candidateList>
        <item>～</item>
      </candidateList>
      <explain>文本全半角错误。</explain>
      <paraID>5F8F4576</paraID>
      <start>54</start>
      <end>55</end>
      <status>unmodified</status>
      <modifiedWord/>
      <trackRevisions>false</trackRevisions>
    </reviewItem>
    <reviewItem>
      <errorID>dd9905e0-1d5a-477f-8a92-57d7e2b405e3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6DDC18E9</paraID>
      <start>0</start>
      <end>2</end>
      <status>unmodified</status>
      <modifiedWord/>
      <trackRevisions>false</trackRevisions>
    </reviewItem>
    <reviewItem>
      <errorID>46d26a84-b194-429a-a058-d88be445b812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7EE0BCCA</paraID>
      <start>0</start>
      <end>2</end>
      <status>unmodified</status>
      <modifiedWord/>
      <trackRevisions>false</trackRevisions>
    </reviewItem>
    <reviewItem>
      <errorID>f7bc9e9e-5b72-4c6b-a20a-f9521246079b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7B0C7D3B</paraID>
      <start>0</start>
      <end>2</end>
      <status>unmodified</status>
      <modifiedWord/>
      <trackRevisions>false</trackRevisions>
    </reviewItem>
    <reviewItem>
      <errorID>5c627b23-cf82-476a-a017-471cafdc36ca</errorID>
      <errorWord>国道速</errorWord>
      <group>L1_Word</group>
      <groupName>字词问题</groupName>
      <ability>L2_Typo</ability>
      <abilityName>字词错误</abilityName>
      <candidateList>
        <item>国道</item>
      </candidateList>
      <explain/>
      <paraID>56738979</paraID>
      <start>27</start>
      <end>30</end>
      <status>unmodified</status>
      <modifiedWord/>
      <trackRevisions>false</trackRevisions>
    </reviewItem>
    <reviewItem>
      <errorID>b1acd2ee-ee30-4429-ada6-6f39e96ac716</errorID>
      <errorWord>程</errorWord>
      <group>L1_Word</group>
      <groupName>字词问题</groupName>
      <ability>L2_Typo</ability>
      <abilityName>字词错误</abilityName>
      <candidateList>
        <item>程中</item>
      </candidateList>
      <explain/>
      <paraID>6057FFDD</paraID>
      <start>6</start>
      <end>7</end>
      <status>unmodified</status>
      <modifiedWord/>
      <trackRevisions>false</trackRevisions>
    </reviewItem>
    <reviewItem>
      <errorID>ee384514-177e-48ce-9b17-42d5bf5d15b8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491476D1</paraID>
      <start>0</start>
      <end>2</end>
      <status>unmodified</status>
      <modifiedWord/>
      <trackRevisions>false</trackRevisions>
    </reviewItem>
    <reviewItem>
      <errorID>c5bcf180-5ba2-4416-8d38-4ada50e19d3b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4B68B834</paraID>
      <start>0</start>
      <end>2</end>
      <status>unmodified</status>
      <modifiedWord/>
      <trackRevisions>false</trackRevisions>
    </reviewItem>
    <reviewItem>
      <errorID>76cd8730-8b17-4122-a014-61be64e1e026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52339B86</paraID>
      <start>0</start>
      <end>2</end>
      <status>unmodified</status>
      <modifiedWord/>
      <trackRevisions>false</trackRevisions>
    </reviewItem>
    <reviewItem>
      <errorID>6790f310-6171-4a3e-9c5f-e83e01c09dbd</errorID>
      <errorWord>均衡性财政转移支付</errorWord>
      <group>L1_Political</group>
      <groupName>政治性问题</groupName>
      <ability>L2_Unpolitical</ability>
      <abilityName>政治敏感错误</abilityName>
      <candidateList>
        <item>均衡性转移支付</item>
      </candidateList>
      <explain/>
      <paraID>2A848253</paraID>
      <start>15</start>
      <end>24</end>
      <status>unmodified</status>
      <modifiedWord/>
      <trackRevisions>false</trackRevisions>
    </reviewItem>
    <reviewItem>
      <errorID>4e3ed568-5fb4-49d5-a244-1732b855b609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49B3B1BA</paraID>
      <start>0</start>
      <end>2</end>
      <status>unmodified</status>
      <modifiedWord/>
      <trackRevisions>false</trackRevisions>
    </reviewItem>
    <reviewItem>
      <errorID>6fda34c0-7d75-475c-8e31-698853737db6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6D414BD7</paraID>
      <start>0</start>
      <end>2</end>
      <status>unmodified</status>
      <modifiedWord/>
      <trackRevisions>false</trackRevisions>
    </reviewItem>
    <reviewItem>
      <errorID>ec69e5ad-d410-40bd-9f2d-0795cbffa6b9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4D14FC96</paraID>
      <start>0</start>
      <end>2</end>
      <status>unmodified</status>
      <modifiedWord/>
      <trackRevisions>false</trackRevisions>
    </reviewItem>
    <reviewItem>
      <errorID>de3666f2-0f55-459d-ab61-06e491cc08cd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2C40C241</paraID>
      <start>0</start>
      <end>2</end>
      <status>unmodified</status>
      <modifiedWord/>
      <trackRevisions>false</trackRevisions>
    </reviewItem>
    <reviewItem>
      <errorID>8f6af5ed-8882-4df6-bfab-daee4a5ccca4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2FB92741</paraID>
      <start>0</start>
      <end>2</end>
      <status>unmodified</status>
      <modifiedWord/>
      <trackRevisions>false</trackRevisions>
    </reviewItem>
    <reviewItem>
      <errorID>b95ad110-12f8-428a-aff1-412adfb32816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6EF0D948</paraID>
      <start>88</start>
      <end>89</end>
      <status>unmodified</status>
      <modifiedWord/>
      <trackRevisions>false</trackRevisions>
    </reviewItem>
    <reviewItem>
      <errorID>f542c635-ff58-475c-a291-8a80fae5594f</errorID>
      <errorWord>，</errorWord>
      <group>L1_Format</group>
      <groupName>格式问题</groupName>
      <ability>L2_HalfPunc_CN</ability>
      <abilityName>全半角问题</abilityName>
      <candidateList>
        <item>, </item>
      </candidateList>
      <explain>文本全半角错误。</explain>
      <paraID> 960DE0F</paraID>
      <start>2</start>
      <end>3</end>
      <status>unmodified</status>
      <modifiedWord/>
      <trackRevisions>false</trackRevisions>
    </reviewItem>
    <reviewItem>
      <errorID>ebc457cb-dd79-4212-bc66-e1d58d55ab7f</errorID>
      <errorWord>，</errorWord>
      <group>L1_Format</group>
      <groupName>格式问题</groupName>
      <ability>L2_HalfPunc_CN</ability>
      <abilityName>全半角问题</abilityName>
      <candidateList>
        <item>, </item>
      </candidateList>
      <explain>文本全半角错误。</explain>
      <paraID> 960DE0F</paraID>
      <start>7</start>
      <end>8</end>
      <status>unmodified</status>
      <modifiedWord/>
      <trackRevisions>false</trackRevisions>
    </reviewItem>
    <reviewItem>
      <errorID>da635ed2-d3b3-48e0-85ad-89a0dd90804e</errorID>
      <errorWord>pHj</errorWord>
      <group>L1_English</group>
      <groupName>英文问题</groupName>
      <ability>L2_Spell</ability>
      <abilityName>拼写问题</abilityName>
      <candidateList>
        <item>pH</item>
      </candidateList>
      <explain>疑似单词拼写有误，建议将pHj修改为pH</explain>
      <paraID>30A81A73</paraID>
      <start>0</start>
      <end>3</end>
      <status>unmodified</status>
      <modifiedWord/>
      <trackRevisions>false</trackRevisions>
    </reviewItem>
    <reviewItem>
      <errorID>cf1a192a-e7b6-490b-a733-cfb64786db33</errorID>
      <errorWord>程</errorWord>
      <group>L1_Word</group>
      <groupName>字词问题</groupName>
      <ability>L2_Typo</ability>
      <abilityName>字词错误</abilityName>
      <candidateList>
        <item>程中</item>
      </candidateList>
      <explain/>
      <paraID>7D6A0DA7</paraID>
      <start>26</start>
      <end>27</end>
      <status>unmodified</status>
      <modifiedWord/>
      <trackRevisions>false</trackRevisions>
    </reviewItem>
    <reviewItem>
      <errorID>65fe2538-4963-4c8c-a120-5b5080164135</errorID>
      <errorWord>（</errorWord>
      <group>L1_Format</group>
      <groupName>格式问题</groupName>
      <ability>L2_HalfPunc_CN</ability>
      <abilityName>全半角问题</abilityName>
      <candidateList>
        <item>(</item>
      </candidateList>
      <explain>文本全半角错误。</explain>
      <paraID>591A6AD8</paraID>
      <start>0</start>
      <end>1</end>
      <status>unmodified</status>
      <modifiedWord/>
      <trackRevisions>false</trackRevisions>
    </reviewItem>
    <reviewItem>
      <errorID>3a052e15-8d1c-47bb-8bc7-5b81f7e8136d</errorID>
      <errorWord>）</errorWord>
      <group>L1_Format</group>
      <groupName>格式问题</groupName>
      <ability>L2_HalfPunc_CN</ability>
      <abilityName>全半角问题</abilityName>
      <candidateList>
        <item>)</item>
      </candidateList>
      <explain>文本全半角错误。</explain>
      <paraID>591A6AD8</paraID>
      <start>12</start>
      <end>13</end>
      <status>unmodified</status>
      <modifiedWord/>
      <trackRevisions>false</trackRevisions>
    </reviewItem>
    <reviewItem>
      <errorID>52732ccf-af45-435f-a754-fd14d9da838b</errorID>
      <errorWord>～</errorWord>
      <group>L1_Format</group>
      <groupName>格式问题</groupName>
      <ability>L2_HalfPunc_CN</ability>
      <abilityName>全半角问题</abilityName>
      <candidateList>
        <item>~</item>
      </candidateList>
      <explain>文本全半角错误。</explain>
      <paraID>2BB87CF0</paraID>
      <start>1</start>
      <end>2</end>
      <status>unmodified</status>
      <modifiedWord/>
      <trackRevisions>false</trackRevisions>
    </reviewItem>
    <reviewItem>
      <errorID>c1d375ca-f4f5-4250-b993-df4627f9b2af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3F1CBDE3</paraID>
      <start>0</start>
      <end>2</end>
      <status>unmodified</status>
      <modifiedWord/>
      <trackRevisions>false</trackRevisions>
    </reviewItem>
    <reviewItem>
      <errorID>3206293f-3989-4cb5-a666-b4f49213ba02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34A76558</paraID>
      <start>0</start>
      <end>2</end>
      <status>unmodified</status>
      <modifiedWord/>
      <trackRevisions>false</trackRevisions>
    </reviewItem>
    <reviewItem>
      <errorID>cbbe4aa3-4482-4e70-b47c-95c7e788ae9c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732A208B</paraID>
      <start>0</start>
      <end>2</end>
      <status>unmodified</status>
      <modifiedWord/>
      <trackRevisions>false</trackRevisions>
    </reviewItem>
    <reviewItem>
      <errorID>0836f84c-6e8d-4c06-919b-f380e1a0fd1e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643A544</paraID>
      <start>0</start>
      <end>2</end>
      <status>unmodified</status>
      <modifiedWord/>
      <trackRevisions>false</trackRevisions>
    </reviewItem>
    <reviewItem>
      <errorID>d3d3fdc5-2903-4ce3-91f5-6666a730f6a6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6BB02033</paraID>
      <start>0</start>
      <end>2</end>
      <status>unmodified</status>
      <modifiedWord/>
      <trackRevisions>false</trackRevisions>
    </reviewItem>
    <reviewItem>
      <errorID>aba95aa7-3e85-4966-8a6a-86453fb6abb4</errorID>
      <errorWord>r、</errorWord>
      <group>L1_Format</group>
      <groupName>格式问题</groupName>
      <ability>L2_Ordinal</ability>
      <abilityName>序号格式</abilityName>
      <candidateList>
        <item>r.</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482734F1</paraID>
      <start>0</start>
      <end>2</end>
      <status>unmodified</status>
      <modifiedWord/>
      <trackRevisions>false</trackRevisions>
    </reviewItem>
    <reviewItem>
      <errorID>a0bd8eb3-e599-4be1-b06c-024a0afc2aeb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354316E4</paraID>
      <start>0</start>
      <end>2</end>
      <status>unmodified</status>
      <modifiedWord/>
      <trackRevisions>false</trackRevisions>
    </reviewItem>
    <reviewItem>
      <errorID>fdfbe34c-d2c1-454c-89d1-5b1de6a1f188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29404D98</paraID>
      <start>0</start>
      <end>2</end>
      <status>unmodified</status>
      <modifiedWord/>
      <trackRevisions>false</trackRevisions>
    </reviewItem>
    <reviewItem>
      <errorID>e41408ca-f392-4b52-a47e-20447ca83d57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7528E5BA</paraID>
      <start>0</start>
      <end>2</end>
      <status>unmodified</status>
      <modifiedWord/>
      <trackRevisions>false</trackRevisions>
    </reviewItem>
    <reviewItem>
      <errorID>e14d473f-cfa9-4792-b5f0-e3acc6a5df02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5BC00333</paraID>
      <start>0</start>
      <end>2</end>
      <status>unmodified</status>
      <modifiedWord/>
      <trackRevisions>false</trackRevisions>
    </reviewItem>
    <reviewItem>
      <errorID>5273f5fd-56d0-44c2-bc19-c3f355fa907c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540ED42F</paraID>
      <start>0</start>
      <end>2</end>
      <status>unmodified</status>
      <modifiedWord/>
      <trackRevisions>false</trackRevisions>
    </reviewItem>
    <reviewItem>
      <errorID>905697b5-0581-492e-a72d-76be91a1695e</errorID>
      <errorWord>完</errorWord>
      <group>L1_Word</group>
      <groupName>字词问题</groupName>
      <ability>L2_Typo</ability>
      <abilityName>字词错误</abilityName>
      <candidateList>
        <item>完成</item>
      </candidateList>
      <explain/>
      <paraID>2D6A2EC9</paraID>
      <start>88</start>
      <end>89</end>
      <status>unmodified</status>
      <modifiedWord/>
      <trackRevisions>false</trackRevisions>
    </reviewItem>
    <reviewItem>
      <errorID>76b86784-e9b2-4f19-92cc-756f4180d5cf</errorID>
      <errorWord>地</errorWord>
      <group>L1_Word</group>
      <groupName>字词问题</groupName>
      <ability>L2_Typo</ability>
      <abilityName>字词错误</abilityName>
      <candidateList>
        <item>地生</item>
      </candidateList>
      <explain/>
      <paraID>2D6A2EC9</paraID>
      <start>187</start>
      <end>188</end>
      <status>unmodified</status>
      <modifiedWord/>
      <trackRevisions>false</trackRevisions>
    </reviewItem>
    <reviewItem>
      <errorID>e473fb6a-c39c-46f6-8e82-b1cf219cb59e</errorID>
      <errorWord>回覆</errorWord>
      <group>L1_Word</group>
      <groupName>字词问题</groupName>
      <ability>L2_Fanti</ability>
      <abilityName>繁转简</abilityName>
      <candidateList>
        <item>回复</item>
      </candidateList>
      <explain/>
      <paraID>166504A8</paraID>
      <start>38</start>
      <end>40</end>
      <status>unmodified</status>
      <modifiedWord/>
      <trackRevisions>false</trackRevisions>
    </reviewItem>
    <reviewItem>
      <errorID>52d8a2ba-aaa8-40b2-a71b-b4c6f374fb9e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37F5278C</paraID>
      <start>0</start>
      <end>2</end>
      <status>unmodified</status>
      <modifiedWord/>
      <trackRevisions>false</trackRevisions>
    </reviewItem>
    <reviewItem>
      <errorID>33caa1fc-952a-41d5-83bf-576178f77048</errorID>
      <errorWord>抛撒</errorWord>
      <group>L1_Word</group>
      <groupName>字词问题</groupName>
      <ability>L2_Typo</ability>
      <abilityName>字词错误</abilityName>
      <candidateList>
        <item>抛洒</item>
      </candidateList>
      <explain>存在发音相同字词的误用。</explain>
      <paraID>4768025B</paraID>
      <start>58</start>
      <end>60</end>
      <status>modified</status>
      <modifiedWord>抛洒</modifiedWord>
      <trackRevisions>false</trackRevisions>
    </reviewItem>
    <reviewItem>
      <errorID>21d30fd7-86b2-4763-9d69-5d1bbd62bf00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1C6A5BDD</paraID>
      <start>0</start>
      <end>2</end>
      <status>unmodified</status>
      <modifiedWord/>
      <trackRevisions>false</trackRevisions>
    </reviewItem>
    <reviewItem>
      <errorID>58693a4b-0945-44cf-b557-bab54f65c54c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47F76E42</paraID>
      <start>0</start>
      <end>2</end>
      <status>unmodified</status>
      <modifiedWord/>
      <trackRevisions>false</trackRevisions>
    </reviewItem>
    <reviewItem>
      <errorID>391482bc-8ddf-439f-ba42-1c5ee8c12001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14EF7BF8</paraID>
      <start>0</start>
      <end>2</end>
      <status>unmodified</status>
      <modifiedWord/>
      <trackRevisions>false</trackRevisions>
    </reviewItem>
    <reviewItem>
      <errorID>4e36f7c2-e4ea-41f2-bec0-c11a3384d94f</errorID>
      <errorWord>；</errorWord>
      <group>L1_Word</group>
      <groupName>字词问题</groupName>
      <ability>L2_Typo</ability>
      <abilityName>字词错误</abilityName>
      <candidateList>
        <item>；对</item>
      </candidateList>
      <explain/>
      <paraID>6F376B1C</paraID>
      <start>51</start>
      <end>52</end>
      <status>unmodified</status>
      <modifiedWord/>
      <trackRevisions>false</trackRevisions>
    </reviewItem>
    <reviewItem>
      <errorID>1b122bb7-df0b-47b3-bf00-bc4f564ced5e</errorID>
      <errorWord>，</errorWord>
      <group>L1_Word</group>
      <groupName>字词问题</groupName>
      <ability>L2_Typo</ability>
      <abilityName>字词错误</abilityName>
      <candidateList>
        <item>，在</item>
      </candidateList>
      <explain/>
      <paraID>1EA458E3</paraID>
      <start>69</start>
      <end>70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ebfe5e-a9f3-43d4-be57-3ecc7cc026b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35171</Words>
  <Characters>37644</Characters>
  <Lines>0</Lines>
  <Paragraphs>0</Paragraphs>
  <TotalTime>50</TotalTime>
  <ScaleCrop>false</ScaleCrop>
  <LinksUpToDate>false</LinksUpToDate>
  <CharactersWithSpaces>37973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2025-07-16T05:59:00Z</dcterms:created>
  <dc:creator>Administrator</dc:creator>
  <cp:lastModifiedBy>maying</cp:lastModifiedBy>
  <cp:lastPrinted>2025-11-25T05:27:00Z</cp:lastPrinted>
  <dcterms:modified xsi:type="dcterms:W3CDTF">2026-07-28T03:06:06Z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2EFBA672B4404C739B368C2E7A206BB8_13</vt:lpwstr>
  </property>
  <property fmtid="{D5CDD505-2E9C-101B-9397-08002B2CF9AE}" pid="4" name="KSOTemplateDocerSaveRecord">
    <vt:lpwstr>eyJoZGlkIjoiY2VhNThmNjJmNTcyNmVhYjM1YmVhNGRjN2I4OWViNDgiLCJ1c2VySWQiOiIzMTcwNTQ0NjIifQ==</vt:lpwstr>
  </property>
</Properties>
</file>