
<file path=[Content_Types].xml><?xml version="1.0" encoding="utf-8"?>
<Types xmlns="http://schemas.openxmlformats.org/package/2006/content-types">
  <Default Extension="xml" ContentType="application/xml"/>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C397DF">
      <w:pPr>
        <w:pStyle w:val="32"/>
        <w:widowControl/>
      </w:pPr>
      <mc:AlternateContent>
        <mc:Choice Requires="wpsCustomData">
          <wpsCustomData:docfieldStart id="0" docfieldname="标题_1" hidden="0" print="1" readonly="0" index="1"/>
        </mc:Choice>
      </mc:AlternateContent>
      <w:r>
        <w:t>洋县烟草制品零售点合理布局规划</w:t>
      </w:r>
    </w:p>
    <w:p w14:paraId="35FEFE2E">
      <w:pPr>
        <w:pStyle w:val="32"/>
        <w:widowControl/>
      </w:pPr>
      <w:r>
        <w:t>（意见征求稿）</w:t>
      </w:r>
      <mc:AlternateContent>
        <mc:Choice Requires="wpsCustomData">
          <wpsCustomData:docfieldEnd id="0"/>
        </mc:Choice>
      </mc:AlternateContent>
    </w:p>
    <w:p w14:paraId="5347D8E0">
      <w:pPr>
        <w:pStyle w:val="2"/>
        <w:bidi w:val="0"/>
        <w:spacing w:beforeAutospacing="0" w:afterAutospacing="0" w:line="300" w:lineRule="exact"/>
        <w:rPr>
          <w:rFonts w:hint="eastAsia"/>
          <w:lang w:eastAsia="zh-CN"/>
        </w:rPr>
      </w:pPr>
    </w:p>
    <w:p w14:paraId="30E41A9B">
      <w:pPr>
        <w:pStyle w:val="165"/>
        <w:keepNext w:val="0"/>
        <w:keepLines w:val="0"/>
        <w:pageBreakBefore w:val="0"/>
        <w:widowControl w:val="0"/>
        <w:numPr>
          <w:ilvl w:val="0"/>
          <w:numId w:val="0"/>
        </w:numPr>
        <w:kinsoku/>
        <w:wordWrap/>
        <w:overflowPunct/>
        <w:topLinePunct w:val="0"/>
        <w:autoSpaceDE/>
        <w:autoSpaceDN/>
        <w:bidi w:val="0"/>
        <w:adjustRightInd/>
        <w:snapToGrid w:val="0"/>
        <w:ind w:left="0" w:leftChars="0"/>
        <w:textAlignment w:val="auto"/>
        <w:rPr>
          <w:b w:val="0"/>
        </w:rPr>
      </w:pPr>
      <w:r>
        <w:rPr>
          <w:rFonts w:hint="eastAsia"/>
          <w:lang w:eastAsia="zh-CN"/>
        </w:rPr>
        <w:t>第一章</w:t>
      </w:r>
      <w:r>
        <w:rPr>
          <w:rFonts w:hint="eastAsia" w:ascii="仿宋" w:hAnsi="仿宋" w:eastAsia="仿宋" w:cs="仿宋"/>
          <w:bCs/>
          <w:spacing w:val="-6"/>
          <w:kern w:val="44"/>
          <w:sz w:val="32"/>
          <w:szCs w:val="32"/>
          <w:lang w:eastAsia="zh-CN" w:bidi="ar-SA"/>
        </w:rPr>
        <w:t xml:space="preserve"> </w:t>
      </w:r>
      <w:r>
        <w:t>总 则</w:t>
      </w:r>
    </w:p>
    <w:p w14:paraId="50C38888">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hint="eastAsia" w:ascii="仿宋_GB2312" w:hAnsi="仿宋_GB2312" w:eastAsia="仿宋_GB2312" w:cs="仿宋_GB2312"/>
          <w:b/>
          <w:sz w:val="32"/>
          <w:szCs w:val="32"/>
        </w:rPr>
      </w:pPr>
      <w:r>
        <w:rPr>
          <w:rFonts w:hint="eastAsia" w:cs="仿宋_GB2312"/>
          <w:b/>
          <w:sz w:val="32"/>
          <w:szCs w:val="32"/>
          <w:lang w:eastAsia="zh-CN"/>
        </w:rPr>
        <w:t>第一条　</w:t>
      </w:r>
      <w:r>
        <w:rPr>
          <w:rFonts w:ascii="Times New Roman" w:hAnsi="Times New Roman" w:eastAsia="仿宋_GB2312" w:cs="仿宋_GB2312"/>
          <w:sz w:val="32"/>
          <w:szCs w:val="32"/>
        </w:rPr>
        <w:t>为持续深化 “放管服” 改革，加强烟草专卖零售许可证管理，规范烟草制品流通秩序，维护国家利益和消费者利益，切实保护未成年人身心健康，根据《中华人民共和国行政许可法》《中华人民共和国未成年人保护法》《中华人民共和国烟草专卖法》《中华人民共和国烟草专卖法实施条例》《烟草专卖许可证管理办法》《烟草专卖许可证管理办法实施细则》等法律、法规、规章的规定，结合洋县实际，制定本规划。</w:t>
      </w:r>
    </w:p>
    <w:p w14:paraId="7D9F138F">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hint="eastAsia" w:ascii="仿宋_GB2312" w:hAnsi="仿宋_GB2312" w:eastAsia="仿宋_GB2312" w:cs="仿宋_GB2312"/>
          <w:b/>
          <w:sz w:val="32"/>
          <w:szCs w:val="32"/>
        </w:rPr>
      </w:pPr>
      <w:r>
        <w:rPr>
          <w:rFonts w:hint="eastAsia" w:cs="仿宋_GB2312"/>
          <w:b/>
          <w:sz w:val="32"/>
          <w:szCs w:val="32"/>
          <w:lang w:eastAsia="zh-CN"/>
        </w:rPr>
        <w:t>第二条　</w:t>
      </w:r>
      <w:r>
        <w:rPr>
          <w:rFonts w:ascii="Times New Roman" w:hAnsi="Times New Roman" w:eastAsia="仿宋_GB2312" w:cs="仿宋_GB2312"/>
          <w:sz w:val="32"/>
          <w:szCs w:val="32"/>
        </w:rPr>
        <w:t>本规划适用于洋县行政区域范围内烟草制品零售点的布局管理。</w:t>
      </w:r>
    </w:p>
    <w:p w14:paraId="3C030C3A">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hint="eastAsia" w:ascii="仿宋_GB2312" w:hAnsi="仿宋_GB2312" w:eastAsia="仿宋_GB2312" w:cs="仿宋_GB2312"/>
          <w:b/>
          <w:sz w:val="32"/>
          <w:szCs w:val="32"/>
        </w:rPr>
      </w:pPr>
      <w:r>
        <w:rPr>
          <w:rFonts w:hint="eastAsia" w:cs="仿宋_GB2312"/>
          <w:b/>
          <w:sz w:val="32"/>
          <w:szCs w:val="32"/>
          <w:lang w:eastAsia="zh-CN"/>
        </w:rPr>
        <w:t>第三条　</w:t>
      </w:r>
      <w:r>
        <w:rPr>
          <w:rFonts w:ascii="Times New Roman" w:hAnsi="Times New Roman" w:eastAsia="仿宋_GB2312" w:cs="仿宋_GB2312"/>
          <w:sz w:val="32"/>
          <w:szCs w:val="32"/>
        </w:rPr>
        <w:t>本规划所称烟草制品零售点（以下简称零售点），是指经公民、法人或者其他组织依法申请，从事烟草制品零售业务的经营场所。</w:t>
      </w:r>
    </w:p>
    <w:p w14:paraId="7AD7DA70">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hint="eastAsia" w:ascii="仿宋_GB2312" w:hAnsi="仿宋_GB2312" w:eastAsia="仿宋_GB2312" w:cs="仿宋_GB2312"/>
          <w:b/>
          <w:sz w:val="32"/>
          <w:szCs w:val="32"/>
        </w:rPr>
      </w:pPr>
      <w:r>
        <w:rPr>
          <w:rFonts w:hint="eastAsia" w:cs="仿宋_GB2312"/>
          <w:b/>
          <w:sz w:val="32"/>
          <w:szCs w:val="32"/>
          <w:lang w:eastAsia="zh-CN"/>
        </w:rPr>
        <w:t>第四条　</w:t>
      </w:r>
      <w:r>
        <w:rPr>
          <w:rFonts w:ascii="Times New Roman" w:hAnsi="Times New Roman" w:eastAsia="仿宋_GB2312" w:cs="仿宋_GB2312"/>
          <w:sz w:val="32"/>
          <w:szCs w:val="32"/>
        </w:rPr>
        <w:t>零售点布局遵循依法行政、科学规划、服务社会、均衡发展的原则，坚持零售户总量与烟草制品消费需求相适应，逐步达到基本满足社会需要、零售户规范经营、市场秩序良好的目标。</w:t>
      </w:r>
    </w:p>
    <w:p w14:paraId="1EEC7CA8">
      <w:pPr>
        <w:pStyle w:val="165"/>
        <w:keepNext w:val="0"/>
        <w:keepLines w:val="0"/>
        <w:pageBreakBefore w:val="0"/>
        <w:widowControl w:val="0"/>
        <w:numPr>
          <w:ilvl w:val="0"/>
          <w:numId w:val="0"/>
        </w:numPr>
        <w:kinsoku/>
        <w:wordWrap/>
        <w:overflowPunct/>
        <w:topLinePunct w:val="0"/>
        <w:autoSpaceDE/>
        <w:autoSpaceDN/>
        <w:bidi w:val="0"/>
        <w:adjustRightInd/>
        <w:snapToGrid w:val="0"/>
        <w:ind w:left="0" w:leftChars="0"/>
        <w:textAlignment w:val="auto"/>
        <w:rPr>
          <w:b w:val="0"/>
        </w:rPr>
      </w:pPr>
      <w:r>
        <w:rPr>
          <w:rFonts w:hint="eastAsia"/>
          <w:lang w:eastAsia="zh-CN"/>
        </w:rPr>
        <w:t>第二章</w:t>
      </w:r>
      <w:r>
        <w:rPr>
          <w:rFonts w:hint="eastAsia" w:ascii="仿宋" w:hAnsi="仿宋" w:eastAsia="仿宋" w:cs="仿宋"/>
          <w:bCs/>
          <w:spacing w:val="-6"/>
          <w:kern w:val="44"/>
          <w:sz w:val="32"/>
          <w:szCs w:val="32"/>
          <w:lang w:eastAsia="zh-CN" w:bidi="ar-SA"/>
        </w:rPr>
        <w:t xml:space="preserve"> </w:t>
      </w:r>
      <w:r>
        <w:t>合理布局标准</w:t>
      </w:r>
    </w:p>
    <w:p w14:paraId="2B8BAA6D">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ascii="Times New Roman" w:hAnsi="Times New Roman" w:eastAsia="仿宋_GB2312" w:cs="仿宋_GB2312"/>
          <w:sz w:val="32"/>
          <w:szCs w:val="32"/>
        </w:rPr>
      </w:pPr>
      <w:r>
        <w:rPr>
          <w:rFonts w:hint="eastAsia" w:cs="仿宋_GB2312"/>
          <w:b/>
          <w:sz w:val="32"/>
          <w:szCs w:val="32"/>
          <w:lang w:eastAsia="zh-CN"/>
        </w:rPr>
        <w:t>第五条　</w:t>
      </w:r>
      <w:r>
        <w:rPr>
          <w:rFonts w:ascii="Times New Roman" w:hAnsi="Times New Roman" w:eastAsia="仿宋_GB2312" w:cs="仿宋_GB2312"/>
          <w:sz w:val="32"/>
          <w:szCs w:val="32"/>
        </w:rPr>
        <w:t>零售点布局根据辖区内人口数量、交通状况、经济发展水平、消费能力及城镇居民居住区域的特点，结合城乡建设规划、市场类型等因素，实行间距控制、</w:t>
      </w:r>
      <w:r>
        <w:rPr>
          <w:rFonts w:hint="eastAsia" w:cs="仿宋_GB2312"/>
          <w:sz w:val="32"/>
          <w:szCs w:val="32"/>
          <w:lang w:val="en-US" w:eastAsia="zh-CN"/>
        </w:rPr>
        <w:t>指导数</w:t>
      </w:r>
      <w:r>
        <w:rPr>
          <w:rFonts w:ascii="Times New Roman" w:hAnsi="Times New Roman" w:eastAsia="仿宋_GB2312" w:cs="仿宋_GB2312"/>
          <w:sz w:val="32"/>
          <w:szCs w:val="32"/>
        </w:rPr>
        <w:t>控制</w:t>
      </w:r>
      <w:r>
        <w:rPr>
          <w:rFonts w:hint="eastAsia" w:cs="仿宋_GB2312"/>
          <w:sz w:val="32"/>
          <w:szCs w:val="32"/>
          <w:lang w:val="en-US" w:eastAsia="zh-CN"/>
        </w:rPr>
        <w:t>或者</w:t>
      </w:r>
      <w:r>
        <w:rPr>
          <w:rFonts w:ascii="Times New Roman" w:hAnsi="Times New Roman" w:eastAsia="仿宋_GB2312" w:cs="仿宋_GB2312"/>
          <w:sz w:val="32"/>
          <w:szCs w:val="32"/>
        </w:rPr>
        <w:t xml:space="preserve"> “间距＋指导数” 控制的布局方式。区域</w:t>
      </w:r>
      <w:r>
        <w:rPr>
          <w:rFonts w:hint="eastAsia" w:cs="仿宋_GB2312"/>
          <w:sz w:val="32"/>
          <w:szCs w:val="32"/>
          <w:lang w:val="en-US" w:eastAsia="zh-CN"/>
        </w:rPr>
        <w:t>类型</w:t>
      </w:r>
      <w:r>
        <w:rPr>
          <w:rFonts w:ascii="Times New Roman" w:hAnsi="Times New Roman" w:eastAsia="仿宋_GB2312" w:cs="仿宋_GB2312"/>
          <w:sz w:val="32"/>
          <w:szCs w:val="32"/>
        </w:rPr>
        <w:t>划分</w:t>
      </w:r>
      <w:r>
        <w:rPr>
          <w:rFonts w:hint="eastAsia" w:cs="仿宋_GB2312"/>
          <w:sz w:val="32"/>
          <w:szCs w:val="32"/>
          <w:lang w:val="en-US" w:eastAsia="zh-CN"/>
        </w:rPr>
        <w:t>、布局方式及区域指导数</w:t>
      </w:r>
      <w:r>
        <w:rPr>
          <w:rFonts w:ascii="Times New Roman" w:hAnsi="Times New Roman" w:eastAsia="仿宋_GB2312" w:cs="仿宋_GB2312"/>
          <w:sz w:val="32"/>
          <w:szCs w:val="32"/>
        </w:rPr>
        <w:t>以附件 1《洋县烟草制品零售点合理布局规划区域划分公示表》为准。附件 1、附件 2《洋县烟草制品零售点现场测量标准》为本规划组成部分，与本规划正文具有同等效力。</w:t>
      </w:r>
    </w:p>
    <w:p w14:paraId="1CFDBE29">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b/>
          <w:bCs/>
          <w:sz w:val="32"/>
          <w:szCs w:val="32"/>
          <w:lang w:val="en-US" w:eastAsia="zh-CN"/>
        </w:rPr>
        <w:t>第六条</w:t>
      </w:r>
      <w:r>
        <w:rPr>
          <w:rFonts w:hint="eastAsia" w:ascii="Times New Roman" w:hAnsi="Times New Roman" w:eastAsia="仿宋_GB2312" w:cs="仿宋_GB2312"/>
          <w:sz w:val="32"/>
          <w:szCs w:val="32"/>
          <w:lang w:eastAsia="zh-CN"/>
        </w:rPr>
        <w:t>　洋县烟草专卖局根据近年辖区内烟草制品销售情况、区域属性、市场单元存量、消费习惯作为参考因素，确定各社区、行政村零售点指导数，并根据市场动态定期进行测算调整；最小市场单元零售点指导数经测算不足1户的按照1户设置。</w:t>
      </w:r>
    </w:p>
    <w:p w14:paraId="389A2C03">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ascii="Times New Roman" w:hAnsi="Times New Roman" w:eastAsia="仿宋_GB2312" w:cs="仿宋_GB2312"/>
          <w:sz w:val="32"/>
          <w:szCs w:val="32"/>
        </w:rPr>
      </w:pPr>
      <w:r>
        <w:rPr>
          <w:rFonts w:hint="eastAsia" w:cs="仿宋_GB2312"/>
          <w:b/>
          <w:sz w:val="32"/>
          <w:szCs w:val="32"/>
          <w:lang w:eastAsia="zh-CN"/>
        </w:rPr>
        <w:t>第</w:t>
      </w:r>
      <w:r>
        <w:rPr>
          <w:rFonts w:hint="eastAsia" w:cs="仿宋_GB2312"/>
          <w:b/>
          <w:sz w:val="32"/>
          <w:szCs w:val="32"/>
          <w:lang w:val="en-US" w:eastAsia="zh-CN"/>
        </w:rPr>
        <w:t>七</w:t>
      </w:r>
      <w:r>
        <w:rPr>
          <w:rFonts w:hint="eastAsia" w:cs="仿宋_GB2312"/>
          <w:b/>
          <w:sz w:val="32"/>
          <w:szCs w:val="32"/>
          <w:lang w:eastAsia="zh-CN"/>
        </w:rPr>
        <w:t>条　</w:t>
      </w:r>
      <w:r>
        <w:rPr>
          <w:rFonts w:ascii="Times New Roman" w:hAnsi="Times New Roman" w:eastAsia="仿宋_GB2312" w:cs="仿宋_GB2312"/>
          <w:sz w:val="32"/>
          <w:szCs w:val="32"/>
        </w:rPr>
        <w:t>城区街道、</w:t>
      </w:r>
      <w:r>
        <w:rPr>
          <w:rFonts w:hint="eastAsia" w:cs="仿宋_GB2312"/>
          <w:sz w:val="32"/>
          <w:szCs w:val="32"/>
          <w:lang w:val="en-US" w:eastAsia="zh-CN"/>
        </w:rPr>
        <w:t>城乡</w:t>
      </w:r>
      <w:r>
        <w:rPr>
          <w:rFonts w:ascii="Times New Roman" w:hAnsi="Times New Roman" w:eastAsia="仿宋_GB2312" w:cs="仿宋_GB2312"/>
          <w:sz w:val="32"/>
          <w:szCs w:val="32"/>
        </w:rPr>
        <w:t>接壤区域、集镇（即镇政府驻地所在区域）、大型企业社区实行间距控制，零售点间距不低于 50 米。</w:t>
      </w:r>
    </w:p>
    <w:p w14:paraId="0C087A54">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hint="eastAsia" w:ascii="仿宋_GB2312" w:hAnsi="仿宋_GB2312" w:eastAsia="仿宋_GB2312" w:cs="仿宋_GB2312"/>
          <w:b/>
          <w:sz w:val="32"/>
          <w:szCs w:val="32"/>
        </w:rPr>
      </w:pPr>
      <w:r>
        <w:rPr>
          <w:rFonts w:ascii="Times New Roman" w:hAnsi="Times New Roman" w:eastAsia="仿宋_GB2312" w:cs="仿宋_GB2312"/>
          <w:sz w:val="32"/>
          <w:szCs w:val="32"/>
        </w:rPr>
        <w:t>城区背街小巷（即仅供居民方便出行、路面宽度不超过 4 米的街道），</w:t>
      </w:r>
      <w:r>
        <w:rPr>
          <w:rFonts w:hint="eastAsia" w:ascii="Times New Roman" w:hAnsi="Times New Roman" w:eastAsia="仿宋_GB2312" w:cs="仿宋_GB2312"/>
          <w:sz w:val="32"/>
          <w:szCs w:val="32"/>
        </w:rPr>
        <w:t>除现有持证户到期正常</w:t>
      </w:r>
      <w:r>
        <w:rPr>
          <w:rFonts w:hint="eastAsia" w:cs="仿宋_GB2312"/>
          <w:sz w:val="32"/>
          <w:szCs w:val="32"/>
          <w:lang w:val="en-US" w:eastAsia="zh-CN"/>
        </w:rPr>
        <w:t>延续</w:t>
      </w:r>
      <w:r>
        <w:rPr>
          <w:rFonts w:hint="eastAsia" w:ascii="Times New Roman" w:hAnsi="Times New Roman" w:eastAsia="仿宋_GB2312" w:cs="仿宋_GB2312"/>
          <w:sz w:val="32"/>
          <w:szCs w:val="32"/>
        </w:rPr>
        <w:t>外，不再新增零售点</w:t>
      </w:r>
      <w:r>
        <w:rPr>
          <w:rFonts w:ascii="Times New Roman" w:hAnsi="Times New Roman" w:eastAsia="仿宋_GB2312" w:cs="仿宋_GB2312"/>
          <w:sz w:val="32"/>
          <w:szCs w:val="32"/>
        </w:rPr>
        <w:t>。</w:t>
      </w:r>
    </w:p>
    <w:p w14:paraId="777F558B">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hint="eastAsia" w:ascii="仿宋_GB2312" w:hAnsi="仿宋_GB2312" w:eastAsia="仿宋_GB2312" w:cs="仿宋_GB2312"/>
          <w:b/>
          <w:sz w:val="32"/>
          <w:szCs w:val="32"/>
        </w:rPr>
      </w:pPr>
      <w:r>
        <w:rPr>
          <w:rFonts w:hint="eastAsia" w:cs="仿宋_GB2312"/>
          <w:b/>
          <w:sz w:val="32"/>
          <w:szCs w:val="32"/>
          <w:lang w:eastAsia="zh-CN"/>
        </w:rPr>
        <w:t>第</w:t>
      </w:r>
      <w:r>
        <w:rPr>
          <w:rFonts w:hint="eastAsia" w:cs="仿宋_GB2312"/>
          <w:b/>
          <w:sz w:val="32"/>
          <w:szCs w:val="32"/>
          <w:lang w:val="en-US" w:eastAsia="zh-CN"/>
        </w:rPr>
        <w:t>八</w:t>
      </w:r>
      <w:r>
        <w:rPr>
          <w:rFonts w:hint="eastAsia" w:cs="仿宋_GB2312"/>
          <w:b/>
          <w:sz w:val="32"/>
          <w:szCs w:val="32"/>
          <w:lang w:eastAsia="zh-CN"/>
        </w:rPr>
        <w:t>条　</w:t>
      </w:r>
      <w:r>
        <w:rPr>
          <w:rFonts w:ascii="Times New Roman" w:hAnsi="Times New Roman" w:eastAsia="仿宋_GB2312" w:cs="仿宋_GB2312"/>
          <w:sz w:val="32"/>
          <w:szCs w:val="32"/>
        </w:rPr>
        <w:t>乡镇行政村（含所辖全部区域）零售点实行 “间距＋指导数” 控制：零售点间距不低于 50 米；</w:t>
      </w:r>
      <w:r>
        <w:rPr>
          <w:rFonts w:hint="eastAsia" w:cs="仿宋_GB2312"/>
          <w:sz w:val="32"/>
          <w:szCs w:val="32"/>
          <w:lang w:val="en-US" w:eastAsia="zh-CN"/>
        </w:rPr>
        <w:t>区域</w:t>
      </w:r>
      <w:r>
        <w:rPr>
          <w:rFonts w:hint="eastAsia" w:ascii="Times New Roman" w:hAnsi="Times New Roman" w:eastAsia="仿宋_GB2312" w:cs="仿宋_GB2312"/>
          <w:sz w:val="32"/>
          <w:szCs w:val="32"/>
        </w:rPr>
        <w:t>核定的指导数为该区域零售点总量上限，区域内有效持证户未达到核定指导数、且符合间距要求的，按申请受理的先后顺序审核发证</w:t>
      </w:r>
      <w:r>
        <w:rPr>
          <w:rFonts w:ascii="Times New Roman" w:hAnsi="Times New Roman" w:eastAsia="仿宋_GB2312" w:cs="仿宋_GB2312"/>
          <w:sz w:val="32"/>
          <w:szCs w:val="32"/>
        </w:rPr>
        <w:t>。</w:t>
      </w:r>
    </w:p>
    <w:p w14:paraId="6C54B8A8">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ascii="Times New Roman" w:hAnsi="Times New Roman" w:eastAsia="仿宋_GB2312" w:cs="仿宋_GB2312"/>
          <w:sz w:val="32"/>
          <w:szCs w:val="32"/>
        </w:rPr>
      </w:pPr>
      <w:r>
        <w:rPr>
          <w:rFonts w:hint="eastAsia" w:cs="仿宋_GB2312"/>
          <w:b/>
          <w:sz w:val="32"/>
          <w:szCs w:val="32"/>
          <w:lang w:eastAsia="zh-CN"/>
        </w:rPr>
        <w:t>第九条　</w:t>
      </w:r>
      <w:r>
        <w:rPr>
          <w:rFonts w:ascii="Times New Roman" w:hAnsi="Times New Roman" w:eastAsia="仿宋_GB2312" w:cs="仿宋_GB2312"/>
          <w:sz w:val="32"/>
          <w:szCs w:val="32"/>
        </w:rPr>
        <w:t>独立市场实行</w:t>
      </w:r>
      <w:r>
        <w:rPr>
          <w:rFonts w:hint="eastAsia" w:eastAsia="仿宋_GB2312" w:cs="仿宋_GB2312"/>
          <w:sz w:val="32"/>
          <w:szCs w:val="32"/>
          <w:lang w:val="en-US" w:eastAsia="zh-CN"/>
        </w:rPr>
        <w:t>数量</w:t>
      </w:r>
      <w:r>
        <w:rPr>
          <w:rFonts w:ascii="Times New Roman" w:hAnsi="Times New Roman" w:eastAsia="仿宋_GB2312" w:cs="仿宋_GB2312"/>
          <w:sz w:val="32"/>
          <w:szCs w:val="32"/>
        </w:rPr>
        <w:t>控制</w:t>
      </w:r>
      <w:r>
        <w:rPr>
          <w:rFonts w:hint="eastAsia" w:eastAsia="仿宋_GB2312" w:cs="仿宋_GB2312"/>
          <w:sz w:val="32"/>
          <w:szCs w:val="32"/>
          <w:lang w:eastAsia="zh-CN"/>
        </w:rPr>
        <w:t>，</w:t>
      </w:r>
      <w:r>
        <w:rPr>
          <w:rFonts w:ascii="Times New Roman" w:hAnsi="Times New Roman" w:eastAsia="仿宋_GB2312" w:cs="仿宋_GB2312"/>
          <w:sz w:val="32"/>
          <w:szCs w:val="32"/>
        </w:rPr>
        <w:t>设置零售点不适用所在区域指导数限制规定，不作为所在区域零售点间距测量的参照点。沿街面向行人开放的营业场所不适用本条规定，按照所在区域布局标准设置。具体布局要求如下：</w:t>
      </w:r>
    </w:p>
    <w:p w14:paraId="0051F7E6">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 xml:space="preserve"> （一）相对封闭的综合性（批发）市场、专业市场、贸易市场内部，每 1000 平方米可以设置 1 个零售点，最高不超过 2 个； </w:t>
      </w:r>
    </w:p>
    <w:p w14:paraId="4E5E954B">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（二）军队驻地、监狱、监所内部销售，且消费人群达到 500 人以上的，可设置 1 个零售点；</w:t>
      </w:r>
    </w:p>
    <w:p w14:paraId="0D9B7E61">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 xml:space="preserve"> （三）封闭管理的中、大型厂矿生活区内，按照实际人口数量每 1000 人设置 1 个零售点，且间距不低于 30 米，最高不超过 2 个； </w:t>
      </w:r>
    </w:p>
    <w:p w14:paraId="66C0CF6A">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 xml:space="preserve">（四）景点封闭区域（凭票进入等情形）只能设置 1 个零售点； </w:t>
      </w:r>
    </w:p>
    <w:p w14:paraId="3F7300DE">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（五）汽车客运站候车室内、火车站（高铁动车站）候车厅可设置 1 个零售点；</w:t>
      </w:r>
    </w:p>
    <w:p w14:paraId="2CA2E471">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 xml:space="preserve"> （六）高速服务区（单侧）内可设置 1 个零售点；</w:t>
      </w:r>
    </w:p>
    <w:p w14:paraId="260A4730">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 xml:space="preserve"> （七）加油（气）站内，能够提供安全评估证明的，可设置 1 个零售点；</w:t>
      </w:r>
    </w:p>
    <w:p w14:paraId="7B75B4A0">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 xml:space="preserve"> （八）中大型商场营业面积在 2000 平方米以上的，可设置 1 个零售点；</w:t>
      </w:r>
    </w:p>
    <w:p w14:paraId="6C192B3A">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hint="eastAsia" w:ascii="仿宋_GB2312" w:hAnsi="仿宋_GB2312" w:eastAsia="仿宋_GB2312" w:cs="仿宋_GB2312"/>
          <w:b/>
          <w:sz w:val="32"/>
          <w:szCs w:val="32"/>
        </w:rPr>
      </w:pPr>
      <w:r>
        <w:rPr>
          <w:rFonts w:ascii="Times New Roman" w:hAnsi="Times New Roman" w:eastAsia="仿宋_GB2312" w:cs="仿宋_GB2312"/>
          <w:sz w:val="32"/>
          <w:szCs w:val="32"/>
        </w:rPr>
        <w:t xml:space="preserve"> （九）超市营业面积城区 500 平方米以上、农村 300 平方米以上，卖场内设置烟草专柜经营的，可设置 1 个零售点。</w:t>
      </w:r>
    </w:p>
    <w:p w14:paraId="2C137DFC">
      <w:pPr>
        <w:pStyle w:val="165"/>
        <w:keepNext w:val="0"/>
        <w:keepLines w:val="0"/>
        <w:pageBreakBefore w:val="0"/>
        <w:widowControl w:val="0"/>
        <w:numPr>
          <w:ilvl w:val="0"/>
          <w:numId w:val="0"/>
        </w:numPr>
        <w:kinsoku/>
        <w:wordWrap/>
        <w:overflowPunct/>
        <w:topLinePunct w:val="0"/>
        <w:autoSpaceDE/>
        <w:autoSpaceDN/>
        <w:bidi w:val="0"/>
        <w:adjustRightInd/>
        <w:snapToGrid w:val="0"/>
        <w:ind w:left="0" w:leftChars="0"/>
        <w:textAlignment w:val="auto"/>
        <w:rPr>
          <w:b w:val="0"/>
        </w:rPr>
      </w:pPr>
      <w:r>
        <w:rPr>
          <w:rFonts w:hint="eastAsia"/>
          <w:lang w:eastAsia="zh-CN"/>
        </w:rPr>
        <w:t>第三章</w:t>
      </w:r>
      <w:r>
        <w:rPr>
          <w:rFonts w:hint="eastAsia" w:ascii="仿宋" w:hAnsi="仿宋" w:eastAsia="仿宋" w:cs="仿宋"/>
          <w:bCs/>
          <w:spacing w:val="-6"/>
          <w:kern w:val="44"/>
          <w:sz w:val="32"/>
          <w:szCs w:val="32"/>
          <w:lang w:eastAsia="zh-CN" w:bidi="ar-SA"/>
        </w:rPr>
        <w:t xml:space="preserve"> </w:t>
      </w:r>
      <w:r>
        <w:t>特殊情形规定</w:t>
      </w:r>
    </w:p>
    <w:p w14:paraId="0523CE4E">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ascii="Times New Roman" w:hAnsi="Times New Roman" w:eastAsia="仿宋_GB2312" w:cs="仿宋_GB2312"/>
          <w:sz w:val="32"/>
          <w:szCs w:val="32"/>
        </w:rPr>
      </w:pPr>
      <w:r>
        <w:rPr>
          <w:rFonts w:hint="eastAsia" w:cs="仿宋_GB2312"/>
          <w:b/>
          <w:sz w:val="32"/>
          <w:szCs w:val="32"/>
          <w:lang w:eastAsia="zh-CN"/>
        </w:rPr>
        <w:t>第十条　</w:t>
      </w:r>
      <w:r>
        <w:rPr>
          <w:rFonts w:ascii="Times New Roman" w:hAnsi="Times New Roman" w:eastAsia="仿宋_GB2312" w:cs="仿宋_GB2312"/>
          <w:sz w:val="32"/>
          <w:szCs w:val="32"/>
        </w:rPr>
        <w:t>有下列情形的，执行所在最小市场单元区域间距的 50％；受指导数控制的区域，</w:t>
      </w:r>
      <w:r>
        <w:rPr>
          <w:rFonts w:hint="eastAsia" w:cs="仿宋_GB2312"/>
          <w:sz w:val="32"/>
          <w:szCs w:val="32"/>
          <w:lang w:val="en-US" w:eastAsia="zh-CN"/>
        </w:rPr>
        <w:t>现有</w:t>
      </w:r>
      <w:r>
        <w:rPr>
          <w:rFonts w:ascii="Times New Roman" w:hAnsi="Times New Roman" w:eastAsia="仿宋_GB2312" w:cs="仿宋_GB2312"/>
          <w:sz w:val="32"/>
          <w:szCs w:val="32"/>
        </w:rPr>
        <w:t xml:space="preserve">零售点数量未超过指导数120％（含）的，可增设 1 户： </w:t>
      </w:r>
    </w:p>
    <w:p w14:paraId="52BB1EBC">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 xml:space="preserve">（一）持有残疾人联合会核发、在全国残疾人人口基础数据库登记的残疾人证，具体包括： </w:t>
      </w:r>
    </w:p>
    <w:p w14:paraId="3B099AF7">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firstLineChars="200"/>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1. 视力残疾：一级盲、二级盲；</w:t>
      </w:r>
    </w:p>
    <w:p w14:paraId="732AC462">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firstLineChars="200"/>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 xml:space="preserve"> 2. 听力残疾：一、二、三级； </w:t>
      </w:r>
    </w:p>
    <w:p w14:paraId="18091950">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firstLineChars="200"/>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3. 言语残疾：一、二、三级；</w:t>
      </w:r>
    </w:p>
    <w:p w14:paraId="3F6B6749">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firstLineChars="200"/>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 xml:space="preserve"> 4. 肢体残疾：重度（一级）、中度（二级）。</w:t>
      </w:r>
    </w:p>
    <w:p w14:paraId="210448B7">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 xml:space="preserve"> （二）持有军队、政府及其机关部门颁发或者开具合法有效证明的残疾军人、烈士遗属、因公牺牲军人遗属、病故军人遗属（身份认定依据《军人抚恤优待条例》）； </w:t>
      </w:r>
    </w:p>
    <w:p w14:paraId="2386A782">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 xml:space="preserve">（三）因道路规划、城市建设等客观原因造成无法在核定经营地址经营，持证人凭县级以上人民政府拆迁文件（公告）申请变更的； </w:t>
      </w:r>
    </w:p>
    <w:p w14:paraId="179665FF">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 xml:space="preserve">（四）因中小学、幼儿园新建、改造的原因，造成经营地址不符合相关法律、法规规定的，持证人自收到告知书之日起 </w:t>
      </w:r>
      <w:r>
        <w:rPr>
          <w:rFonts w:hint="eastAsia" w:cs="仿宋_GB2312"/>
          <w:sz w:val="32"/>
          <w:szCs w:val="32"/>
          <w:lang w:val="en-US" w:eastAsia="zh-CN"/>
        </w:rPr>
        <w:t>6</w:t>
      </w:r>
      <w:r>
        <w:rPr>
          <w:rFonts w:ascii="Times New Roman" w:hAnsi="Times New Roman" w:eastAsia="仿宋_GB2312" w:cs="仿宋_GB2312"/>
          <w:sz w:val="32"/>
          <w:szCs w:val="32"/>
        </w:rPr>
        <w:t xml:space="preserve">个月内，主动在辖区内重新选址经营的； </w:t>
      </w:r>
    </w:p>
    <w:p w14:paraId="0B7D127A">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（五）经营场所为租赁的</w:t>
      </w:r>
      <w:r>
        <w:rPr>
          <w:rFonts w:hint="eastAsia" w:cs="仿宋_GB2312"/>
          <w:sz w:val="32"/>
          <w:szCs w:val="32"/>
          <w:lang w:val="en-US" w:eastAsia="zh-CN"/>
        </w:rPr>
        <w:t>持证</w:t>
      </w:r>
      <w:r>
        <w:rPr>
          <w:rFonts w:ascii="Times New Roman" w:hAnsi="Times New Roman" w:eastAsia="仿宋_GB2312" w:cs="仿宋_GB2312"/>
          <w:sz w:val="32"/>
          <w:szCs w:val="32"/>
        </w:rPr>
        <w:t>零售户，因租期届满、出租方收回房屋等客观原因需要迁址，持证满 3 年</w:t>
      </w:r>
      <w:r>
        <w:rPr>
          <w:rFonts w:hint="eastAsia" w:cs="仿宋_GB2312"/>
          <w:sz w:val="32"/>
          <w:szCs w:val="32"/>
          <w:lang w:eastAsia="zh-CN"/>
        </w:rPr>
        <w:t>，</w:t>
      </w:r>
      <w:r>
        <w:rPr>
          <w:rFonts w:ascii="Times New Roman" w:hAnsi="Times New Roman" w:eastAsia="仿宋_GB2312" w:cs="仿宋_GB2312"/>
          <w:sz w:val="32"/>
          <w:szCs w:val="32"/>
        </w:rPr>
        <w:t>且3 年内无涉烟违法行为的，办理歇业后 6 个月内在辖区内选址重新</w:t>
      </w:r>
      <w:r>
        <w:rPr>
          <w:rFonts w:hint="eastAsia" w:cs="仿宋_GB2312"/>
          <w:sz w:val="32"/>
          <w:szCs w:val="32"/>
          <w:lang w:val="en-US" w:eastAsia="zh-CN"/>
        </w:rPr>
        <w:t>申领</w:t>
      </w:r>
      <w:r>
        <w:rPr>
          <w:rFonts w:ascii="Times New Roman" w:hAnsi="Times New Roman" w:eastAsia="仿宋_GB2312" w:cs="仿宋_GB2312"/>
          <w:sz w:val="32"/>
          <w:szCs w:val="32"/>
        </w:rPr>
        <w:t>烟草专卖零售许可证的；</w:t>
      </w:r>
    </w:p>
    <w:p w14:paraId="01027271">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 xml:space="preserve"> （六）个体工商户负责人死亡的，自原许可证注销之日起 6 个月内，其</w:t>
      </w:r>
      <w:r>
        <w:rPr>
          <w:rFonts w:hint="eastAsia" w:ascii="Times New Roman" w:hAnsi="Times New Roman" w:eastAsia="仿宋_GB2312" w:cs="仿宋_GB2312"/>
          <w:sz w:val="32"/>
          <w:szCs w:val="32"/>
        </w:rPr>
        <w:t>直系亲属（仅限配偶、父母、子女）</w:t>
      </w:r>
      <w:r>
        <w:rPr>
          <w:rFonts w:ascii="Times New Roman" w:hAnsi="Times New Roman" w:eastAsia="仿宋_GB2312" w:cs="仿宋_GB2312"/>
          <w:sz w:val="32"/>
          <w:szCs w:val="32"/>
        </w:rPr>
        <w:t xml:space="preserve">申请在原址新办烟草专卖零售许可证的； </w:t>
      </w:r>
    </w:p>
    <w:p w14:paraId="3DEF42BD">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hint="eastAsia" w:ascii="仿宋_GB2312" w:hAnsi="仿宋_GB2312" w:eastAsia="仿宋_GB2312" w:cs="仿宋_GB2312"/>
          <w:b/>
          <w:sz w:val="32"/>
          <w:szCs w:val="32"/>
        </w:rPr>
      </w:pPr>
      <w:r>
        <w:rPr>
          <w:rFonts w:ascii="Times New Roman" w:hAnsi="Times New Roman" w:eastAsia="仿宋_GB2312" w:cs="仿宋_GB2312"/>
          <w:sz w:val="32"/>
          <w:szCs w:val="32"/>
        </w:rPr>
        <w:t>（七）法律、法规、规章或者省级以上人民政府明确规定应当予以政策扶持的其他情形。</w:t>
      </w:r>
    </w:p>
    <w:p w14:paraId="01EBB8C1">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ascii="Times New Roman" w:hAnsi="Times New Roman" w:eastAsia="仿宋_GB2312" w:cs="仿宋_GB2312"/>
          <w:sz w:val="32"/>
          <w:szCs w:val="32"/>
        </w:rPr>
      </w:pPr>
      <w:r>
        <w:rPr>
          <w:rFonts w:hint="eastAsia" w:cs="仿宋_GB2312"/>
          <w:b/>
          <w:sz w:val="32"/>
          <w:szCs w:val="32"/>
          <w:lang w:eastAsia="zh-CN"/>
        </w:rPr>
        <w:t>第十一条　</w:t>
      </w:r>
      <w:r>
        <w:rPr>
          <w:rFonts w:ascii="Times New Roman" w:hAnsi="Times New Roman" w:eastAsia="仿宋_GB2312" w:cs="仿宋_GB2312"/>
          <w:sz w:val="32"/>
          <w:szCs w:val="32"/>
        </w:rPr>
        <w:t xml:space="preserve">具有下列情形之一的弱势群体、优抚对象，不予放宽办证条件： </w:t>
      </w:r>
    </w:p>
    <w:p w14:paraId="5F446273">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8"/>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（一）有固定职业及稳定收入来源的；</w:t>
      </w:r>
    </w:p>
    <w:p w14:paraId="3720488A">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8"/>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 xml:space="preserve"> （二）享受退休、退职、退养、供养（因战、因公、因病的残疾军人）待遇，具有稳定生活保障的； </w:t>
      </w:r>
    </w:p>
    <w:p w14:paraId="15AAF059">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8"/>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 xml:space="preserve">（三）非本人或者直系亲属（仅限配偶、父母、子女）经营的； </w:t>
      </w:r>
    </w:p>
    <w:p w14:paraId="12780A98">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8"/>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 xml:space="preserve">（四）较低级别的视力残疾、听力残疾、言语残疾和肢体残疾，且可以从事一般社会工作的； </w:t>
      </w:r>
    </w:p>
    <w:p w14:paraId="61C72615">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8"/>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 xml:space="preserve">（五）已在洋县行政区域内享受过一次本规划放宽办证政策的； </w:t>
      </w:r>
    </w:p>
    <w:p w14:paraId="6ACA1DF9">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8"/>
        <w:textAlignment w:val="auto"/>
        <w:rPr>
          <w:rFonts w:hint="eastAsia" w:ascii="Times New Roman" w:hAnsi="Times New Roman" w:eastAsia="仿宋_GB2312" w:cs="仿宋_GB2312"/>
          <w:sz w:val="32"/>
          <w:szCs w:val="32"/>
        </w:rPr>
      </w:pPr>
      <w:r>
        <w:rPr>
          <w:rFonts w:ascii="Times New Roman" w:hAnsi="Times New Roman" w:eastAsia="仿宋_GB2312" w:cs="仿宋_GB2312"/>
          <w:spacing wpsCustomData:val="8" w:val="15"/>
          <w:sz w:val="32"/>
          <w:szCs w:val="32"/>
        </w:rPr>
        <w:t>（六）法律、法规及其他规范性文件规定的不予放宽</w:t>
      </w:r>
      <w:r>
        <w:rPr>
          <w:rFonts w:ascii="Times New Roman" w:hAnsi="Times New Roman" w:eastAsia="仿宋_GB2312" w:cs="仿宋_GB2312"/>
          <w:spacing wpsCustomData:val="-6" w:val="-6"/>
          <w:sz w:val="32"/>
          <w:szCs w:val="32"/>
        </w:rPr>
        <w:t>的</w:t>
      </w:r>
      <w:r>
        <w:rPr>
          <w:rFonts w:ascii="Times New Roman" w:hAnsi="Times New Roman" w:eastAsia="仿宋_GB2312" w:cs="仿宋_GB2312"/>
          <w:sz w:val="32"/>
          <w:szCs w:val="32"/>
        </w:rPr>
        <w:t>情形。</w:t>
      </w:r>
    </w:p>
    <w:p w14:paraId="0CD8833E">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hint="eastAsia" w:ascii="仿宋_GB2312" w:hAnsi="仿宋_GB2312" w:eastAsia="仿宋_GB2312" w:cs="仿宋_GB2312"/>
          <w:b/>
          <w:sz w:val="32"/>
          <w:szCs w:val="32"/>
        </w:rPr>
      </w:pPr>
      <w:r>
        <w:rPr>
          <w:rFonts w:hint="eastAsia" w:cs="仿宋_GB2312"/>
          <w:b/>
          <w:sz w:val="32"/>
          <w:szCs w:val="32"/>
          <w:lang w:eastAsia="zh-CN"/>
        </w:rPr>
        <w:t>第十二条　</w:t>
      </w:r>
      <w:r>
        <w:rPr>
          <w:rFonts w:ascii="Times New Roman" w:hAnsi="Times New Roman" w:eastAsia="仿宋_GB2312" w:cs="仿宋_GB2312"/>
          <w:sz w:val="32"/>
          <w:szCs w:val="32"/>
        </w:rPr>
        <w:t>弱势群体及优抚对象布局标准，仅限于申请人本人或者其直系亲属（仅限配偶、父母、子女）作为实际经营者并驻店经营，不得仅以资格挂靠、出租、出借许可证方式经营。</w:t>
      </w:r>
    </w:p>
    <w:p w14:paraId="75919016">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hint="eastAsia" w:ascii="仿宋_GB2312" w:hAnsi="仿宋_GB2312" w:eastAsia="仿宋_GB2312" w:cs="仿宋_GB2312"/>
          <w:b/>
          <w:sz w:val="32"/>
          <w:szCs w:val="32"/>
        </w:rPr>
      </w:pPr>
      <w:r>
        <w:rPr>
          <w:rFonts w:hint="eastAsia" w:cs="仿宋_GB2312"/>
          <w:b/>
          <w:sz w:val="32"/>
          <w:szCs w:val="32"/>
          <w:lang w:eastAsia="zh-CN"/>
        </w:rPr>
        <w:t>第十三条　</w:t>
      </w:r>
      <w:r>
        <w:rPr>
          <w:rFonts w:ascii="Times New Roman" w:hAnsi="Times New Roman" w:eastAsia="仿宋_GB2312" w:cs="仿宋_GB2312"/>
          <w:sz w:val="32"/>
          <w:szCs w:val="32"/>
        </w:rPr>
        <w:t>弱势群体及优抚对象申请人需具备完全民事行为能力，并签署诚信经营承诺书。</w:t>
      </w:r>
    </w:p>
    <w:p w14:paraId="752D7B90">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hint="eastAsia" w:ascii="仿宋_GB2312" w:hAnsi="仿宋_GB2312" w:eastAsia="仿宋_GB2312" w:cs="仿宋_GB2312"/>
          <w:b/>
          <w:sz w:val="32"/>
          <w:szCs w:val="32"/>
        </w:rPr>
      </w:pPr>
      <w:r>
        <w:rPr>
          <w:rFonts w:hint="eastAsia" w:cs="仿宋_GB2312"/>
          <w:b/>
          <w:sz w:val="32"/>
          <w:szCs w:val="32"/>
          <w:lang w:eastAsia="zh-CN"/>
        </w:rPr>
        <w:t>第十四条　</w:t>
      </w:r>
      <w:r>
        <w:rPr>
          <w:rFonts w:ascii="Times New Roman" w:hAnsi="Times New Roman" w:eastAsia="仿宋_GB2312" w:cs="仿宋_GB2312"/>
          <w:sz w:val="32"/>
          <w:szCs w:val="32"/>
        </w:rPr>
        <w:t>学校、幼儿园周边等法律、法规明令禁止的区域，从其规定。</w:t>
      </w:r>
    </w:p>
    <w:p w14:paraId="60CA9B98">
      <w:pPr>
        <w:pStyle w:val="165"/>
        <w:keepNext w:val="0"/>
        <w:keepLines w:val="0"/>
        <w:pageBreakBefore w:val="0"/>
        <w:widowControl w:val="0"/>
        <w:numPr>
          <w:ilvl w:val="0"/>
          <w:numId w:val="0"/>
        </w:numPr>
        <w:kinsoku/>
        <w:wordWrap/>
        <w:overflowPunct/>
        <w:topLinePunct w:val="0"/>
        <w:autoSpaceDE/>
        <w:autoSpaceDN/>
        <w:bidi w:val="0"/>
        <w:adjustRightInd/>
        <w:snapToGrid w:val="0"/>
        <w:ind w:left="0" w:leftChars="0"/>
        <w:textAlignment w:val="auto"/>
        <w:rPr>
          <w:b w:val="0"/>
        </w:rPr>
      </w:pPr>
      <w:r>
        <w:rPr>
          <w:rFonts w:hint="eastAsia"/>
          <w:lang w:eastAsia="zh-CN"/>
        </w:rPr>
        <w:t>第四章</w:t>
      </w:r>
      <w:r>
        <w:rPr>
          <w:rFonts w:hint="eastAsia" w:ascii="仿宋" w:hAnsi="仿宋" w:eastAsia="仿宋" w:cs="仿宋"/>
          <w:bCs/>
          <w:spacing w:val="-6"/>
          <w:kern w:val="44"/>
          <w:sz w:val="32"/>
          <w:szCs w:val="32"/>
          <w:lang w:eastAsia="zh-CN" w:bidi="ar-SA"/>
        </w:rPr>
        <w:t xml:space="preserve"> </w:t>
      </w:r>
      <w:r>
        <w:t>不予发放的情形</w:t>
      </w:r>
    </w:p>
    <w:p w14:paraId="0AD793BF">
      <w:pPr>
        <w:pStyle w:val="2"/>
        <w:keepNext w:val="0"/>
        <w:keepLines w:val="0"/>
        <w:pageBreakBefore w:val="0"/>
        <w:widowControl w:val="0"/>
        <w:kinsoku/>
        <w:wordWrap/>
        <w:overflowPunct/>
        <w:topLinePunct w:val="0"/>
        <w:autoSpaceDE/>
        <w:autoSpaceDN/>
        <w:bidi w:val="0"/>
        <w:adjustRightInd/>
        <w:snapToGrid w:val="0"/>
        <w:spacing w:after="0"/>
        <w:ind w:left="0"/>
        <w:textAlignment w:val="auto"/>
        <w:rPr>
          <w:rFonts w:ascii="Times New Roman" w:hAnsi="Times New Roman" w:eastAsia="仿宋_GB2312" w:cs="仿宋_GB2312"/>
          <w:sz w:val="32"/>
          <w:szCs w:val="32"/>
        </w:rPr>
      </w:pPr>
      <w:r>
        <w:rPr>
          <w:rFonts w:ascii="Times New Roman" w:hAnsi="Times New Roman" w:eastAsia="仿宋_GB2312" w:cs="仿宋_GB2312"/>
          <w:b/>
          <w:sz w:val="32"/>
          <w:szCs w:val="32"/>
        </w:rPr>
        <w:t>第十五条</w:t>
      </w:r>
      <w:r>
        <w:rPr>
          <w:rFonts w:ascii="Times New Roman" w:hAnsi="Times New Roman" w:eastAsia="仿宋_GB2312" w:cs="仿宋_GB2312"/>
          <w:sz w:val="32"/>
          <w:szCs w:val="32"/>
        </w:rPr>
        <w:t xml:space="preserve">　具有下列情形之一的，不予发放烟草专卖零售许可证： </w:t>
      </w:r>
    </w:p>
    <w:p w14:paraId="34CDF103">
      <w:pPr>
        <w:pStyle w:val="2"/>
        <w:keepNext w:val="0"/>
        <w:keepLines w:val="0"/>
        <w:pageBreakBefore w:val="0"/>
        <w:widowControl w:val="0"/>
        <w:kinsoku/>
        <w:wordWrap/>
        <w:overflowPunct/>
        <w:topLinePunct w:val="0"/>
        <w:autoSpaceDE/>
        <w:autoSpaceDN/>
        <w:bidi w:val="0"/>
        <w:adjustRightInd/>
        <w:snapToGrid w:val="0"/>
        <w:spacing w:after="0"/>
        <w:ind w:left="0"/>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 xml:space="preserve">一、申请主体资格方面 </w:t>
      </w:r>
    </w:p>
    <w:p w14:paraId="41DA4059">
      <w:pPr>
        <w:pStyle w:val="2"/>
        <w:keepNext w:val="0"/>
        <w:keepLines w:val="0"/>
        <w:pageBreakBefore w:val="0"/>
        <w:widowControl w:val="0"/>
        <w:kinsoku/>
        <w:wordWrap/>
        <w:overflowPunct/>
        <w:topLinePunct w:val="0"/>
        <w:autoSpaceDE/>
        <w:autoSpaceDN/>
        <w:bidi w:val="0"/>
        <w:adjustRightInd/>
        <w:snapToGrid w:val="0"/>
        <w:spacing w:after="0"/>
        <w:ind w:left="0"/>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 xml:space="preserve">1. 申请人为无民事行为能力人或者限制民事行为能力人的； </w:t>
      </w:r>
    </w:p>
    <w:p w14:paraId="64B46D83">
      <w:pPr>
        <w:pStyle w:val="2"/>
        <w:keepNext w:val="0"/>
        <w:keepLines w:val="0"/>
        <w:pageBreakBefore w:val="0"/>
        <w:widowControl w:val="0"/>
        <w:kinsoku/>
        <w:wordWrap/>
        <w:overflowPunct/>
        <w:topLinePunct w:val="0"/>
        <w:autoSpaceDE/>
        <w:autoSpaceDN/>
        <w:bidi w:val="0"/>
        <w:adjustRightInd/>
        <w:snapToGrid w:val="0"/>
        <w:spacing w:after="0"/>
        <w:ind w:left="0"/>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 xml:space="preserve">2. 因申请人隐瞒有关情况或者提供虚假材料（含证明优抚对象资格的材料），烟草专卖行政主管部门作出不予受理或者不予发证决定后，申请人 1 年内再次提出申请的； </w:t>
      </w:r>
    </w:p>
    <w:p w14:paraId="541D4087">
      <w:pPr>
        <w:pStyle w:val="2"/>
        <w:keepNext w:val="0"/>
        <w:keepLines w:val="0"/>
        <w:pageBreakBefore w:val="0"/>
        <w:widowControl w:val="0"/>
        <w:kinsoku/>
        <w:wordWrap/>
        <w:overflowPunct/>
        <w:topLinePunct w:val="0"/>
        <w:autoSpaceDE/>
        <w:autoSpaceDN/>
        <w:bidi w:val="0"/>
        <w:adjustRightInd/>
        <w:snapToGrid w:val="0"/>
        <w:spacing w:after="0"/>
        <w:ind w:left="0"/>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 xml:space="preserve">3. 因申请人以欺骗、贿赂等不正当手段取得的烟草专卖许可证被撤销后，申请人 3 年内再次提出申请的； </w:t>
      </w:r>
    </w:p>
    <w:p w14:paraId="213E62C6">
      <w:pPr>
        <w:pStyle w:val="2"/>
        <w:keepNext w:val="0"/>
        <w:keepLines w:val="0"/>
        <w:pageBreakBefore w:val="0"/>
        <w:widowControl w:val="0"/>
        <w:kinsoku/>
        <w:wordWrap/>
        <w:overflowPunct/>
        <w:topLinePunct w:val="0"/>
        <w:autoSpaceDE/>
        <w:autoSpaceDN/>
        <w:bidi w:val="0"/>
        <w:adjustRightInd/>
        <w:snapToGrid w:val="0"/>
        <w:spacing w:after="0"/>
        <w:ind w:left="0"/>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4. 未领取烟草专卖零售许可证经营烟草专卖品业务，并且 1 年内被执法机关处罚两次以上，在 3 年内申请领取烟草专卖零售许可证的；</w:t>
      </w:r>
    </w:p>
    <w:p w14:paraId="36B106EE">
      <w:pPr>
        <w:pStyle w:val="2"/>
        <w:keepNext w:val="0"/>
        <w:keepLines w:val="0"/>
        <w:pageBreakBefore w:val="0"/>
        <w:widowControl w:val="0"/>
        <w:kinsoku/>
        <w:wordWrap/>
        <w:overflowPunct/>
        <w:topLinePunct w:val="0"/>
        <w:autoSpaceDE/>
        <w:autoSpaceDN/>
        <w:bidi w:val="0"/>
        <w:adjustRightInd/>
        <w:snapToGrid w:val="0"/>
        <w:spacing w:after="0"/>
        <w:ind w:left="0"/>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 xml:space="preserve"> 5. 未领取烟草专卖零售许可证经营烟草专卖品业务被追究刑事责任，在 3 年内申请领取烟草专卖零售许可证的；</w:t>
      </w:r>
    </w:p>
    <w:p w14:paraId="5DA725A8">
      <w:pPr>
        <w:pStyle w:val="2"/>
        <w:keepNext w:val="0"/>
        <w:keepLines w:val="0"/>
        <w:pageBreakBefore w:val="0"/>
        <w:widowControl w:val="0"/>
        <w:kinsoku/>
        <w:wordWrap/>
        <w:overflowPunct/>
        <w:topLinePunct w:val="0"/>
        <w:autoSpaceDE/>
        <w:autoSpaceDN/>
        <w:bidi w:val="0"/>
        <w:adjustRightInd/>
        <w:snapToGrid w:val="0"/>
        <w:spacing w:after="0"/>
        <w:ind w:left="0"/>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 xml:space="preserve"> 6. 外商投资的商业企业或者个体工商户，及其以特许、吸纳加盟店、其他再投资等形式变相从事烟草专卖品经营业务的； </w:t>
      </w:r>
    </w:p>
    <w:p w14:paraId="5CB7D496">
      <w:pPr>
        <w:pStyle w:val="2"/>
        <w:keepNext w:val="0"/>
        <w:keepLines w:val="0"/>
        <w:pageBreakBefore w:val="0"/>
        <w:widowControl w:val="0"/>
        <w:kinsoku/>
        <w:wordWrap/>
        <w:overflowPunct/>
        <w:topLinePunct w:val="0"/>
        <w:autoSpaceDE/>
        <w:autoSpaceDN/>
        <w:bidi w:val="0"/>
        <w:adjustRightInd/>
        <w:snapToGrid w:val="0"/>
        <w:spacing w:after="0"/>
        <w:ind w:left="0"/>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7. 被列入违法失信 “黑名单” 的。</w:t>
      </w:r>
    </w:p>
    <w:p w14:paraId="342981B0">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ascii="Times New Roman" w:hAnsi="Times New Roman" w:eastAsia="仿宋_GB2312" w:cs="仿宋_GB2312"/>
          <w:sz w:val="32"/>
          <w:szCs w:val="32"/>
        </w:rPr>
      </w:pPr>
      <w:r>
        <w:rPr>
          <w:rFonts w:hint="eastAsia" w:cs="仿宋_GB2312"/>
          <w:sz w:val="32"/>
          <w:szCs w:val="32"/>
          <w:lang w:eastAsia="zh-CN"/>
        </w:rPr>
        <w:t>二、</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 xml:space="preserve">经营场所方面 </w:t>
      </w:r>
    </w:p>
    <w:p w14:paraId="0986C89C">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1. 无固定经营场所，或者经营场所与住所不相独立的。流动摊点（车、棚、柜）、违章建筑、临时建筑、危房以及尚未竣工或者未交付使用的场所，视为无固定经营场所；</w:t>
      </w:r>
    </w:p>
    <w:p w14:paraId="5775E4F2">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 xml:space="preserve"> 2. 经营场所基于安全因素不适宜经营卷烟的，包括但不限于生产、经营、储存燃气、化工、油漆、农药、化肥、烟花爆竹等有毒有害、易燃易爆、易挥发物品，容易造成烟草制品污染的场所（具备安全保障措施的加油站、加气站便利店除外）；</w:t>
      </w:r>
    </w:p>
    <w:p w14:paraId="72023FAB">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 xml:space="preserve"> 3. 中小学校、幼儿园内部及周围，城区 50 米、城区以外区域 30 米范围内；</w:t>
      </w:r>
    </w:p>
    <w:p w14:paraId="4F2A9A73">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 xml:space="preserve"> 4. 容易诱导未成年人关注、购买、吸食烟草制品的场所内部，包括但不限于母婴用品店、文具店、玩具店、学生用品店、游乐场所、托幼机构、儿童社会福利机构、少年宫、青少年活动中</w:t>
      </w:r>
      <w:r>
        <w:rPr>
          <w:rFonts w:ascii="Times New Roman" w:hAnsi="Times New Roman" w:eastAsia="仿宋_GB2312" w:cs="仿宋_GB2312"/>
          <w:spacing wpsCustomData:val="7" w:val="13"/>
          <w:sz w:val="32"/>
          <w:szCs w:val="32"/>
        </w:rPr>
        <w:t>心</w:t>
      </w:r>
      <w:r>
        <w:rPr>
          <w:rFonts w:ascii="Times New Roman" w:hAnsi="Times New Roman" w:eastAsia="仿宋_GB2312" w:cs="仿宋_GB2312"/>
          <w:spacing wpsCustomData:val="-6" w:val="6"/>
          <w:sz w:val="32"/>
          <w:szCs w:val="32"/>
        </w:rPr>
        <w:t>、</w:t>
      </w:r>
      <w:r>
        <w:rPr>
          <w:rFonts w:ascii="Times New Roman" w:hAnsi="Times New Roman" w:eastAsia="仿宋_GB2312" w:cs="仿宋_GB2312"/>
          <w:spacing wpsCustomData:val="7" w:val="13"/>
          <w:sz w:val="32"/>
          <w:szCs w:val="32"/>
        </w:rPr>
        <w:t>青少年教育培训机构等以未成年人为主要服务对象</w:t>
      </w:r>
      <w:r>
        <w:rPr>
          <w:rFonts w:ascii="Times New Roman" w:hAnsi="Times New Roman" w:eastAsia="仿宋_GB2312" w:cs="仿宋_GB2312"/>
          <w:spacing wpsCustomData:val="-6" w:val="-6"/>
          <w:sz w:val="32"/>
          <w:szCs w:val="32"/>
        </w:rPr>
        <w:t>的</w:t>
      </w:r>
      <w:r>
        <w:rPr>
          <w:rFonts w:ascii="Times New Roman" w:hAnsi="Times New Roman" w:eastAsia="仿宋_GB2312" w:cs="仿宋_GB2312"/>
          <w:sz w:val="32"/>
          <w:szCs w:val="32"/>
        </w:rPr>
        <w:t>场所；</w:t>
      </w:r>
    </w:p>
    <w:p w14:paraId="02714187">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 xml:space="preserve"> 5. 党政机关内部、医疗卫生机构内部；</w:t>
      </w:r>
    </w:p>
    <w:p w14:paraId="39C18D10">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 xml:space="preserve"> 6. 同一经营场所已办理烟草专卖零售许可证且许可证在有效期内的；</w:t>
      </w:r>
    </w:p>
    <w:p w14:paraId="78E36E36">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ascii="Times New Roman" w:hAnsi="Times New Roman" w:eastAsia="仿宋_GB2312" w:cs="仿宋_GB2312"/>
          <w:sz w:val="32"/>
          <w:szCs w:val="32"/>
        </w:rPr>
      </w:pPr>
      <w:r>
        <w:rPr>
          <w:rFonts w:ascii="Times New Roman" w:hAnsi="Times New Roman" w:eastAsia="仿宋_GB2312" w:cs="仿宋_GB2312"/>
          <w:spacing wpsCustomData:val="-6" w:val="-6"/>
          <w:sz w:val="32"/>
          <w:szCs w:val="32"/>
        </w:rPr>
        <w:t xml:space="preserve"> 7.</w:t>
      </w:r>
      <w:r>
        <w:rPr>
          <w:rFonts w:ascii="Times New Roman" w:hAnsi="Times New Roman" w:eastAsia="仿宋_GB2312" w:cs="仿宋_GB2312"/>
          <w:spacing wpsCustomData:val="-6" w:val="8"/>
          <w:sz w:val="32"/>
          <w:szCs w:val="32"/>
        </w:rPr>
        <w:t xml:space="preserve"> 经营场所因政府规划待拆迁或征用，使用期限不足 </w:t>
      </w:r>
      <w:r>
        <w:rPr>
          <w:rFonts w:ascii="Times New Roman" w:hAnsi="Times New Roman" w:eastAsia="仿宋_GB2312" w:cs="仿宋_GB2312"/>
          <w:spacing wpsCustomData:val="-6" w:val="-6"/>
          <w:sz w:val="32"/>
          <w:szCs w:val="32"/>
        </w:rPr>
        <w:t>1</w:t>
      </w:r>
      <w:r>
        <w:rPr>
          <w:rFonts w:ascii="Times New Roman" w:hAnsi="Times New Roman" w:eastAsia="仿宋_GB2312" w:cs="仿宋_GB2312"/>
          <w:spacing wpsCustomData:val="-6" w:val="-43"/>
          <w:sz w:val="32"/>
          <w:szCs w:val="32"/>
        </w:rPr>
        <w:t xml:space="preserve"> </w:t>
      </w:r>
      <w:r>
        <w:rPr>
          <w:rFonts w:ascii="Times New Roman" w:hAnsi="Times New Roman" w:eastAsia="仿宋_GB2312" w:cs="仿宋_GB2312"/>
          <w:sz w:val="32"/>
          <w:szCs w:val="32"/>
        </w:rPr>
        <w:t>年的；</w:t>
      </w:r>
    </w:p>
    <w:p w14:paraId="68613CD2">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hint="eastAsia" w:ascii="仿宋_GB2312" w:hAnsi="仿宋_GB2312" w:eastAsia="仿宋_GB2312" w:cs="仿宋_GB2312"/>
          <w:b w:val="0"/>
          <w:sz w:val="32"/>
          <w:szCs w:val="32"/>
        </w:rPr>
      </w:pPr>
      <w:r>
        <w:rPr>
          <w:rFonts w:ascii="Times New Roman" w:hAnsi="Times New Roman" w:eastAsia="仿宋_GB2312" w:cs="仿宋_GB2312"/>
          <w:sz w:val="32"/>
          <w:szCs w:val="32"/>
        </w:rPr>
        <w:t xml:space="preserve"> 8. 经营场所位于办公场所、仓库，住宅公寓、居民小区内的车库、地下室、储藏室，以及地面二层及以上无独立面向公共道路出入口、无法直接向社会公众开放的场所。底层对外独立商铺除外；二层及以上具备独立临街出入口、直接面向社会公众开放的商业商铺，可按本规划标准审查。</w:t>
      </w:r>
    </w:p>
    <w:p w14:paraId="6457D954">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ascii="Times New Roman" w:hAnsi="Times New Roman" w:eastAsia="仿宋_GB2312" w:cs="仿宋_GB2312"/>
          <w:sz w:val="32"/>
          <w:szCs w:val="32"/>
        </w:rPr>
      </w:pPr>
      <w:r>
        <w:rPr>
          <w:rFonts w:hint="eastAsia" w:cs="仿宋_GB2312"/>
          <w:sz w:val="32"/>
          <w:szCs w:val="32"/>
          <w:lang w:eastAsia="zh-CN"/>
        </w:rPr>
        <w:t>三、</w:t>
      </w:r>
      <w:r>
        <w:rPr>
          <w:rFonts w:ascii="Times New Roman" w:hAnsi="Times New Roman" w:eastAsia="仿宋_GB2312" w:cs="仿宋_GB2312"/>
          <w:sz w:val="32"/>
          <w:szCs w:val="32"/>
        </w:rPr>
        <w:t xml:space="preserve">经营模式方面 </w:t>
      </w:r>
    </w:p>
    <w:p w14:paraId="6EEC5E82">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1. 利用自动售货机（柜）、无人售卖店或者其他自动售货形式销售或者变相销售烟草制品的；</w:t>
      </w:r>
    </w:p>
    <w:p w14:paraId="5F47531F">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 xml:space="preserve"> 2. 利用游戏、博彩等设备或者利用游戏、博彩等方式变相销售烟草制品的；</w:t>
      </w:r>
    </w:p>
    <w:p w14:paraId="1C854349">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hint="eastAsia" w:ascii="仿宋_GB2312" w:hAnsi="仿宋_GB2312" w:eastAsia="仿宋_GB2312" w:cs="仿宋_GB2312"/>
          <w:b w:val="0"/>
          <w:sz w:val="32"/>
          <w:szCs w:val="32"/>
        </w:rPr>
      </w:pPr>
      <w:r>
        <w:rPr>
          <w:rFonts w:ascii="Times New Roman" w:hAnsi="Times New Roman" w:eastAsia="仿宋_GB2312" w:cs="仿宋_GB2312"/>
          <w:sz w:val="32"/>
          <w:szCs w:val="32"/>
        </w:rPr>
        <w:t xml:space="preserve"> 3. 申请经营模式包含利用信息网络渠道销售烟草制品的。</w:t>
      </w:r>
    </w:p>
    <w:p w14:paraId="29C9858D">
      <w:pPr>
        <w:pStyle w:val="165"/>
        <w:keepNext w:val="0"/>
        <w:keepLines w:val="0"/>
        <w:pageBreakBefore w:val="0"/>
        <w:widowControl w:val="0"/>
        <w:numPr>
          <w:ilvl w:val="0"/>
          <w:numId w:val="0"/>
        </w:numPr>
        <w:kinsoku/>
        <w:wordWrap/>
        <w:overflowPunct/>
        <w:topLinePunct w:val="0"/>
        <w:autoSpaceDE/>
        <w:autoSpaceDN/>
        <w:bidi w:val="0"/>
        <w:adjustRightInd/>
        <w:snapToGrid w:val="0"/>
        <w:ind w:left="0" w:leftChars="0"/>
        <w:textAlignment w:val="auto"/>
        <w:rPr>
          <w:b w:val="0"/>
        </w:rPr>
      </w:pPr>
      <w:r>
        <w:rPr>
          <w:rFonts w:hint="eastAsia"/>
          <w:lang w:eastAsia="zh-CN"/>
        </w:rPr>
        <w:t>第五章</w:t>
      </w:r>
      <w:r>
        <w:rPr>
          <w:rFonts w:hint="eastAsia" w:ascii="仿宋" w:hAnsi="仿宋" w:eastAsia="仿宋" w:cs="仿宋"/>
          <w:bCs/>
          <w:spacing w:val="-6"/>
          <w:kern w:val="44"/>
          <w:sz w:val="32"/>
          <w:szCs w:val="32"/>
          <w:lang w:eastAsia="zh-CN" w:bidi="ar-SA"/>
        </w:rPr>
        <w:t xml:space="preserve"> </w:t>
      </w:r>
      <w:r>
        <w:t>其他规定</w:t>
      </w:r>
    </w:p>
    <w:p w14:paraId="1932AAAA">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hint="eastAsia" w:ascii="仿宋_GB2312" w:hAnsi="仿宋_GB2312" w:eastAsia="仿宋_GB2312" w:cs="仿宋_GB2312"/>
          <w:b/>
          <w:sz w:val="32"/>
          <w:szCs w:val="32"/>
        </w:rPr>
      </w:pPr>
      <w:r>
        <w:rPr>
          <w:rFonts w:hint="eastAsia" w:cs="仿宋_GB2312"/>
          <w:b/>
          <w:sz w:val="32"/>
          <w:szCs w:val="32"/>
          <w:lang w:eastAsia="zh-CN"/>
        </w:rPr>
        <w:t>第十六条　</w:t>
      </w:r>
      <w:r>
        <w:rPr>
          <w:rFonts w:ascii="Times New Roman" w:hAnsi="Times New Roman" w:eastAsia="仿宋_GB2312" w:cs="仿宋_GB2312"/>
          <w:sz w:val="32"/>
          <w:szCs w:val="32"/>
        </w:rPr>
        <w:t>本规划不溯及已合法持有烟草专卖零售许可证的零售户。本规划实施前已依法取得烟草专卖零售许可证的零售户，不适用本规划新增的间距、数量控制要求；许可证有效期届满，符合法律、法规、规章规定条件的，可依法办理延续。</w:t>
      </w:r>
    </w:p>
    <w:p w14:paraId="3E7D4FB0">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hint="eastAsia" w:ascii="仿宋_GB2312" w:hAnsi="仿宋_GB2312" w:eastAsia="仿宋_GB2312" w:cs="仿宋_GB2312"/>
          <w:b/>
          <w:sz w:val="32"/>
          <w:szCs w:val="32"/>
        </w:rPr>
      </w:pPr>
      <w:r>
        <w:rPr>
          <w:rFonts w:hint="eastAsia" w:cs="仿宋_GB2312"/>
          <w:b/>
          <w:sz w:val="32"/>
          <w:szCs w:val="32"/>
          <w:lang w:eastAsia="zh-CN"/>
        </w:rPr>
        <w:t>第十七条　</w:t>
      </w:r>
      <w:r>
        <w:rPr>
          <w:rFonts w:ascii="Times New Roman" w:hAnsi="Times New Roman" w:eastAsia="仿宋_GB2312" w:cs="仿宋_GB2312"/>
          <w:sz w:val="32"/>
          <w:szCs w:val="32"/>
        </w:rPr>
        <w:t>本规划所称中小学校为《烟草专卖许可证管理办法实施细则》第七十六条所规定的 “普通中小学、特殊教育学校、中等职业学校、专门学校”，所称幼儿园为依法取得教育部门办园许可证的幼儿园。</w:t>
      </w:r>
    </w:p>
    <w:p w14:paraId="771DFB05">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hint="eastAsia" w:ascii="仿宋_GB2312" w:hAnsi="仿宋_GB2312" w:eastAsia="仿宋_GB2312" w:cs="仿宋_GB2312"/>
          <w:b/>
          <w:sz w:val="32"/>
          <w:szCs w:val="32"/>
        </w:rPr>
      </w:pPr>
      <w:r>
        <w:rPr>
          <w:rFonts w:hint="eastAsia" w:cs="仿宋_GB2312"/>
          <w:b/>
          <w:sz w:val="32"/>
          <w:szCs w:val="32"/>
          <w:lang w:eastAsia="zh-CN"/>
        </w:rPr>
        <w:t>第十八条　</w:t>
      </w:r>
      <w:r>
        <w:rPr>
          <w:rFonts w:ascii="Times New Roman" w:hAnsi="Times New Roman" w:eastAsia="仿宋_GB2312" w:cs="仿宋_GB2312"/>
          <w:sz w:val="32"/>
          <w:szCs w:val="32"/>
        </w:rPr>
        <w:t>本规划所称营业面积，是指直接用于经营业务的面积，不包括经营场所内的仓储、办公等场所。</w:t>
      </w:r>
    </w:p>
    <w:p w14:paraId="31D4C497">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hint="eastAsia" w:ascii="仿宋_GB2312" w:hAnsi="仿宋_GB2312" w:eastAsia="仿宋_GB2312" w:cs="仿宋_GB2312"/>
          <w:b/>
          <w:sz w:val="32"/>
          <w:szCs w:val="32"/>
        </w:rPr>
      </w:pPr>
      <w:r>
        <w:rPr>
          <w:rFonts w:hint="eastAsia" w:cs="仿宋_GB2312"/>
          <w:b/>
          <w:sz w:val="32"/>
          <w:szCs w:val="32"/>
          <w:lang w:eastAsia="zh-CN"/>
        </w:rPr>
        <w:t>第十九条　</w:t>
      </w:r>
      <w:r>
        <w:rPr>
          <w:rFonts w:ascii="Times New Roman" w:hAnsi="Times New Roman" w:eastAsia="仿宋_GB2312" w:cs="仿宋_GB2312"/>
          <w:sz w:val="32"/>
          <w:szCs w:val="32"/>
        </w:rPr>
        <w:t>本规划中的各零售点之间的间距，以及零售点与中小学校、幼儿园、少年宫的距离，按照附件 2《洋县烟草制品零售点现场测量标准》进行实地测量。</w:t>
      </w:r>
    </w:p>
    <w:p w14:paraId="0CD25B17">
      <w:pPr>
        <w:pStyle w:val="165"/>
        <w:keepNext w:val="0"/>
        <w:keepLines w:val="0"/>
        <w:pageBreakBefore w:val="0"/>
        <w:widowControl w:val="0"/>
        <w:numPr>
          <w:ilvl w:val="0"/>
          <w:numId w:val="0"/>
        </w:numPr>
        <w:kinsoku/>
        <w:wordWrap/>
        <w:overflowPunct/>
        <w:topLinePunct w:val="0"/>
        <w:autoSpaceDE/>
        <w:autoSpaceDN/>
        <w:bidi w:val="0"/>
        <w:adjustRightInd/>
        <w:snapToGrid w:val="0"/>
        <w:ind w:left="0" w:leftChars="0"/>
        <w:textAlignment w:val="auto"/>
        <w:rPr>
          <w:b w:val="0"/>
        </w:rPr>
      </w:pPr>
      <w:r>
        <w:rPr>
          <w:rFonts w:hint="eastAsia"/>
          <w:lang w:eastAsia="zh-CN"/>
        </w:rPr>
        <w:t>第六章</w:t>
      </w:r>
      <w:r>
        <w:rPr>
          <w:rFonts w:hint="eastAsia" w:ascii="仿宋" w:hAnsi="仿宋" w:eastAsia="仿宋" w:cs="仿宋"/>
          <w:bCs/>
          <w:spacing w:val="-6"/>
          <w:kern w:val="44"/>
          <w:sz w:val="32"/>
          <w:szCs w:val="32"/>
          <w:lang w:eastAsia="zh-CN" w:bidi="ar-SA"/>
        </w:rPr>
        <w:t xml:space="preserve"> </w:t>
      </w:r>
      <w:r>
        <w:t>附 则</w:t>
      </w:r>
    </w:p>
    <w:p w14:paraId="600E56A3">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hint="eastAsia" w:ascii="仿宋_GB2312" w:hAnsi="仿宋_GB2312" w:eastAsia="仿宋_GB2312" w:cs="仿宋_GB2312"/>
          <w:b/>
          <w:sz w:val="32"/>
          <w:szCs w:val="32"/>
        </w:rPr>
      </w:pPr>
      <w:r>
        <w:rPr>
          <w:rFonts w:hint="eastAsia" w:cs="仿宋_GB2312"/>
          <w:b/>
          <w:sz w:val="32"/>
          <w:szCs w:val="32"/>
          <w:lang w:eastAsia="zh-CN"/>
        </w:rPr>
        <w:t>第二十条　</w:t>
      </w:r>
      <w:r>
        <w:rPr>
          <w:rFonts w:ascii="Times New Roman" w:hAnsi="Times New Roman" w:eastAsia="仿宋_GB2312" w:cs="仿宋_GB2312"/>
          <w:sz w:val="32"/>
          <w:szCs w:val="32"/>
        </w:rPr>
        <w:t>本规划中的 “以上”“以内”“不超过” 均包含本数；“不足”“低于”“以外” 不含本数。</w:t>
      </w:r>
    </w:p>
    <w:p w14:paraId="00E84C9F">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hint="eastAsia" w:ascii="仿宋_GB2312" w:hAnsi="仿宋_GB2312" w:eastAsia="仿宋_GB2312" w:cs="仿宋_GB2312"/>
          <w:b/>
          <w:sz w:val="32"/>
          <w:szCs w:val="32"/>
        </w:rPr>
      </w:pPr>
      <w:r>
        <w:rPr>
          <w:rFonts w:hint="eastAsia" w:cs="仿宋_GB2312"/>
          <w:b/>
          <w:sz w:val="32"/>
          <w:szCs w:val="32"/>
          <w:lang w:eastAsia="zh-CN"/>
        </w:rPr>
        <w:t>第二十一条　</w:t>
      </w:r>
      <w:r>
        <w:rPr>
          <w:rFonts w:ascii="Times New Roman" w:hAnsi="Times New Roman" w:eastAsia="仿宋_GB2312" w:cs="仿宋_GB2312"/>
          <w:sz w:val="32"/>
          <w:szCs w:val="32"/>
        </w:rPr>
        <w:t>本规划由洋县烟草专卖局负责解释。</w:t>
      </w:r>
    </w:p>
    <w:p w14:paraId="198F6E22">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hint="eastAsia" w:ascii="仿宋_GB2312" w:hAnsi="仿宋_GB2312" w:eastAsia="仿宋_GB2312" w:cs="仿宋_GB2312"/>
          <w:b/>
          <w:sz w:val="32"/>
          <w:szCs w:val="32"/>
        </w:rPr>
      </w:pPr>
      <w:r>
        <w:rPr>
          <w:rFonts w:hint="eastAsia" w:cs="仿宋_GB2312"/>
          <w:b/>
          <w:sz w:val="32"/>
          <w:szCs w:val="32"/>
          <w:lang w:eastAsia="zh-CN"/>
        </w:rPr>
        <w:t>第二十二条　</w:t>
      </w:r>
      <w:r>
        <w:rPr>
          <w:rFonts w:ascii="Times New Roman" w:hAnsi="Times New Roman" w:eastAsia="仿宋_GB2312" w:cs="仿宋_GB2312"/>
          <w:sz w:val="32"/>
          <w:szCs w:val="32"/>
        </w:rPr>
        <w:t>本规划实施过程中，法律、法规和政策另有规定的，从其规定。</w:t>
      </w:r>
    </w:p>
    <w:p w14:paraId="4359908A">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hint="eastAsia" w:ascii="仿宋_GB2312" w:hAnsi="仿宋_GB2312" w:eastAsia="仿宋_GB2312" w:cs="仿宋_GB2312"/>
          <w:b/>
          <w:sz w:val="32"/>
          <w:szCs w:val="32"/>
        </w:rPr>
      </w:pPr>
      <w:r>
        <w:rPr>
          <w:rFonts w:hint="eastAsia" w:cs="仿宋_GB2312"/>
          <w:b/>
          <w:sz w:val="32"/>
          <w:szCs w:val="32"/>
          <w:lang w:eastAsia="zh-CN"/>
        </w:rPr>
        <w:t>第二十三条　</w:t>
      </w:r>
      <w:r>
        <w:rPr>
          <w:rFonts w:ascii="Times New Roman" w:hAnsi="Times New Roman" w:eastAsia="仿宋_GB2312" w:cs="仿宋_GB2312"/>
          <w:sz w:val="32"/>
          <w:szCs w:val="32"/>
        </w:rPr>
        <w:t>本规划自 2026 年 11 月 15 日起施行，有效期截止 2030 年 11 月 15 日。因政策变化需要对本规划重新修订的，将按相关法律、法规、规章进行修订。本规划施行之日起，202</w:t>
      </w:r>
      <w:r>
        <w:rPr>
          <w:rFonts w:hint="eastAsia" w:cs="仿宋_GB2312"/>
          <w:sz w:val="32"/>
          <w:szCs w:val="32"/>
          <w:lang w:val="en-US" w:eastAsia="zh-CN"/>
        </w:rPr>
        <w:t>5</w:t>
      </w:r>
      <w:r>
        <w:rPr>
          <w:rFonts w:ascii="Times New Roman" w:hAnsi="Times New Roman" w:eastAsia="仿宋_GB2312" w:cs="仿宋_GB2312"/>
          <w:sz w:val="32"/>
          <w:szCs w:val="32"/>
        </w:rPr>
        <w:t>年</w:t>
      </w:r>
      <w:r>
        <w:rPr>
          <w:rFonts w:hint="eastAsia" w:cs="仿宋_GB2312"/>
          <w:sz w:val="32"/>
          <w:szCs w:val="32"/>
          <w:lang w:val="en-US" w:eastAsia="zh-CN"/>
        </w:rPr>
        <w:t>4</w:t>
      </w:r>
      <w:r>
        <w:rPr>
          <w:rFonts w:ascii="Times New Roman" w:hAnsi="Times New Roman" w:eastAsia="仿宋_GB2312" w:cs="仿宋_GB2312"/>
          <w:sz w:val="32"/>
          <w:szCs w:val="32"/>
        </w:rPr>
        <w:t>月</w:t>
      </w:r>
      <w:r>
        <w:rPr>
          <w:rFonts w:hint="eastAsia" w:cs="仿宋_GB2312"/>
          <w:sz w:val="32"/>
          <w:szCs w:val="32"/>
          <w:lang w:val="en-US" w:eastAsia="zh-CN"/>
        </w:rPr>
        <w:t>3</w:t>
      </w:r>
      <w:r>
        <w:rPr>
          <w:rFonts w:ascii="Times New Roman" w:hAnsi="Times New Roman" w:eastAsia="仿宋_GB2312" w:cs="仿宋_GB2312"/>
          <w:sz w:val="32"/>
          <w:szCs w:val="32"/>
        </w:rPr>
        <w:t>日印发的《洋县烟草制品零售点合理布局规划》（</w:t>
      </w:r>
      <w:r>
        <w:rPr>
          <w:rFonts w:hint="eastAsia" w:ascii="Times New Roman" w:hAnsi="Times New Roman" w:eastAsia="仿宋_GB2312" w:cs="仿宋_GB2312"/>
          <w:sz w:val="32"/>
          <w:szCs w:val="32"/>
        </w:rPr>
        <w:t>洋烟字〔2025〕40 号</w:t>
      </w:r>
      <w:r>
        <w:rPr>
          <w:rFonts w:ascii="Times New Roman" w:hAnsi="Times New Roman" w:eastAsia="仿宋_GB2312" w:cs="仿宋_GB2312"/>
          <w:sz w:val="32"/>
          <w:szCs w:val="32"/>
        </w:rPr>
        <w:t>）同时废止。</w:t>
      </w:r>
    </w:p>
    <w:p w14:paraId="5CA2F2E8">
      <w:pPr>
        <w:pStyle w:val="2"/>
        <w:keepNext w:val="0"/>
        <w:keepLines w:val="0"/>
        <w:pageBreakBefore w:val="0"/>
        <w:widowControl w:val="0"/>
        <w:kinsoku/>
        <w:wordWrap/>
        <w:overflowPunct/>
        <w:topLinePunct w:val="0"/>
        <w:autoSpaceDE/>
        <w:autoSpaceDN/>
        <w:bidi w:val="0"/>
        <w:adjustRightInd/>
        <w:snapToGrid w:val="0"/>
        <w:spacing w:after="0"/>
        <w:ind w:left="0"/>
        <w:textAlignment w:val="auto"/>
      </w:pPr>
    </w:p>
    <w:p w14:paraId="07F2A495">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ascii="Times New Roman" w:hAnsi="Times New Roman" w:eastAsia="仿宋_GB2312" w:cs="仿宋_GB2312"/>
          <w:sz w:val="32"/>
          <w:szCs w:val="32"/>
        </w:rPr>
      </w:pPr>
      <mc:AlternateContent>
        <mc:Choice Requires="wpsCustomData">
          <wpsCustomData:docfieldStart id="1" docfieldname="附件说明_1" hidden="0" print="1" readonly="0" index="3"/>
        </mc:Choice>
      </mc:AlternateContent>
      <w:r>
        <w:rPr>
          <w:rFonts w:ascii="Times New Roman" w:hAnsi="Times New Roman" w:eastAsia="仿宋_GB2312" w:cs="仿宋_GB2312"/>
          <w:sz w:val="32"/>
          <w:szCs w:val="32"/>
        </w:rPr>
        <w:t xml:space="preserve">附件 1：洋县烟草制品零售点合理布局规划区域划分公示表 </w:t>
      </w:r>
    </w:p>
    <w:p w14:paraId="01B3DAA3">
      <w:pPr>
        <w:pStyle w:val="2"/>
        <w:keepNext w:val="0"/>
        <w:keepLines w:val="0"/>
        <w:pageBreakBefore w:val="0"/>
        <w:widowControl w:val="0"/>
        <w:numPr>
          <w:ilvl w:val="0"/>
          <w:numId w:val="0"/>
        </w:numPr>
        <w:kinsoku/>
        <w:wordWrap/>
        <w:overflowPunct/>
        <w:topLinePunct w:val="0"/>
        <w:autoSpaceDE/>
        <w:autoSpaceDN/>
        <w:bidi w:val="0"/>
        <w:adjustRightInd/>
        <w:snapToGrid w:val="0"/>
        <w:spacing w:after="0"/>
        <w:ind w:left="0" w:leftChars="0" w:firstLine="616"/>
        <w:textAlignment w:val="auto"/>
        <w:rPr>
          <w:rFonts w:ascii="Times New Roman" w:hAnsi="Times New Roman" w:eastAsia="仿宋_GB2312" w:cs="仿宋_GB2312"/>
          <w:sz w:val="32"/>
          <w:szCs w:val="32"/>
        </w:rPr>
      </w:pPr>
      <w:r>
        <w:rPr>
          <w:rFonts w:ascii="Times New Roman" w:hAnsi="Times New Roman" w:eastAsia="仿宋_GB2312" w:cs="仿宋_GB2312"/>
          <w:sz w:val="32"/>
          <w:szCs w:val="32"/>
        </w:rPr>
        <w:t>附件 2：洋县烟草制品零售点现场测量标准</w:t>
      </w:r>
      <mc:AlternateContent>
        <mc:Choice Requires="wpsCustomData">
          <wpsCustomData:docfieldEnd id="1"/>
        </mc:Choice>
      </mc:AlternateContent>
    </w:p>
    <w:p w14:paraId="6A638E6F">
      <w:pPr>
        <w:pStyle w:val="2"/>
        <w:keepNext w:val="0"/>
        <w:keepLines w:val="0"/>
        <w:pageBreakBefore w:val="0"/>
        <w:widowControl w:val="0"/>
        <w:kinsoku/>
        <w:wordWrap/>
        <w:overflowPunct/>
        <w:topLinePunct w:val="0"/>
        <w:autoSpaceDE/>
        <w:autoSpaceDN/>
        <w:bidi w:val="0"/>
        <w:adjustRightInd/>
        <w:snapToGrid/>
        <w:textAlignment w:val="auto"/>
      </w:pPr>
    </w:p>
    <w:p w14:paraId="35ECD81B">
      <w:pPr>
        <w:pStyle w:val="2"/>
        <w:keepNext w:val="0"/>
        <w:keepLines w:val="0"/>
        <w:pageBreakBefore w:val="0"/>
        <w:widowControl w:val="0"/>
        <w:kinsoku/>
        <w:wordWrap/>
        <w:overflowPunct/>
        <w:topLinePunct w:val="0"/>
        <w:autoSpaceDE/>
        <w:autoSpaceDN/>
        <w:bidi w:val="0"/>
        <w:adjustRightInd/>
        <w:snapToGrid/>
        <w:textAlignment w:val="auto"/>
      </w:pPr>
    </w:p>
    <w:p w14:paraId="32AB13B0">
      <w:pPr>
        <w:pStyle w:val="2"/>
        <w:keepNext w:val="0"/>
        <w:keepLines w:val="0"/>
        <w:pageBreakBefore w:val="0"/>
        <w:widowControl w:val="0"/>
        <w:kinsoku/>
        <w:wordWrap/>
        <w:overflowPunct/>
        <w:topLinePunct w:val="0"/>
        <w:autoSpaceDE/>
        <w:autoSpaceDN/>
        <w:bidi w:val="0"/>
        <w:adjustRightInd/>
        <w:snapToGrid/>
        <w:jc w:val="right"/>
        <w:textAlignment w:val="auto"/>
      </w:pPr>
      <w:r>
        <w:rPr>
          <w:rFonts w:hint="eastAsia"/>
          <w:lang w:eastAsia="zh-CN"/>
        </w:rPr>
        <w:t>2026年</w:t>
      </w:r>
      <w:r>
        <w:rPr>
          <w:rFonts w:hint="eastAsia"/>
          <w:lang w:val="en-US" w:eastAsia="zh-CN"/>
        </w:rPr>
        <w:t>X</w:t>
      </w:r>
      <w:r>
        <w:rPr>
          <w:rFonts w:hint="eastAsia"/>
          <w:lang w:val="en-US" w:eastAsia="zh-CN"/>
        </w:rPr>
        <w:t>X</w:t>
      </w:r>
      <w:r>
        <w:rPr>
          <w:rFonts w:hint="eastAsia"/>
          <w:lang w:eastAsia="zh-CN"/>
        </w:rPr>
        <w:t>月</w:t>
      </w:r>
      <w:r>
        <w:rPr>
          <w:rFonts w:hint="eastAsia"/>
          <w:lang w:val="en-US" w:eastAsia="zh-CN"/>
        </w:rPr>
        <w:t>X</w:t>
      </w:r>
      <w:r>
        <w:rPr>
          <w:rFonts w:hint="eastAsia"/>
          <w:lang w:val="en-US" w:eastAsia="zh-CN"/>
        </w:rPr>
        <w:t>X</w:t>
      </w:r>
      <w:r>
        <w:rPr>
          <w:rFonts w:hint="eastAsia"/>
          <w:lang w:eastAsia="zh-CN"/>
        </w:rPr>
        <w:t>日</w:t>
      </w:r>
    </w:p>
    <w:p w14:paraId="56D1E2FE">
      <w:pPr>
        <w:pStyle w:val="2"/>
        <w:keepNext w:val="0"/>
        <w:keepLines w:val="0"/>
        <w:pageBreakBefore w:val="0"/>
        <w:widowControl w:val="0"/>
        <w:kinsoku/>
        <w:wordWrap/>
        <w:overflowPunct/>
        <w:topLinePunct w:val="0"/>
        <w:autoSpaceDE/>
        <w:autoSpaceDN/>
        <w:bidi w:val="0"/>
        <w:adjustRightInd/>
        <w:snapToGrid/>
        <w:textAlignment w:val="auto"/>
      </w:pPr>
    </w:p>
    <w:p w14:paraId="6399AC25">
      <w:pPr>
        <w:pStyle w:val="2"/>
        <w:keepNext w:val="0"/>
        <w:keepLines w:val="0"/>
        <w:pageBreakBefore w:val="0"/>
        <w:widowControl w:val="0"/>
        <w:kinsoku/>
        <w:wordWrap/>
        <w:overflowPunct/>
        <w:topLinePunct w:val="0"/>
        <w:autoSpaceDE/>
        <w:autoSpaceDN/>
        <w:bidi w:val="0"/>
        <w:adjustRightInd/>
        <w:snapToGrid/>
        <w:textAlignment w:val="auto"/>
      </w:pPr>
    </w:p>
    <w:p w14:paraId="09F92900">
      <w:pPr>
        <w:pStyle w:val="2"/>
        <w:keepNext w:val="0"/>
        <w:keepLines w:val="0"/>
        <w:pageBreakBefore w:val="0"/>
        <w:widowControl w:val="0"/>
        <w:kinsoku/>
        <w:wordWrap/>
        <w:overflowPunct/>
        <w:topLinePunct w:val="0"/>
        <w:autoSpaceDE/>
        <w:autoSpaceDN/>
        <w:bidi w:val="0"/>
        <w:adjustRightInd/>
        <w:snapToGrid/>
        <w:textAlignment w:val="auto"/>
      </w:pPr>
    </w:p>
    <w:p w14:paraId="7C939EA1">
      <w:pPr>
        <w:pStyle w:val="2"/>
        <w:bidi w:val="0"/>
      </w:pPr>
    </w:p>
    <w:p w14:paraId="4B9C5083">
      <w:pPr>
        <w:pStyle w:val="2"/>
        <w:widowControl/>
        <w:numPr>
          <w:ilvl w:val="0"/>
          <w:numId w:val="0"/>
        </w:numPr>
        <w:rPr>
          <w:rFonts w:ascii="Times New Roman" w:hAnsi="Times New Roman" w:eastAsia="仿宋_GB2312" w:cs="仿宋_GB2312"/>
          <w:sz w:val="32"/>
          <w:szCs w:val="32"/>
        </w:rPr>
      </w:pPr>
      <w:r>
        <w:rPr>
          <w:rFonts w:ascii="Times New Roman" w:hAnsi="Times New Roman" w:eastAsia="仿宋_GB2312" w:cs="仿宋_GB2312"/>
          <w:sz w:val="32"/>
          <w:szCs w:val="32"/>
        </w:rPr>
        <w:t>附件 1：</w:t>
      </w:r>
    </w:p>
    <w:p w14:paraId="1186E925">
      <w:pPr>
        <w:keepNext w:val="0"/>
        <w:keepLines w:val="0"/>
        <w:pageBreakBefore w:val="0"/>
        <w:widowControl w:val="0"/>
        <w:kinsoku w:val="0"/>
        <w:wordWrap/>
        <w:overflowPunct/>
        <w:topLinePunct w:val="0"/>
        <w:autoSpaceDE w:val="0"/>
        <w:autoSpaceDN w:val="0"/>
        <w:bidi w:val="0"/>
        <w:adjustRightInd w:val="0"/>
        <w:snapToGrid w:val="0"/>
        <w:spacing w:after="0" w:line="240" w:lineRule="auto"/>
        <w:jc w:val="center"/>
        <w:textAlignment w:val="baseline"/>
        <w:outlineLvl w:val="0"/>
        <w:rPr>
          <w:rFonts w:hint="eastAsia" w:ascii="方正小标宋简体" w:hAnsi="方正小标宋简体" w:eastAsia="方正小标宋简体" w:cs="方正小标宋简体"/>
          <w:spacing w:val="5"/>
          <w:sz w:val="43"/>
          <w:szCs w:val="43"/>
        </w:rPr>
      </w:pPr>
      <w:r>
        <w:rPr>
          <w:rFonts w:hint="eastAsia" w:ascii="方正小标宋简体" w:hAnsi="方正小标宋简体" w:eastAsia="方正小标宋简体" w:cs="方正小标宋简体"/>
          <w:spacing w:val="5"/>
          <w:sz w:val="43"/>
          <w:szCs w:val="43"/>
        </w:rPr>
        <w:t>洋县烟草制品零售点合理布局规划</w:t>
      </w:r>
    </w:p>
    <w:p w14:paraId="6AB919CA">
      <w:pPr>
        <w:keepNext w:val="0"/>
        <w:keepLines w:val="0"/>
        <w:pageBreakBefore w:val="0"/>
        <w:widowControl w:val="0"/>
        <w:kinsoku w:val="0"/>
        <w:wordWrap/>
        <w:overflowPunct/>
        <w:topLinePunct w:val="0"/>
        <w:autoSpaceDE w:val="0"/>
        <w:autoSpaceDN w:val="0"/>
        <w:bidi w:val="0"/>
        <w:adjustRightInd w:val="0"/>
        <w:snapToGrid w:val="0"/>
        <w:spacing w:after="0" w:line="240" w:lineRule="auto"/>
        <w:jc w:val="center"/>
        <w:textAlignment w:val="baseline"/>
        <w:outlineLvl w:val="0"/>
        <w:rPr>
          <w:rFonts w:hint="eastAsia" w:eastAsia="方正小标宋简体"/>
          <w:lang w:eastAsia="zh-CN"/>
        </w:rPr>
      </w:pPr>
      <w:r>
        <w:rPr>
          <w:rFonts w:hint="eastAsia" w:ascii="方正小标宋简体" w:hAnsi="方正小标宋简体" w:eastAsia="方正小标宋简体" w:cs="方正小标宋简体"/>
          <w:spacing w:val="5"/>
          <w:sz w:val="43"/>
          <w:szCs w:val="43"/>
        </w:rPr>
        <w:t>区域划分公示表</w:t>
      </w:r>
      <w:r>
        <w:rPr>
          <w:rFonts w:hint="eastAsia" w:ascii="方正小标宋简体" w:hAnsi="方正小标宋简体" w:eastAsia="方正小标宋简体" w:cs="方正小标宋简体"/>
          <w:spacing w:val="5"/>
          <w:sz w:val="43"/>
          <w:szCs w:val="43"/>
          <w:lang w:eastAsia="zh-CN"/>
        </w:rPr>
        <w:t>（</w:t>
      </w:r>
      <w:r>
        <w:rPr>
          <w:rFonts w:hint="eastAsia" w:ascii="方正小标宋简体" w:hAnsi="方正小标宋简体" w:eastAsia="方正小标宋简体" w:cs="方正小标宋简体"/>
          <w:spacing w:val="5"/>
          <w:sz w:val="43"/>
          <w:szCs w:val="43"/>
          <w:lang w:val="en-US" w:eastAsia="zh-CN"/>
        </w:rPr>
        <w:t>模板</w:t>
      </w:r>
      <w:r>
        <w:rPr>
          <w:rFonts w:hint="eastAsia" w:ascii="方正小标宋简体" w:hAnsi="方正小标宋简体" w:eastAsia="方正小标宋简体" w:cs="方正小标宋简体"/>
          <w:spacing w:val="5"/>
          <w:sz w:val="43"/>
          <w:szCs w:val="43"/>
          <w:lang w:eastAsia="zh-CN"/>
        </w:rPr>
        <w:t>）</w:t>
      </w:r>
    </w:p>
    <w:tbl>
      <w:tblPr>
        <w:tblStyle w:val="33"/>
        <w:tblW w:w="526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32"/>
        <w:gridCol w:w="1357"/>
        <w:gridCol w:w="1541"/>
        <w:gridCol w:w="2075"/>
        <w:gridCol w:w="678"/>
        <w:gridCol w:w="1757"/>
        <w:gridCol w:w="1094"/>
      </w:tblGrid>
      <w:tr w14:paraId="7ADFF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80" w:hRule="atLeast"/>
        </w:trPr>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5A640">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ascii="黑体" w:hAnsi="宋体" w:eastAsia="黑体" w:cs="黑体"/>
                <w:b/>
                <w:bCs/>
                <w:i w:val="0"/>
                <w:iCs w:val="0"/>
                <w:color w:val="000000"/>
                <w:sz w:val="20"/>
                <w:szCs w:val="20"/>
                <w:u w:val="none"/>
              </w:rPr>
            </w:pPr>
            <w:r>
              <w:rPr>
                <w:rFonts w:hint="eastAsia" w:ascii="黑体" w:hAnsi="宋体" w:eastAsia="黑体" w:cs="黑体"/>
                <w:b/>
                <w:bCs/>
                <w:i w:val="0"/>
                <w:iCs w:val="0"/>
                <w:color w:val="000000"/>
                <w:kern w:val="0"/>
                <w:sz w:val="20"/>
                <w:szCs w:val="20"/>
                <w:u w:val="none"/>
                <w:lang w:val="en-US" w:eastAsia="zh-CN" w:bidi="ar"/>
              </w:rPr>
              <w:t>镇办</w:t>
            </w:r>
          </w:p>
        </w:tc>
        <w:tc>
          <w:tcPr>
            <w:tcW w:w="7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EE1FE">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b/>
                <w:bCs/>
                <w:i w:val="0"/>
                <w:iCs w:val="0"/>
                <w:color w:val="000000"/>
                <w:sz w:val="20"/>
                <w:szCs w:val="20"/>
                <w:u w:val="none"/>
              </w:rPr>
            </w:pPr>
            <w:r>
              <w:rPr>
                <w:rFonts w:hint="eastAsia" w:ascii="黑体" w:hAnsi="宋体" w:eastAsia="黑体" w:cs="黑体"/>
                <w:b/>
                <w:bCs/>
                <w:i w:val="0"/>
                <w:iCs w:val="0"/>
                <w:color w:val="000000"/>
                <w:kern w:val="0"/>
                <w:sz w:val="20"/>
                <w:szCs w:val="20"/>
                <w:u w:val="none"/>
                <w:lang w:val="en-US" w:eastAsia="zh-CN" w:bidi="ar"/>
              </w:rPr>
              <w:t>社区名称</w:t>
            </w:r>
          </w:p>
        </w:tc>
        <w:tc>
          <w:tcPr>
            <w:tcW w:w="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0034A">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b/>
                <w:bCs/>
                <w:i w:val="0"/>
                <w:iCs w:val="0"/>
                <w:color w:val="000000"/>
                <w:sz w:val="20"/>
                <w:szCs w:val="20"/>
                <w:u w:val="none"/>
              </w:rPr>
            </w:pPr>
            <w:r>
              <w:rPr>
                <w:rFonts w:hint="eastAsia" w:ascii="黑体" w:hAnsi="宋体" w:eastAsia="黑体" w:cs="黑体"/>
                <w:b/>
                <w:bCs/>
                <w:i w:val="0"/>
                <w:iCs w:val="0"/>
                <w:color w:val="000000"/>
                <w:kern w:val="0"/>
                <w:sz w:val="20"/>
                <w:szCs w:val="20"/>
                <w:u w:val="none"/>
                <w:lang w:val="en-US" w:eastAsia="zh-CN" w:bidi="ar"/>
              </w:rPr>
              <w:t>布局模式</w:t>
            </w:r>
          </w:p>
        </w:tc>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D3EDA">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市场单元类型</w:t>
            </w:r>
          </w:p>
        </w:tc>
        <w:tc>
          <w:tcPr>
            <w:tcW w:w="12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B9EDD7">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区域间距标准（米）</w:t>
            </w: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84EBB">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备注</w:t>
            </w:r>
          </w:p>
        </w:tc>
      </w:tr>
      <w:tr w14:paraId="2E34E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E7DE9">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洋州街道</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F58CE">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北街社区居委会</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B9B51">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距离控制</w:t>
            </w:r>
          </w:p>
        </w:tc>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79567">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城区</w:t>
            </w:r>
          </w:p>
        </w:tc>
        <w:tc>
          <w:tcPr>
            <w:tcW w:w="12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DA82E7">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50</w:t>
            </w: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98D81">
            <w:pPr>
              <w:keepNext w:val="0"/>
              <w:keepLines w:val="0"/>
              <w:pageBreakBefore w:val="0"/>
              <w:widowControl/>
              <w:kinsoku/>
              <w:wordWrap/>
              <w:overflowPunct/>
              <w:topLinePunct w:val="0"/>
              <w:autoSpaceDE/>
              <w:autoSpaceDN/>
              <w:bidi w:val="0"/>
              <w:adjustRightInd/>
              <w:snapToGrid w:val="0"/>
              <w:spacing w:after="0" w:line="240" w:lineRule="auto"/>
              <w:jc w:val="center"/>
              <w:rPr>
                <w:rFonts w:hint="eastAsia" w:ascii="黑体" w:hAnsi="宋体" w:eastAsia="黑体" w:cs="黑体"/>
                <w:i w:val="0"/>
                <w:iCs w:val="0"/>
                <w:color w:val="000000"/>
                <w:sz w:val="20"/>
                <w:szCs w:val="20"/>
                <w:u w:val="none"/>
              </w:rPr>
            </w:pPr>
          </w:p>
        </w:tc>
      </w:tr>
      <w:tr w14:paraId="040BD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3684D">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洋州街道</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7EBF8">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东城社区居委会</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69870">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距离控制</w:t>
            </w:r>
          </w:p>
        </w:tc>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3954D">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城区</w:t>
            </w:r>
          </w:p>
        </w:tc>
        <w:tc>
          <w:tcPr>
            <w:tcW w:w="12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DBA1D0">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50</w:t>
            </w: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50941">
            <w:pPr>
              <w:keepNext w:val="0"/>
              <w:keepLines w:val="0"/>
              <w:pageBreakBefore w:val="0"/>
              <w:widowControl/>
              <w:kinsoku/>
              <w:wordWrap/>
              <w:overflowPunct/>
              <w:topLinePunct w:val="0"/>
              <w:autoSpaceDE/>
              <w:autoSpaceDN/>
              <w:bidi w:val="0"/>
              <w:adjustRightInd/>
              <w:snapToGrid w:val="0"/>
              <w:spacing w:after="0" w:line="240" w:lineRule="auto"/>
              <w:jc w:val="center"/>
              <w:rPr>
                <w:rFonts w:hint="eastAsia" w:ascii="黑体" w:hAnsi="宋体" w:eastAsia="黑体" w:cs="黑体"/>
                <w:i w:val="0"/>
                <w:iCs w:val="0"/>
                <w:color w:val="000000"/>
                <w:sz w:val="20"/>
                <w:szCs w:val="20"/>
                <w:u w:val="none"/>
              </w:rPr>
            </w:pPr>
          </w:p>
        </w:tc>
      </w:tr>
      <w:tr w14:paraId="335CB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EF2E3">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洋州街道</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6892D">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东街社区居委会</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80123">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距离控制</w:t>
            </w:r>
          </w:p>
        </w:tc>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FDD1B">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城区</w:t>
            </w:r>
          </w:p>
        </w:tc>
        <w:tc>
          <w:tcPr>
            <w:tcW w:w="12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1694D1">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50</w:t>
            </w: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4708C">
            <w:pPr>
              <w:keepNext w:val="0"/>
              <w:keepLines w:val="0"/>
              <w:pageBreakBefore w:val="0"/>
              <w:widowControl/>
              <w:kinsoku/>
              <w:wordWrap/>
              <w:overflowPunct/>
              <w:topLinePunct w:val="0"/>
              <w:autoSpaceDE/>
              <w:autoSpaceDN/>
              <w:bidi w:val="0"/>
              <w:adjustRightInd/>
              <w:snapToGrid w:val="0"/>
              <w:spacing w:after="0" w:line="240" w:lineRule="auto"/>
              <w:jc w:val="center"/>
              <w:rPr>
                <w:rFonts w:hint="eastAsia" w:ascii="黑体" w:hAnsi="宋体" w:eastAsia="黑体" w:cs="黑体"/>
                <w:i w:val="0"/>
                <w:iCs w:val="0"/>
                <w:color w:val="000000"/>
                <w:sz w:val="20"/>
                <w:szCs w:val="20"/>
                <w:u w:val="none"/>
              </w:rPr>
            </w:pPr>
          </w:p>
        </w:tc>
      </w:tr>
      <w:tr w14:paraId="59CC9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57A9B">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谢村镇</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4ECD1">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下溢水村委会</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317EC">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距离控制</w:t>
            </w:r>
          </w:p>
        </w:tc>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3341B">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大型企业社区</w:t>
            </w:r>
          </w:p>
        </w:tc>
        <w:tc>
          <w:tcPr>
            <w:tcW w:w="12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CD0899">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50</w:t>
            </w: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6BEDB">
            <w:pPr>
              <w:keepNext w:val="0"/>
              <w:keepLines w:val="0"/>
              <w:pageBreakBefore w:val="0"/>
              <w:widowControl/>
              <w:kinsoku/>
              <w:wordWrap/>
              <w:overflowPunct/>
              <w:topLinePunct w:val="0"/>
              <w:autoSpaceDE/>
              <w:autoSpaceDN/>
              <w:bidi w:val="0"/>
              <w:adjustRightInd/>
              <w:snapToGrid w:val="0"/>
              <w:spacing w:after="0" w:line="240" w:lineRule="auto"/>
              <w:jc w:val="center"/>
              <w:rPr>
                <w:rFonts w:hint="eastAsia" w:ascii="黑体" w:hAnsi="宋体" w:eastAsia="黑体" w:cs="黑体"/>
                <w:i w:val="0"/>
                <w:iCs w:val="0"/>
                <w:color w:val="000000"/>
                <w:sz w:val="20"/>
                <w:szCs w:val="20"/>
                <w:u w:val="none"/>
              </w:rPr>
            </w:pPr>
          </w:p>
        </w:tc>
      </w:tr>
      <w:tr w14:paraId="69289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C41AE">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谢村镇</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699FF">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中核405社区</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E8E5A">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距离控制</w:t>
            </w:r>
          </w:p>
        </w:tc>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7DB83">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大型企业社区</w:t>
            </w:r>
          </w:p>
        </w:tc>
        <w:tc>
          <w:tcPr>
            <w:tcW w:w="12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3F449B">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50</w:t>
            </w: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99B3C">
            <w:pPr>
              <w:keepNext w:val="0"/>
              <w:keepLines w:val="0"/>
              <w:pageBreakBefore w:val="0"/>
              <w:widowControl/>
              <w:kinsoku/>
              <w:wordWrap/>
              <w:overflowPunct/>
              <w:topLinePunct w:val="0"/>
              <w:autoSpaceDE/>
              <w:autoSpaceDN/>
              <w:bidi w:val="0"/>
              <w:adjustRightInd/>
              <w:snapToGrid w:val="0"/>
              <w:spacing w:after="0" w:line="240" w:lineRule="auto"/>
              <w:jc w:val="center"/>
              <w:rPr>
                <w:rFonts w:hint="eastAsia" w:ascii="黑体" w:hAnsi="宋体" w:eastAsia="黑体" w:cs="黑体"/>
                <w:i w:val="0"/>
                <w:iCs w:val="0"/>
                <w:color w:val="000000"/>
                <w:sz w:val="20"/>
                <w:szCs w:val="20"/>
                <w:u w:val="none"/>
              </w:rPr>
            </w:pPr>
          </w:p>
        </w:tc>
      </w:tr>
      <w:tr w14:paraId="29C60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71555">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磨子桥镇</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158A8">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杨家湾村委会</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C5AF4">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距离控制</w:t>
            </w:r>
          </w:p>
        </w:tc>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3DA95">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城乡接壤区域</w:t>
            </w:r>
          </w:p>
        </w:tc>
        <w:tc>
          <w:tcPr>
            <w:tcW w:w="12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0D52C9">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50</w:t>
            </w: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37430">
            <w:pPr>
              <w:keepNext w:val="0"/>
              <w:keepLines w:val="0"/>
              <w:pageBreakBefore w:val="0"/>
              <w:widowControl/>
              <w:kinsoku/>
              <w:wordWrap/>
              <w:overflowPunct/>
              <w:topLinePunct w:val="0"/>
              <w:autoSpaceDE/>
              <w:autoSpaceDN/>
              <w:bidi w:val="0"/>
              <w:adjustRightInd/>
              <w:snapToGrid w:val="0"/>
              <w:spacing w:after="0" w:line="240" w:lineRule="auto"/>
              <w:jc w:val="center"/>
              <w:rPr>
                <w:rFonts w:hint="eastAsia" w:ascii="黑体" w:hAnsi="宋体" w:eastAsia="黑体" w:cs="黑体"/>
                <w:i w:val="0"/>
                <w:iCs w:val="0"/>
                <w:color w:val="000000"/>
                <w:sz w:val="20"/>
                <w:szCs w:val="20"/>
                <w:u w:val="none"/>
              </w:rPr>
            </w:pPr>
          </w:p>
        </w:tc>
      </w:tr>
      <w:tr w14:paraId="010A2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AB872">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戚氏街道</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16BBE">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五郎庙社区居民委员会</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298EF">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距离控制</w:t>
            </w:r>
          </w:p>
        </w:tc>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F9FD1">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城乡接壤区域</w:t>
            </w:r>
          </w:p>
        </w:tc>
        <w:tc>
          <w:tcPr>
            <w:tcW w:w="12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249BD4">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50</w:t>
            </w: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8A72D">
            <w:pPr>
              <w:keepNext w:val="0"/>
              <w:keepLines w:val="0"/>
              <w:pageBreakBefore w:val="0"/>
              <w:widowControl/>
              <w:kinsoku/>
              <w:wordWrap/>
              <w:overflowPunct/>
              <w:topLinePunct w:val="0"/>
              <w:autoSpaceDE/>
              <w:autoSpaceDN/>
              <w:bidi w:val="0"/>
              <w:adjustRightInd/>
              <w:snapToGrid w:val="0"/>
              <w:spacing w:after="0" w:line="240" w:lineRule="auto"/>
              <w:jc w:val="center"/>
              <w:rPr>
                <w:rFonts w:hint="eastAsia" w:ascii="黑体" w:hAnsi="宋体" w:eastAsia="黑体" w:cs="黑体"/>
                <w:i w:val="0"/>
                <w:iCs w:val="0"/>
                <w:color w:val="000000"/>
                <w:sz w:val="20"/>
                <w:szCs w:val="20"/>
                <w:u w:val="none"/>
              </w:rPr>
            </w:pPr>
          </w:p>
        </w:tc>
      </w:tr>
      <w:tr w14:paraId="496F5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C3170">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戚氏街道</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D18B0">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竹园村委会</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4E3EF">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距离控制</w:t>
            </w:r>
          </w:p>
        </w:tc>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0FC12">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城乡接壤区域</w:t>
            </w:r>
          </w:p>
        </w:tc>
        <w:tc>
          <w:tcPr>
            <w:tcW w:w="12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FE66BC">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50</w:t>
            </w: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DEECD">
            <w:pPr>
              <w:keepNext w:val="0"/>
              <w:keepLines w:val="0"/>
              <w:pageBreakBefore w:val="0"/>
              <w:widowControl/>
              <w:kinsoku/>
              <w:wordWrap/>
              <w:overflowPunct/>
              <w:topLinePunct w:val="0"/>
              <w:autoSpaceDE/>
              <w:autoSpaceDN/>
              <w:bidi w:val="0"/>
              <w:adjustRightInd/>
              <w:snapToGrid w:val="0"/>
              <w:spacing w:after="0" w:line="240" w:lineRule="auto"/>
              <w:jc w:val="center"/>
              <w:rPr>
                <w:rFonts w:hint="eastAsia" w:ascii="黑体" w:hAnsi="宋体" w:eastAsia="黑体" w:cs="黑体"/>
                <w:i w:val="0"/>
                <w:iCs w:val="0"/>
                <w:color w:val="000000"/>
                <w:sz w:val="20"/>
                <w:szCs w:val="20"/>
                <w:u w:val="none"/>
              </w:rPr>
            </w:pPr>
          </w:p>
        </w:tc>
      </w:tr>
      <w:tr w14:paraId="50994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3DB7B">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黄安镇</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8CA34">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黄安村委会</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1B41F">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距离控制</w:t>
            </w:r>
          </w:p>
        </w:tc>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00E53">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集镇</w:t>
            </w:r>
          </w:p>
        </w:tc>
        <w:tc>
          <w:tcPr>
            <w:tcW w:w="12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34D114">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50</w:t>
            </w: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87ADC">
            <w:pPr>
              <w:keepNext w:val="0"/>
              <w:keepLines w:val="0"/>
              <w:pageBreakBefore w:val="0"/>
              <w:widowControl/>
              <w:kinsoku/>
              <w:wordWrap/>
              <w:overflowPunct/>
              <w:topLinePunct w:val="0"/>
              <w:autoSpaceDE/>
              <w:autoSpaceDN/>
              <w:bidi w:val="0"/>
              <w:adjustRightInd/>
              <w:snapToGrid w:val="0"/>
              <w:spacing w:after="0" w:line="240" w:lineRule="auto"/>
              <w:jc w:val="center"/>
              <w:rPr>
                <w:rFonts w:hint="eastAsia" w:ascii="黑体" w:hAnsi="宋体" w:eastAsia="黑体" w:cs="黑体"/>
                <w:i w:val="0"/>
                <w:iCs w:val="0"/>
                <w:color w:val="000000"/>
                <w:sz w:val="20"/>
                <w:szCs w:val="20"/>
                <w:u w:val="none"/>
              </w:rPr>
            </w:pPr>
          </w:p>
        </w:tc>
      </w:tr>
      <w:tr w14:paraId="7911B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C5E94">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黄安镇</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6E138">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朴树村委会</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A21A9">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距离控制</w:t>
            </w:r>
          </w:p>
        </w:tc>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9E330">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集镇</w:t>
            </w:r>
          </w:p>
        </w:tc>
        <w:tc>
          <w:tcPr>
            <w:tcW w:w="12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010AC4">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50</w:t>
            </w: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C96C3">
            <w:pPr>
              <w:keepNext w:val="0"/>
              <w:keepLines w:val="0"/>
              <w:pageBreakBefore w:val="0"/>
              <w:widowControl/>
              <w:kinsoku/>
              <w:wordWrap/>
              <w:overflowPunct/>
              <w:topLinePunct w:val="0"/>
              <w:autoSpaceDE/>
              <w:autoSpaceDN/>
              <w:bidi w:val="0"/>
              <w:adjustRightInd/>
              <w:snapToGrid w:val="0"/>
              <w:spacing w:after="0" w:line="240" w:lineRule="auto"/>
              <w:jc w:val="center"/>
              <w:rPr>
                <w:rFonts w:hint="eastAsia" w:ascii="黑体" w:hAnsi="宋体" w:eastAsia="黑体" w:cs="黑体"/>
                <w:i w:val="0"/>
                <w:iCs w:val="0"/>
                <w:color w:val="000000"/>
                <w:sz w:val="20"/>
                <w:szCs w:val="20"/>
                <w:u w:val="none"/>
              </w:rPr>
            </w:pPr>
          </w:p>
        </w:tc>
      </w:tr>
      <w:tr w14:paraId="67ACE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9272C">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马畅镇</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962E6">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安巷村委会</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0576D">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距离控制</w:t>
            </w:r>
          </w:p>
        </w:tc>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F431E">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集镇</w:t>
            </w:r>
          </w:p>
        </w:tc>
        <w:tc>
          <w:tcPr>
            <w:tcW w:w="12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CBDBE2">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50</w:t>
            </w: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BE2F1">
            <w:pPr>
              <w:keepNext w:val="0"/>
              <w:keepLines w:val="0"/>
              <w:pageBreakBefore w:val="0"/>
              <w:widowControl/>
              <w:kinsoku/>
              <w:wordWrap/>
              <w:overflowPunct/>
              <w:topLinePunct w:val="0"/>
              <w:autoSpaceDE/>
              <w:autoSpaceDN/>
              <w:bidi w:val="0"/>
              <w:adjustRightInd/>
              <w:snapToGrid w:val="0"/>
              <w:spacing w:after="0" w:line="240" w:lineRule="auto"/>
              <w:jc w:val="center"/>
              <w:rPr>
                <w:rFonts w:hint="eastAsia" w:ascii="黑体" w:hAnsi="宋体" w:eastAsia="黑体" w:cs="黑体"/>
                <w:i w:val="0"/>
                <w:iCs w:val="0"/>
                <w:color w:val="000000"/>
                <w:sz w:val="20"/>
                <w:szCs w:val="20"/>
                <w:u w:val="none"/>
              </w:rPr>
            </w:pPr>
          </w:p>
        </w:tc>
      </w:tr>
      <w:tr w14:paraId="15A40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6B484">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马畅镇</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3D92E">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东社村委会</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9A030">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距离控制</w:t>
            </w:r>
          </w:p>
        </w:tc>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E1F2C">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集镇</w:t>
            </w:r>
          </w:p>
        </w:tc>
        <w:tc>
          <w:tcPr>
            <w:tcW w:w="12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F1435C">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50</w:t>
            </w: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4C654">
            <w:pPr>
              <w:keepNext w:val="0"/>
              <w:keepLines w:val="0"/>
              <w:pageBreakBefore w:val="0"/>
              <w:widowControl/>
              <w:kinsoku/>
              <w:wordWrap/>
              <w:overflowPunct/>
              <w:topLinePunct w:val="0"/>
              <w:autoSpaceDE/>
              <w:autoSpaceDN/>
              <w:bidi w:val="0"/>
              <w:adjustRightInd/>
              <w:snapToGrid w:val="0"/>
              <w:spacing w:after="0" w:line="240" w:lineRule="auto"/>
              <w:jc w:val="center"/>
              <w:rPr>
                <w:rFonts w:hint="eastAsia" w:ascii="黑体" w:hAnsi="宋体" w:eastAsia="黑体" w:cs="黑体"/>
                <w:i w:val="0"/>
                <w:iCs w:val="0"/>
                <w:color w:val="000000"/>
                <w:sz w:val="20"/>
                <w:szCs w:val="20"/>
                <w:u w:val="none"/>
              </w:rPr>
            </w:pPr>
          </w:p>
        </w:tc>
      </w:tr>
      <w:tr w14:paraId="08298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4459C">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马畅镇</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06167">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高堡村委会</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2F782">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距离控制</w:t>
            </w:r>
          </w:p>
        </w:tc>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E8422">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集镇</w:t>
            </w:r>
          </w:p>
        </w:tc>
        <w:tc>
          <w:tcPr>
            <w:tcW w:w="12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E88BEE">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50</w:t>
            </w: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A771C">
            <w:pPr>
              <w:keepNext w:val="0"/>
              <w:keepLines w:val="0"/>
              <w:pageBreakBefore w:val="0"/>
              <w:widowControl/>
              <w:kinsoku/>
              <w:wordWrap/>
              <w:overflowPunct/>
              <w:topLinePunct w:val="0"/>
              <w:autoSpaceDE/>
              <w:autoSpaceDN/>
              <w:bidi w:val="0"/>
              <w:adjustRightInd/>
              <w:snapToGrid w:val="0"/>
              <w:spacing w:after="0" w:line="240" w:lineRule="auto"/>
              <w:jc w:val="center"/>
              <w:rPr>
                <w:rFonts w:hint="eastAsia" w:ascii="黑体" w:hAnsi="宋体" w:eastAsia="黑体" w:cs="黑体"/>
                <w:i w:val="0"/>
                <w:iCs w:val="0"/>
                <w:color w:val="000000"/>
                <w:sz w:val="20"/>
                <w:szCs w:val="20"/>
                <w:u w:val="none"/>
              </w:rPr>
            </w:pPr>
          </w:p>
        </w:tc>
      </w:tr>
      <w:tr w14:paraId="11589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5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49F6E">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b/>
                <w:bCs/>
                <w:i w:val="0"/>
                <w:iCs w:val="0"/>
                <w:color w:val="000000"/>
                <w:sz w:val="20"/>
                <w:szCs w:val="20"/>
                <w:u w:val="none"/>
              </w:rPr>
            </w:pPr>
            <w:r>
              <w:rPr>
                <w:rFonts w:hint="eastAsia" w:ascii="黑体" w:hAnsi="宋体" w:eastAsia="黑体" w:cs="黑体"/>
                <w:b/>
                <w:bCs/>
                <w:i w:val="0"/>
                <w:iCs w:val="0"/>
                <w:color w:val="000000"/>
                <w:kern w:val="0"/>
                <w:sz w:val="20"/>
                <w:szCs w:val="20"/>
                <w:u w:val="none"/>
                <w:lang w:val="en-US" w:eastAsia="zh-CN" w:bidi="ar"/>
              </w:rPr>
              <w:t>镇办</w:t>
            </w:r>
          </w:p>
        </w:tc>
        <w:tc>
          <w:tcPr>
            <w:tcW w:w="7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8E087">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b/>
                <w:bCs/>
                <w:i w:val="0"/>
                <w:iCs w:val="0"/>
                <w:color w:val="000000"/>
                <w:sz w:val="20"/>
                <w:szCs w:val="20"/>
                <w:u w:val="none"/>
              </w:rPr>
            </w:pPr>
            <w:r>
              <w:rPr>
                <w:rFonts w:hint="eastAsia" w:ascii="黑体" w:hAnsi="宋体" w:eastAsia="黑体" w:cs="黑体"/>
                <w:b/>
                <w:bCs/>
                <w:i w:val="0"/>
                <w:iCs w:val="0"/>
                <w:color w:val="000000"/>
                <w:kern w:val="0"/>
                <w:sz w:val="20"/>
                <w:szCs w:val="20"/>
                <w:u w:val="none"/>
                <w:lang w:val="en-US" w:eastAsia="zh-CN" w:bidi="ar"/>
              </w:rPr>
              <w:t>社区名称</w:t>
            </w:r>
          </w:p>
        </w:tc>
        <w:tc>
          <w:tcPr>
            <w:tcW w:w="8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15DAE">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b/>
                <w:bCs/>
                <w:i w:val="0"/>
                <w:iCs w:val="0"/>
                <w:color w:val="000000"/>
                <w:sz w:val="20"/>
                <w:szCs w:val="20"/>
                <w:u w:val="none"/>
              </w:rPr>
            </w:pPr>
            <w:r>
              <w:rPr>
                <w:rFonts w:hint="eastAsia" w:ascii="黑体" w:hAnsi="宋体" w:eastAsia="黑体" w:cs="黑体"/>
                <w:b/>
                <w:bCs/>
                <w:i w:val="0"/>
                <w:iCs w:val="0"/>
                <w:color w:val="000000"/>
                <w:kern w:val="0"/>
                <w:sz w:val="20"/>
                <w:szCs w:val="20"/>
                <w:u w:val="none"/>
                <w:lang w:val="en-US" w:eastAsia="zh-CN" w:bidi="ar"/>
              </w:rPr>
              <w:t>布局模式</w:t>
            </w:r>
          </w:p>
        </w:tc>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7DD3A">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市场单元类型</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A7AA8">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规划数量</w:t>
            </w:r>
          </w:p>
        </w:tc>
        <w:tc>
          <w:tcPr>
            <w:tcW w:w="9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CA0DB">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区域间距标准（米）</w:t>
            </w: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A4EAF">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备注</w:t>
            </w:r>
          </w:p>
        </w:tc>
      </w:tr>
      <w:tr w14:paraId="11547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6F290">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八里关镇</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6E4A1">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黑峡村委会</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C30A9">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距离+指导数控制</w:t>
            </w:r>
          </w:p>
        </w:tc>
        <w:tc>
          <w:tcPr>
            <w:tcW w:w="10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5C28D">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乡镇行政村</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19FE7">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2</w:t>
            </w:r>
          </w:p>
        </w:tc>
        <w:tc>
          <w:tcPr>
            <w:tcW w:w="9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79D45">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50</w:t>
            </w: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E806E">
            <w:pPr>
              <w:keepNext w:val="0"/>
              <w:keepLines w:val="0"/>
              <w:pageBreakBefore w:val="0"/>
              <w:widowControl/>
              <w:kinsoku/>
              <w:wordWrap/>
              <w:overflowPunct/>
              <w:topLinePunct w:val="0"/>
              <w:autoSpaceDE/>
              <w:autoSpaceDN/>
              <w:bidi w:val="0"/>
              <w:adjustRightInd/>
              <w:snapToGrid w:val="0"/>
              <w:spacing w:after="0" w:line="240" w:lineRule="auto"/>
              <w:jc w:val="center"/>
              <w:rPr>
                <w:rFonts w:hint="eastAsia" w:ascii="黑体" w:hAnsi="宋体" w:eastAsia="黑体" w:cs="黑体"/>
                <w:i w:val="0"/>
                <w:iCs w:val="0"/>
                <w:color w:val="000000"/>
                <w:sz w:val="20"/>
                <w:szCs w:val="20"/>
                <w:u w:val="none"/>
              </w:rPr>
            </w:pPr>
          </w:p>
        </w:tc>
      </w:tr>
      <w:tr w14:paraId="77070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3D1B7">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八里关镇</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DD146">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龙溪村委会</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B0622">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距离+指导数控制</w:t>
            </w:r>
          </w:p>
        </w:tc>
        <w:tc>
          <w:tcPr>
            <w:tcW w:w="10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C439A">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乡镇行政村</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DE0E4">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3</w:t>
            </w:r>
          </w:p>
        </w:tc>
        <w:tc>
          <w:tcPr>
            <w:tcW w:w="9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F89AC">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50</w:t>
            </w: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0D4DE">
            <w:pPr>
              <w:keepNext w:val="0"/>
              <w:keepLines w:val="0"/>
              <w:pageBreakBefore w:val="0"/>
              <w:widowControl/>
              <w:kinsoku/>
              <w:wordWrap/>
              <w:overflowPunct/>
              <w:topLinePunct w:val="0"/>
              <w:autoSpaceDE/>
              <w:autoSpaceDN/>
              <w:bidi w:val="0"/>
              <w:adjustRightInd/>
              <w:snapToGrid w:val="0"/>
              <w:spacing w:after="0" w:line="240" w:lineRule="auto"/>
              <w:jc w:val="center"/>
              <w:rPr>
                <w:rFonts w:hint="eastAsia" w:ascii="黑体" w:hAnsi="宋体" w:eastAsia="黑体" w:cs="黑体"/>
                <w:i w:val="0"/>
                <w:iCs w:val="0"/>
                <w:color w:val="000000"/>
                <w:sz w:val="20"/>
                <w:szCs w:val="20"/>
                <w:u w:val="none"/>
              </w:rPr>
            </w:pPr>
          </w:p>
        </w:tc>
      </w:tr>
      <w:tr w14:paraId="06D11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98A71">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关帝镇</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E4D26">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安丰村委会</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5F6F3">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距离+指导数控制</w:t>
            </w:r>
          </w:p>
        </w:tc>
        <w:tc>
          <w:tcPr>
            <w:tcW w:w="10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CA83A">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乡镇行政村</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C4462">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1</w:t>
            </w:r>
          </w:p>
        </w:tc>
        <w:tc>
          <w:tcPr>
            <w:tcW w:w="9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DC610">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50</w:t>
            </w: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80746">
            <w:pPr>
              <w:keepNext w:val="0"/>
              <w:keepLines w:val="0"/>
              <w:pageBreakBefore w:val="0"/>
              <w:widowControl/>
              <w:kinsoku/>
              <w:wordWrap/>
              <w:overflowPunct/>
              <w:topLinePunct w:val="0"/>
              <w:autoSpaceDE/>
              <w:autoSpaceDN/>
              <w:bidi w:val="0"/>
              <w:adjustRightInd/>
              <w:snapToGrid w:val="0"/>
              <w:spacing w:after="0" w:line="240" w:lineRule="auto"/>
              <w:jc w:val="center"/>
              <w:rPr>
                <w:rFonts w:hint="eastAsia" w:ascii="黑体" w:hAnsi="宋体" w:eastAsia="黑体" w:cs="黑体"/>
                <w:i w:val="0"/>
                <w:iCs w:val="0"/>
                <w:color w:val="000000"/>
                <w:sz w:val="20"/>
                <w:szCs w:val="20"/>
                <w:u w:val="none"/>
              </w:rPr>
            </w:pPr>
          </w:p>
        </w:tc>
      </w:tr>
      <w:tr w14:paraId="55F41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89D64">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华阳镇</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A7F5C">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汉坝村委会</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92297">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距离+指导数控制</w:t>
            </w:r>
          </w:p>
        </w:tc>
        <w:tc>
          <w:tcPr>
            <w:tcW w:w="10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96F42">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乡镇行政村</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5C296">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4</w:t>
            </w:r>
          </w:p>
        </w:tc>
        <w:tc>
          <w:tcPr>
            <w:tcW w:w="9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30FA1">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50</w:t>
            </w: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FAAD4">
            <w:pPr>
              <w:keepNext w:val="0"/>
              <w:keepLines w:val="0"/>
              <w:pageBreakBefore w:val="0"/>
              <w:widowControl/>
              <w:kinsoku/>
              <w:wordWrap/>
              <w:overflowPunct/>
              <w:topLinePunct w:val="0"/>
              <w:autoSpaceDE/>
              <w:autoSpaceDN/>
              <w:bidi w:val="0"/>
              <w:adjustRightInd/>
              <w:snapToGrid w:val="0"/>
              <w:spacing w:after="0" w:line="240" w:lineRule="auto"/>
              <w:jc w:val="center"/>
              <w:rPr>
                <w:rFonts w:hint="eastAsia" w:ascii="黑体" w:hAnsi="宋体" w:eastAsia="黑体" w:cs="黑体"/>
                <w:i w:val="0"/>
                <w:iCs w:val="0"/>
                <w:color w:val="000000"/>
                <w:sz w:val="20"/>
                <w:szCs w:val="20"/>
                <w:u w:val="none"/>
              </w:rPr>
            </w:pPr>
          </w:p>
        </w:tc>
      </w:tr>
      <w:tr w14:paraId="6D1F8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405B3">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华阳镇</w:t>
            </w:r>
          </w:p>
        </w:tc>
        <w:tc>
          <w:tcPr>
            <w:tcW w:w="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4A866">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红石窑村委会</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69D2F">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距离+指导数控制</w:t>
            </w:r>
          </w:p>
        </w:tc>
        <w:tc>
          <w:tcPr>
            <w:tcW w:w="10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23330">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乡镇行政村</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DBCF7">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3</w:t>
            </w:r>
          </w:p>
        </w:tc>
        <w:tc>
          <w:tcPr>
            <w:tcW w:w="9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5FFF7">
            <w:pPr>
              <w:keepNext w:val="0"/>
              <w:keepLines w:val="0"/>
              <w:pageBreakBefore w:val="0"/>
              <w:widowControl/>
              <w:suppressLineNumbers w:val="0"/>
              <w:kinsoku/>
              <w:wordWrap/>
              <w:overflowPunct/>
              <w:topLinePunct w:val="0"/>
              <w:autoSpaceDE/>
              <w:autoSpaceDN/>
              <w:bidi w:val="0"/>
              <w:adjustRightInd/>
              <w:snapToGrid w:val="0"/>
              <w:spacing w:after="0" w:line="240" w:lineRule="auto"/>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50</w:t>
            </w:r>
          </w:p>
        </w:tc>
        <w:tc>
          <w:tcPr>
            <w:tcW w:w="5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D3D36">
            <w:pPr>
              <w:keepNext w:val="0"/>
              <w:keepLines w:val="0"/>
              <w:pageBreakBefore w:val="0"/>
              <w:widowControl/>
              <w:kinsoku/>
              <w:wordWrap/>
              <w:overflowPunct/>
              <w:topLinePunct w:val="0"/>
              <w:autoSpaceDE/>
              <w:autoSpaceDN/>
              <w:bidi w:val="0"/>
              <w:adjustRightInd/>
              <w:snapToGrid w:val="0"/>
              <w:spacing w:after="0" w:line="240" w:lineRule="auto"/>
              <w:jc w:val="center"/>
              <w:rPr>
                <w:rFonts w:hint="eastAsia" w:ascii="黑体" w:hAnsi="宋体" w:eastAsia="黑体" w:cs="黑体"/>
                <w:i w:val="0"/>
                <w:iCs w:val="0"/>
                <w:color w:val="000000"/>
                <w:sz w:val="20"/>
                <w:szCs w:val="20"/>
                <w:u w:val="none"/>
              </w:rPr>
            </w:pPr>
          </w:p>
        </w:tc>
      </w:tr>
    </w:tbl>
    <w:p w14:paraId="5DA8B35B">
      <w:pPr>
        <w:pStyle w:val="2"/>
        <w:keepNext w:val="0"/>
        <w:keepLines w:val="0"/>
        <w:pageBreakBefore w:val="0"/>
        <w:widowControl w:val="0"/>
        <w:kinsoku w:val="0"/>
        <w:wordWrap/>
        <w:overflowPunct/>
        <w:topLinePunct w:val="0"/>
        <w:autoSpaceDE w:val="0"/>
        <w:autoSpaceDN w:val="0"/>
        <w:bidi w:val="0"/>
        <w:adjustRightInd w:val="0"/>
        <w:snapToGrid w:val="0"/>
        <w:spacing w:before="101" w:line="222" w:lineRule="auto"/>
        <w:ind w:left="0" w:leftChars="0" w:firstLine="0" w:firstLineChars="0"/>
        <w:textAlignment w:val="baseline"/>
        <w:rPr>
          <w:spacing w:val="-14"/>
        </w:rPr>
      </w:pPr>
    </w:p>
    <w:p w14:paraId="7877E8A7">
      <w:pPr>
        <w:pStyle w:val="2"/>
        <w:keepNext w:val="0"/>
        <w:keepLines w:val="0"/>
        <w:pageBreakBefore w:val="0"/>
        <w:widowControl w:val="0"/>
        <w:kinsoku w:val="0"/>
        <w:wordWrap/>
        <w:overflowPunct/>
        <w:topLinePunct w:val="0"/>
        <w:autoSpaceDE w:val="0"/>
        <w:autoSpaceDN w:val="0"/>
        <w:bidi w:val="0"/>
        <w:adjustRightInd w:val="0"/>
        <w:snapToGrid w:val="0"/>
        <w:spacing w:before="101" w:line="222" w:lineRule="auto"/>
        <w:ind w:left="0" w:leftChars="0" w:firstLine="0" w:firstLineChars="0"/>
        <w:textAlignment w:val="baseline"/>
      </w:pPr>
      <w:r>
        <w:rPr>
          <w:spacing w:val="-14"/>
        </w:rPr>
        <w:t>附件</w:t>
      </w:r>
      <w:r>
        <w:rPr>
          <w:rFonts w:hint="eastAsia"/>
          <w:spacing w:val="-14"/>
          <w:lang w:val="en-US" w:eastAsia="zh-CN"/>
        </w:rPr>
        <w:t>2</w:t>
      </w:r>
      <w:r>
        <w:rPr>
          <w:spacing w:val="-14"/>
        </w:rPr>
        <w:t>：</w:t>
      </w:r>
    </w:p>
    <w:p w14:paraId="3F8A1809">
      <w:pPr>
        <w:keepNext w:val="0"/>
        <w:keepLines w:val="0"/>
        <w:pageBreakBefore w:val="0"/>
        <w:widowControl w:val="0"/>
        <w:kinsoku w:val="0"/>
        <w:wordWrap/>
        <w:overflowPunct/>
        <w:topLinePunct w:val="0"/>
        <w:autoSpaceDE w:val="0"/>
        <w:autoSpaceDN w:val="0"/>
        <w:bidi w:val="0"/>
        <w:adjustRightInd w:val="0"/>
        <w:snapToGrid w:val="0"/>
        <w:spacing w:before="80" w:line="214" w:lineRule="auto"/>
        <w:ind w:left="1150"/>
        <w:textAlignment w:val="baseline"/>
        <w:outlineLvl w:val="0"/>
        <w:rPr>
          <w:rFonts w:hint="eastAsia" w:ascii="方正小标宋简体" w:hAnsi="方正小标宋简体" w:eastAsia="方正小标宋简体" w:cs="方正小标宋简体"/>
          <w:sz w:val="43"/>
          <w:szCs w:val="43"/>
        </w:rPr>
      </w:pPr>
      <w:r>
        <w:rPr>
          <w:rFonts w:hint="eastAsia" w:ascii="方正小标宋简体" w:hAnsi="方正小标宋简体" w:eastAsia="方正小标宋简体" w:cs="方正小标宋简体"/>
          <w:spacing w:val="5"/>
          <w:sz w:val="43"/>
          <w:szCs w:val="43"/>
        </w:rPr>
        <w:t>洋县烟草制品零售点现场测量标准</w:t>
      </w:r>
    </w:p>
    <w:p w14:paraId="48A3F1D2">
      <w:pPr>
        <w:pStyle w:val="2"/>
        <w:keepNext w:val="0"/>
        <w:keepLines w:val="0"/>
        <w:pageBreakBefore w:val="0"/>
        <w:widowControl w:val="0"/>
        <w:kinsoku w:val="0"/>
        <w:wordWrap/>
        <w:overflowPunct/>
        <w:topLinePunct w:val="0"/>
        <w:autoSpaceDE w:val="0"/>
        <w:autoSpaceDN w:val="0"/>
        <w:bidi w:val="0"/>
        <w:adjustRightInd w:val="0"/>
        <w:snapToGrid w:val="0"/>
        <w:spacing w:after="0" w:line="560" w:lineRule="exact"/>
        <w:ind w:firstLine="660" w:firstLineChars="200"/>
        <w:jc w:val="both"/>
        <w:textAlignment w:val="baseline"/>
        <w:rPr>
          <w:sz w:val="32"/>
          <w:szCs w:val="32"/>
        </w:rPr>
      </w:pPr>
      <w:r>
        <w:rPr>
          <w:spacing w:val="5"/>
          <w:sz w:val="32"/>
          <w:szCs w:val="32"/>
        </w:rPr>
        <w:t>为统一、规范现场测量标准，确保烟草制品零售点实地勘验</w:t>
      </w:r>
      <w:r>
        <w:rPr>
          <w:spacing w:val="11"/>
          <w:sz w:val="32"/>
          <w:szCs w:val="32"/>
        </w:rPr>
        <w:t>公开、公平、公正，依据《洋县烟草制品零售点合理布局规划》</w:t>
      </w:r>
      <w:r>
        <w:rPr>
          <w:spacing w:val="-4"/>
          <w:sz w:val="32"/>
          <w:szCs w:val="32"/>
        </w:rPr>
        <w:t>（以下简称《合理布局规划》</w:t>
      </w:r>
      <w:r>
        <w:rPr>
          <w:spacing w:val="-62"/>
          <w:sz w:val="32"/>
          <w:szCs w:val="32"/>
        </w:rPr>
        <w:t>），</w:t>
      </w:r>
      <w:r>
        <w:rPr>
          <w:spacing w:val="-4"/>
          <w:sz w:val="32"/>
          <w:szCs w:val="32"/>
        </w:rPr>
        <w:t>制定本标准。</w:t>
      </w:r>
    </w:p>
    <w:p w14:paraId="2CA531CC">
      <w:pPr>
        <w:pStyle w:val="2"/>
        <w:keepNext w:val="0"/>
        <w:keepLines w:val="0"/>
        <w:pageBreakBefore w:val="0"/>
        <w:widowControl w:val="0"/>
        <w:kinsoku w:val="0"/>
        <w:wordWrap/>
        <w:overflowPunct/>
        <w:topLinePunct w:val="0"/>
        <w:autoSpaceDE w:val="0"/>
        <w:autoSpaceDN w:val="0"/>
        <w:bidi w:val="0"/>
        <w:adjustRightInd w:val="0"/>
        <w:snapToGrid w:val="0"/>
        <w:spacing w:after="0" w:line="560" w:lineRule="exact"/>
        <w:ind w:left="13" w:right="147" w:firstLine="684" w:firstLineChars="200"/>
        <w:jc w:val="both"/>
        <w:textAlignment w:val="baseline"/>
        <w:rPr>
          <w:sz w:val="32"/>
          <w:szCs w:val="32"/>
        </w:rPr>
      </w:pPr>
      <w:r>
        <w:rPr>
          <w:rFonts w:ascii="黑体" w:hAnsi="黑体" w:eastAsia="黑体" w:cs="黑体"/>
          <w:spacing w:val="11"/>
          <w:sz w:val="32"/>
          <w:szCs w:val="32"/>
        </w:rPr>
        <w:t>第一条</w:t>
      </w:r>
      <w:r>
        <w:rPr>
          <w:rFonts w:hint="eastAsia" w:ascii="黑体" w:hAnsi="黑体" w:eastAsia="黑体" w:cs="黑体"/>
          <w:spacing w:val="11"/>
          <w:sz w:val="32"/>
          <w:szCs w:val="32"/>
          <w:lang w:val="en-US" w:eastAsia="zh-CN"/>
        </w:rPr>
        <w:t xml:space="preserve"> </w:t>
      </w:r>
      <w:r>
        <w:rPr>
          <w:spacing w:val="11"/>
          <w:sz w:val="32"/>
          <w:szCs w:val="32"/>
        </w:rPr>
        <w:t>本标准适用于洋县烟草专卖局对烟草制品零售点布</w:t>
      </w:r>
      <w:r>
        <w:rPr>
          <w:spacing w:val="3"/>
          <w:sz w:val="32"/>
          <w:szCs w:val="32"/>
        </w:rPr>
        <w:t>局的现场测量工作。</w:t>
      </w:r>
    </w:p>
    <w:p w14:paraId="7F07EBCE">
      <w:pPr>
        <w:pStyle w:val="2"/>
        <w:keepNext w:val="0"/>
        <w:keepLines w:val="0"/>
        <w:pageBreakBefore w:val="0"/>
        <w:widowControl w:val="0"/>
        <w:kinsoku w:val="0"/>
        <w:wordWrap/>
        <w:overflowPunct/>
        <w:topLinePunct w:val="0"/>
        <w:autoSpaceDE w:val="0"/>
        <w:autoSpaceDN w:val="0"/>
        <w:bidi w:val="0"/>
        <w:adjustRightInd w:val="0"/>
        <w:snapToGrid w:val="0"/>
        <w:spacing w:after="0" w:line="560" w:lineRule="exact"/>
        <w:ind w:left="11" w:right="147" w:firstLine="684" w:firstLineChars="200"/>
        <w:jc w:val="both"/>
        <w:textAlignment w:val="baseline"/>
        <w:rPr>
          <w:sz w:val="32"/>
          <w:szCs w:val="32"/>
        </w:rPr>
      </w:pPr>
      <w:r>
        <w:rPr>
          <w:rFonts w:ascii="黑体" w:hAnsi="黑体" w:eastAsia="黑体" w:cs="黑体"/>
          <w:spacing w:val="11"/>
          <w:sz w:val="32"/>
          <w:szCs w:val="32"/>
        </w:rPr>
        <w:t>第二条</w:t>
      </w:r>
      <w:r>
        <w:rPr>
          <w:rFonts w:hint="eastAsia" w:ascii="黑体" w:hAnsi="黑体" w:eastAsia="黑体" w:cs="黑体"/>
          <w:spacing w:val="11"/>
          <w:sz w:val="32"/>
          <w:szCs w:val="32"/>
          <w:lang w:val="en-US" w:eastAsia="zh-CN"/>
        </w:rPr>
        <w:t xml:space="preserve"> </w:t>
      </w:r>
      <w:r>
        <w:rPr>
          <w:spacing w:val="11"/>
          <w:sz w:val="32"/>
          <w:szCs w:val="32"/>
        </w:rPr>
        <w:t>烟草制品零售点现场测量主要是指间距距离的测量</w:t>
      </w:r>
      <w:r>
        <w:rPr>
          <w:spacing w:val="-1"/>
          <w:sz w:val="32"/>
          <w:szCs w:val="32"/>
        </w:rPr>
        <w:t>认定。</w:t>
      </w:r>
    </w:p>
    <w:p w14:paraId="2D476F57">
      <w:pPr>
        <w:pStyle w:val="2"/>
        <w:keepNext w:val="0"/>
        <w:keepLines w:val="0"/>
        <w:pageBreakBefore w:val="0"/>
        <w:widowControl w:val="0"/>
        <w:kinsoku w:val="0"/>
        <w:wordWrap/>
        <w:overflowPunct/>
        <w:topLinePunct w:val="0"/>
        <w:autoSpaceDE w:val="0"/>
        <w:autoSpaceDN w:val="0"/>
        <w:bidi w:val="0"/>
        <w:adjustRightInd w:val="0"/>
        <w:snapToGrid w:val="0"/>
        <w:spacing w:after="0" w:line="560" w:lineRule="exact"/>
        <w:ind w:left="11" w:right="58" w:firstLine="680" w:firstLineChars="200"/>
        <w:jc w:val="both"/>
        <w:textAlignment w:val="baseline"/>
        <w:rPr>
          <w:sz w:val="32"/>
          <w:szCs w:val="32"/>
        </w:rPr>
      </w:pPr>
      <w:r>
        <w:rPr>
          <w:rFonts w:ascii="黑体" w:hAnsi="黑体" w:eastAsia="黑体" w:cs="黑体"/>
          <w:spacing w:val="10"/>
          <w:sz w:val="32"/>
          <w:szCs w:val="32"/>
        </w:rPr>
        <w:t>第三条</w:t>
      </w:r>
      <w:r>
        <w:rPr>
          <w:spacing w:val="10"/>
          <w:sz w:val="32"/>
          <w:szCs w:val="32"/>
        </w:rPr>
        <w:t>间距距离测量，是指申请人经营场所的营业进出通</w:t>
      </w:r>
      <w:r>
        <w:rPr>
          <w:spacing w:val="5"/>
          <w:sz w:val="32"/>
          <w:szCs w:val="32"/>
        </w:rPr>
        <w:t>道口中心与最近零售点经营场所的营业进出通道口中心之间的无</w:t>
      </w:r>
      <w:r>
        <w:rPr>
          <w:spacing w:val="-2"/>
          <w:sz w:val="32"/>
          <w:szCs w:val="32"/>
        </w:rPr>
        <w:t>障碍最短距离。但出入口不包括员工通道、货物</w:t>
      </w:r>
      <w:r>
        <w:rPr>
          <w:spacing w:val="-3"/>
          <w:sz w:val="32"/>
          <w:szCs w:val="32"/>
        </w:rPr>
        <w:t>通道、消防通道、</w:t>
      </w:r>
      <w:r>
        <w:rPr>
          <w:spacing w:val="4"/>
          <w:sz w:val="32"/>
          <w:szCs w:val="32"/>
        </w:rPr>
        <w:t>应急通道、垃圾通道、停车场通道等。</w:t>
      </w:r>
    </w:p>
    <w:p w14:paraId="34F31377">
      <w:pPr>
        <w:pStyle w:val="2"/>
        <w:keepNext w:val="0"/>
        <w:keepLines w:val="0"/>
        <w:pageBreakBefore w:val="0"/>
        <w:widowControl w:val="0"/>
        <w:kinsoku w:val="0"/>
        <w:wordWrap/>
        <w:overflowPunct/>
        <w:topLinePunct w:val="0"/>
        <w:autoSpaceDE w:val="0"/>
        <w:autoSpaceDN w:val="0"/>
        <w:bidi w:val="0"/>
        <w:adjustRightInd w:val="0"/>
        <w:snapToGrid w:val="0"/>
        <w:spacing w:after="0" w:line="560" w:lineRule="exact"/>
        <w:ind w:left="9" w:right="145" w:firstLine="680" w:firstLineChars="200"/>
        <w:jc w:val="both"/>
        <w:textAlignment w:val="baseline"/>
        <w:rPr>
          <w:sz w:val="32"/>
          <w:szCs w:val="32"/>
        </w:rPr>
      </w:pPr>
      <w:r>
        <w:rPr>
          <w:rFonts w:ascii="黑体" w:hAnsi="黑体" w:eastAsia="黑体" w:cs="黑体"/>
          <w:spacing w:val="10"/>
          <w:sz w:val="32"/>
          <w:szCs w:val="32"/>
        </w:rPr>
        <w:t>第四条</w:t>
      </w:r>
      <w:r>
        <w:rPr>
          <w:rFonts w:hint="eastAsia" w:ascii="黑体" w:hAnsi="黑体" w:eastAsia="黑体" w:cs="黑体"/>
          <w:spacing w:val="10"/>
          <w:sz w:val="32"/>
          <w:szCs w:val="32"/>
          <w:lang w:val="en-US" w:eastAsia="zh-CN"/>
        </w:rPr>
        <w:t xml:space="preserve"> </w:t>
      </w:r>
      <w:r>
        <w:rPr>
          <w:spacing w:val="10"/>
          <w:sz w:val="32"/>
          <w:szCs w:val="32"/>
        </w:rPr>
        <w:t>中小学校、幼儿园的测量起始点为出入行人</w:t>
      </w:r>
      <w:r>
        <w:rPr>
          <w:spacing w:val="9"/>
          <w:sz w:val="32"/>
          <w:szCs w:val="32"/>
        </w:rPr>
        <w:t>通道门</w:t>
      </w:r>
      <w:r>
        <w:rPr>
          <w:spacing w:val="3"/>
          <w:sz w:val="32"/>
          <w:szCs w:val="32"/>
        </w:rPr>
        <w:t>中间点，有多个出入通道门的，以幼儿园、中小学校日常可通行的出入口为圆心，以限制距离为半径覆盖的全部区域。不包括不</w:t>
      </w:r>
      <w:r>
        <w:rPr>
          <w:spacing w:val="6"/>
          <w:sz w:val="32"/>
          <w:szCs w:val="32"/>
        </w:rPr>
        <w:t>能正常通行的教职工通道、后勤通道、消防</w:t>
      </w:r>
      <w:r>
        <w:rPr>
          <w:spacing w:val="5"/>
          <w:sz w:val="32"/>
          <w:szCs w:val="32"/>
        </w:rPr>
        <w:t>通道、垃圾通道、货</w:t>
      </w:r>
      <w:r>
        <w:rPr>
          <w:spacing w:val="4"/>
          <w:sz w:val="32"/>
          <w:szCs w:val="32"/>
        </w:rPr>
        <w:t>运通道、长年关闭的门等。</w:t>
      </w:r>
    </w:p>
    <w:p w14:paraId="48D732F3">
      <w:pPr>
        <w:pStyle w:val="2"/>
        <w:keepNext w:val="0"/>
        <w:keepLines w:val="0"/>
        <w:pageBreakBefore w:val="0"/>
        <w:widowControl w:val="0"/>
        <w:kinsoku w:val="0"/>
        <w:wordWrap/>
        <w:overflowPunct/>
        <w:topLinePunct w:val="0"/>
        <w:autoSpaceDE w:val="0"/>
        <w:autoSpaceDN w:val="0"/>
        <w:bidi w:val="0"/>
        <w:adjustRightInd w:val="0"/>
        <w:snapToGrid w:val="0"/>
        <w:spacing w:after="0" w:line="560" w:lineRule="exact"/>
        <w:ind w:left="15" w:right="145" w:firstLine="668" w:firstLineChars="200"/>
        <w:jc w:val="both"/>
        <w:textAlignment w:val="baseline"/>
        <w:rPr>
          <w:sz w:val="32"/>
          <w:szCs w:val="32"/>
        </w:rPr>
      </w:pPr>
      <w:r>
        <w:rPr>
          <w:rFonts w:ascii="黑体" w:hAnsi="黑体" w:eastAsia="黑体" w:cs="黑体"/>
          <w:spacing w:val="7"/>
          <w:sz w:val="32"/>
          <w:szCs w:val="32"/>
        </w:rPr>
        <w:t>第五条</w:t>
      </w:r>
      <w:r>
        <w:rPr>
          <w:rFonts w:hint="eastAsia" w:ascii="黑体" w:hAnsi="黑体" w:eastAsia="黑体" w:cs="黑体"/>
          <w:spacing w:val="7"/>
          <w:sz w:val="32"/>
          <w:szCs w:val="32"/>
          <w:lang w:val="en-US" w:eastAsia="zh-CN"/>
        </w:rPr>
        <w:t xml:space="preserve"> </w:t>
      </w:r>
      <w:r>
        <w:rPr>
          <w:spacing w:val="7"/>
          <w:sz w:val="32"/>
          <w:szCs w:val="32"/>
        </w:rPr>
        <w:t>间距距离使用测量工具进行测量，申请人或</w:t>
      </w:r>
      <w:r>
        <w:rPr>
          <w:spacing w:val="6"/>
          <w:sz w:val="32"/>
          <w:szCs w:val="32"/>
        </w:rPr>
        <w:t>利害关</w:t>
      </w:r>
      <w:r>
        <w:rPr>
          <w:spacing w:val="3"/>
          <w:sz w:val="32"/>
          <w:szCs w:val="32"/>
        </w:rPr>
        <w:t>系人提出复核的，参与该申请初次实地测量人员应当回避，由测</w:t>
      </w:r>
      <w:r>
        <w:rPr>
          <w:spacing w:val="5"/>
          <w:sz w:val="32"/>
          <w:szCs w:val="32"/>
        </w:rPr>
        <w:t>量单位其他执法人员参与进行二次勘验，并制作实地核查勘验表</w:t>
      </w:r>
      <w:r>
        <w:rPr>
          <w:spacing w:val="3"/>
          <w:sz w:val="32"/>
          <w:szCs w:val="32"/>
        </w:rPr>
        <w:t>和全程视频音频记录。</w:t>
      </w:r>
    </w:p>
    <w:p w14:paraId="4FEA5BD1">
      <w:pPr>
        <w:pStyle w:val="2"/>
        <w:keepNext w:val="0"/>
        <w:keepLines w:val="0"/>
        <w:pageBreakBefore w:val="0"/>
        <w:widowControl w:val="0"/>
        <w:kinsoku w:val="0"/>
        <w:wordWrap/>
        <w:overflowPunct/>
        <w:topLinePunct w:val="0"/>
        <w:autoSpaceDE w:val="0"/>
        <w:autoSpaceDN w:val="0"/>
        <w:bidi w:val="0"/>
        <w:adjustRightInd w:val="0"/>
        <w:snapToGrid w:val="0"/>
        <w:spacing w:after="0" w:line="560" w:lineRule="exact"/>
        <w:ind w:left="1" w:right="224" w:firstLine="684" w:firstLineChars="200"/>
        <w:jc w:val="both"/>
        <w:textAlignment w:val="baseline"/>
        <w:rPr>
          <w:sz w:val="32"/>
          <w:szCs w:val="32"/>
        </w:rPr>
      </w:pPr>
      <w:r>
        <w:rPr>
          <w:rFonts w:ascii="黑体" w:hAnsi="黑体" w:eastAsia="黑体" w:cs="黑体"/>
          <w:spacing w:val="11"/>
          <w:sz w:val="32"/>
          <w:szCs w:val="32"/>
        </w:rPr>
        <w:t>第六条</w:t>
      </w:r>
      <w:r>
        <w:rPr>
          <w:rFonts w:hint="eastAsia" w:ascii="黑体" w:hAnsi="黑体" w:eastAsia="黑体" w:cs="黑体"/>
          <w:spacing w:val="11"/>
          <w:sz w:val="32"/>
          <w:szCs w:val="32"/>
          <w:lang w:val="en-US" w:eastAsia="zh-CN"/>
        </w:rPr>
        <w:t xml:space="preserve"> </w:t>
      </w:r>
      <w:r>
        <w:rPr>
          <w:spacing w:val="11"/>
          <w:sz w:val="32"/>
          <w:szCs w:val="32"/>
        </w:rPr>
        <w:t>政府有关部门在街道或道路中已经设置的行人隔离</w:t>
      </w:r>
      <w:r>
        <w:rPr>
          <w:spacing w:val="-5"/>
          <w:sz w:val="32"/>
          <w:szCs w:val="32"/>
        </w:rPr>
        <w:t>带（栏）、绿化带、固定建筑物等视为障碍</w:t>
      </w:r>
      <w:r>
        <w:rPr>
          <w:spacing w:val="-6"/>
          <w:sz w:val="32"/>
          <w:szCs w:val="32"/>
        </w:rPr>
        <w:t>物，认定为不可正常安</w:t>
      </w:r>
      <w:r>
        <w:rPr>
          <w:spacing w:val="2"/>
          <w:sz w:val="32"/>
          <w:szCs w:val="32"/>
        </w:rPr>
        <w:t>全通行。</w:t>
      </w:r>
    </w:p>
    <w:p w14:paraId="570D024D">
      <w:pPr>
        <w:pStyle w:val="2"/>
        <w:keepNext w:val="0"/>
        <w:keepLines w:val="0"/>
        <w:pageBreakBefore w:val="0"/>
        <w:widowControl w:val="0"/>
        <w:kinsoku w:val="0"/>
        <w:wordWrap/>
        <w:overflowPunct/>
        <w:topLinePunct w:val="0"/>
        <w:autoSpaceDE w:val="0"/>
        <w:autoSpaceDN w:val="0"/>
        <w:bidi w:val="0"/>
        <w:adjustRightInd w:val="0"/>
        <w:snapToGrid w:val="0"/>
        <w:spacing w:after="0" w:line="560" w:lineRule="exact"/>
        <w:ind w:left="10" w:right="222" w:firstLine="684" w:firstLineChars="200"/>
        <w:jc w:val="both"/>
        <w:textAlignment w:val="baseline"/>
        <w:rPr>
          <w:sz w:val="32"/>
          <w:szCs w:val="32"/>
        </w:rPr>
      </w:pPr>
      <w:r>
        <w:rPr>
          <w:rFonts w:ascii="黑体" w:hAnsi="黑体" w:eastAsia="黑体" w:cs="黑体"/>
          <w:spacing w:val="11"/>
          <w:sz w:val="32"/>
          <w:szCs w:val="32"/>
        </w:rPr>
        <w:t>第七条</w:t>
      </w:r>
      <w:r>
        <w:rPr>
          <w:rFonts w:hint="eastAsia" w:ascii="黑体" w:hAnsi="黑体" w:eastAsia="黑体" w:cs="黑体"/>
          <w:spacing w:val="11"/>
          <w:sz w:val="32"/>
          <w:szCs w:val="32"/>
          <w:lang w:val="en-US" w:eastAsia="zh-CN"/>
        </w:rPr>
        <w:t xml:space="preserve"> </w:t>
      </w:r>
      <w:r>
        <w:rPr>
          <w:spacing w:val="11"/>
          <w:sz w:val="32"/>
          <w:szCs w:val="32"/>
        </w:rPr>
        <w:t>在通行道路上临时设置的安全设施，临时放置的建</w:t>
      </w:r>
      <w:r>
        <w:rPr>
          <w:spacing w:val="3"/>
          <w:sz w:val="32"/>
          <w:szCs w:val="32"/>
        </w:rPr>
        <w:t>筑材料、物品，擅自设立、建造的建筑、物体，以及因阶段性施</w:t>
      </w:r>
      <w:r>
        <w:rPr>
          <w:spacing w:val="4"/>
          <w:sz w:val="32"/>
          <w:szCs w:val="32"/>
        </w:rPr>
        <w:t>工影响通行等不视为障碍物。</w:t>
      </w:r>
    </w:p>
    <w:p w14:paraId="3AE409C5">
      <w:pPr>
        <w:pStyle w:val="2"/>
        <w:keepNext w:val="0"/>
        <w:keepLines w:val="0"/>
        <w:pageBreakBefore w:val="0"/>
        <w:widowControl w:val="0"/>
        <w:kinsoku w:val="0"/>
        <w:wordWrap/>
        <w:overflowPunct/>
        <w:topLinePunct w:val="0"/>
        <w:autoSpaceDE w:val="0"/>
        <w:autoSpaceDN w:val="0"/>
        <w:bidi w:val="0"/>
        <w:adjustRightInd w:val="0"/>
        <w:snapToGrid w:val="0"/>
        <w:spacing w:after="0" w:line="560" w:lineRule="exact"/>
        <w:ind w:firstLine="660" w:firstLineChars="200"/>
        <w:jc w:val="both"/>
        <w:textAlignment w:val="baseline"/>
        <w:rPr>
          <w:sz w:val="32"/>
          <w:szCs w:val="32"/>
        </w:rPr>
      </w:pPr>
      <w:r>
        <w:rPr>
          <w:rFonts w:ascii="黑体" w:hAnsi="黑体" w:eastAsia="黑体" w:cs="黑体"/>
          <w:spacing w:val="5"/>
          <w:sz w:val="32"/>
          <w:szCs w:val="32"/>
        </w:rPr>
        <w:t>第八条</w:t>
      </w:r>
      <w:r>
        <w:rPr>
          <w:rFonts w:hint="eastAsia" w:ascii="黑体" w:hAnsi="黑体" w:eastAsia="黑体" w:cs="黑体"/>
          <w:spacing w:val="5"/>
          <w:sz w:val="32"/>
          <w:szCs w:val="32"/>
          <w:lang w:val="en-US" w:eastAsia="zh-CN"/>
        </w:rPr>
        <w:t xml:space="preserve"> </w:t>
      </w:r>
      <w:r>
        <w:rPr>
          <w:spacing w:val="5"/>
          <w:sz w:val="32"/>
          <w:szCs w:val="32"/>
        </w:rPr>
        <w:t>各零售点之间间距测量方式：</w:t>
      </w:r>
    </w:p>
    <w:p w14:paraId="0E0CA396">
      <w:pPr>
        <w:pStyle w:val="2"/>
        <w:keepNext w:val="0"/>
        <w:keepLines w:val="0"/>
        <w:pageBreakBefore w:val="0"/>
        <w:widowControl w:val="0"/>
        <w:kinsoku w:val="0"/>
        <w:wordWrap/>
        <w:overflowPunct/>
        <w:topLinePunct w:val="0"/>
        <w:autoSpaceDE w:val="0"/>
        <w:autoSpaceDN w:val="0"/>
        <w:bidi w:val="0"/>
        <w:adjustRightInd w:val="0"/>
        <w:snapToGrid w:val="0"/>
        <w:spacing w:after="0" w:line="560" w:lineRule="exact"/>
        <w:ind w:right="223" w:firstLine="652" w:firstLineChars="200"/>
        <w:jc w:val="both"/>
        <w:textAlignment w:val="baseline"/>
        <w:rPr>
          <w:sz w:val="32"/>
          <w:szCs w:val="32"/>
        </w:rPr>
      </w:pPr>
      <w:r>
        <w:rPr>
          <w:spacing w:val="3"/>
          <w:sz w:val="32"/>
          <w:szCs w:val="32"/>
        </w:rPr>
        <w:t>（一）申请人的经营场所与最近零售点的经营场所同侧无障</w:t>
      </w:r>
      <w:r>
        <w:rPr>
          <w:spacing w:val="2"/>
          <w:sz w:val="32"/>
          <w:szCs w:val="32"/>
        </w:rPr>
        <w:t>碍物的,测量最短直线距离（如图1所示）。</w:t>
      </w:r>
    </w:p>
    <w:p w14:paraId="4D8EFD3A">
      <w:pPr>
        <w:keepNext w:val="0"/>
        <w:keepLines w:val="0"/>
        <w:pageBreakBefore w:val="0"/>
        <w:widowControl w:val="0"/>
        <w:kinsoku w:val="0"/>
        <w:wordWrap/>
        <w:overflowPunct/>
        <w:topLinePunct w:val="0"/>
        <w:autoSpaceDE w:val="0"/>
        <w:autoSpaceDN w:val="0"/>
        <w:bidi w:val="0"/>
        <w:adjustRightInd w:val="0"/>
        <w:snapToGrid w:val="0"/>
        <w:spacing w:before="82" w:line="3189" w:lineRule="exact"/>
        <w:ind w:firstLine="270"/>
        <w:textAlignment w:val="baseline"/>
      </w:pPr>
      <w:r>
        <w:rPr>
          <w:position w:val="-63"/>
        </w:rPr>
        <w:drawing>
          <wp:inline distT="0" distB="0" distL="0" distR="0">
            <wp:extent cx="5257165" cy="2025015"/>
            <wp:effectExtent l="0" t="0" r="635" b="13335"/>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0"/>
                    <a:stretch>
                      <a:fillRect/>
                    </a:stretch>
                  </pic:blipFill>
                  <pic:spPr>
                    <a:xfrm>
                      <a:off x="0" y="0"/>
                      <a:ext cx="5257715" cy="2025363"/>
                    </a:xfrm>
                    <a:prstGeom prst="rect">
                      <a:avLst/>
                    </a:prstGeom>
                  </pic:spPr>
                </pic:pic>
              </a:graphicData>
            </a:graphic>
          </wp:inline>
        </w:drawing>
      </w:r>
    </w:p>
    <w:p w14:paraId="011BE4C4">
      <w:pPr>
        <w:keepNext w:val="0"/>
        <w:keepLines w:val="0"/>
        <w:pageBreakBefore w:val="0"/>
        <w:widowControl w:val="0"/>
        <w:kinsoku w:val="0"/>
        <w:wordWrap/>
        <w:overflowPunct/>
        <w:topLinePunct w:val="0"/>
        <w:autoSpaceDE w:val="0"/>
        <w:autoSpaceDN w:val="0"/>
        <w:bidi w:val="0"/>
        <w:adjustRightInd w:val="0"/>
        <w:snapToGrid w:val="0"/>
        <w:spacing w:line="363" w:lineRule="auto"/>
        <w:textAlignment w:val="baseline"/>
        <w:rPr>
          <w:rFonts w:ascii="Arial"/>
          <w:sz w:val="21"/>
        </w:rPr>
      </w:pPr>
    </w:p>
    <w:p w14:paraId="7BD94279">
      <w:pPr>
        <w:pStyle w:val="2"/>
        <w:keepNext w:val="0"/>
        <w:keepLines w:val="0"/>
        <w:pageBreakBefore w:val="0"/>
        <w:widowControl w:val="0"/>
        <w:kinsoku w:val="0"/>
        <w:wordWrap/>
        <w:overflowPunct/>
        <w:topLinePunct w:val="0"/>
        <w:autoSpaceDE w:val="0"/>
        <w:autoSpaceDN w:val="0"/>
        <w:bidi w:val="0"/>
        <w:adjustRightInd w:val="0"/>
        <w:snapToGrid w:val="0"/>
        <w:spacing w:after="0" w:line="223" w:lineRule="auto"/>
        <w:ind w:left="3824"/>
        <w:textAlignment w:val="baseline"/>
      </w:pPr>
      <w:r>
        <w:rPr>
          <w:spacing w:val="-5"/>
        </w:rPr>
        <w:t>（图1）</w:t>
      </w:r>
    </w:p>
    <w:p w14:paraId="038A64DC">
      <w:pPr>
        <w:pStyle w:val="2"/>
        <w:keepNext w:val="0"/>
        <w:keepLines w:val="0"/>
        <w:pageBreakBefore w:val="0"/>
        <w:widowControl w:val="0"/>
        <w:kinsoku w:val="0"/>
        <w:wordWrap/>
        <w:overflowPunct/>
        <w:topLinePunct w:val="0"/>
        <w:autoSpaceDE w:val="0"/>
        <w:autoSpaceDN w:val="0"/>
        <w:bidi w:val="0"/>
        <w:adjustRightInd w:val="0"/>
        <w:snapToGrid w:val="0"/>
        <w:spacing w:after="0" w:line="560" w:lineRule="exact"/>
        <w:ind w:right="0" w:firstLine="652" w:firstLineChars="200"/>
        <w:jc w:val="both"/>
        <w:textAlignment w:val="baseline"/>
        <w:rPr>
          <w:spacing w:val="3"/>
          <w:sz w:val="32"/>
          <w:szCs w:val="32"/>
        </w:rPr>
      </w:pPr>
      <w:r>
        <w:rPr>
          <w:spacing w:val="3"/>
          <w:sz w:val="32"/>
          <w:szCs w:val="32"/>
        </w:rPr>
        <w:t>（二）申请人的经营场所与最近零售点的经营场所异侧无障碍物的,测量按直角分段测量，分段距离之和即为申请人的经营场所与最近零售点的经营场所的距离（如图2所示）。</w:t>
      </w:r>
    </w:p>
    <w:p w14:paraId="6EB3C7EA">
      <w:pPr>
        <w:keepNext w:val="0"/>
        <w:keepLines w:val="0"/>
        <w:pageBreakBefore w:val="0"/>
        <w:widowControl w:val="0"/>
        <w:kinsoku w:val="0"/>
        <w:wordWrap/>
        <w:overflowPunct/>
        <w:topLinePunct w:val="0"/>
        <w:autoSpaceDE w:val="0"/>
        <w:autoSpaceDN w:val="0"/>
        <w:bidi w:val="0"/>
        <w:adjustRightInd w:val="0"/>
        <w:snapToGrid w:val="0"/>
        <w:spacing w:line="263" w:lineRule="auto"/>
        <w:textAlignment w:val="baseline"/>
        <w:rPr>
          <w:rFonts w:ascii="Arial"/>
          <w:sz w:val="21"/>
        </w:rPr>
      </w:pPr>
    </w:p>
    <w:p w14:paraId="3EC5E188">
      <w:pPr>
        <w:keepNext w:val="0"/>
        <w:keepLines w:val="0"/>
        <w:pageBreakBefore w:val="0"/>
        <w:widowControl w:val="0"/>
        <w:kinsoku w:val="0"/>
        <w:wordWrap/>
        <w:overflowPunct/>
        <w:topLinePunct w:val="0"/>
        <w:autoSpaceDE w:val="0"/>
        <w:autoSpaceDN w:val="0"/>
        <w:bidi w:val="0"/>
        <w:adjustRightInd w:val="0"/>
        <w:snapToGrid w:val="0"/>
        <w:spacing w:line="4147" w:lineRule="exact"/>
        <w:ind w:firstLine="383"/>
        <w:textAlignment w:val="baseline"/>
      </w:pPr>
      <w:r>
        <w:rPr>
          <w:position w:val="-82"/>
        </w:rPr>
        <w:drawing>
          <wp:inline distT="0" distB="0" distL="0" distR="0">
            <wp:extent cx="5257165" cy="2633345"/>
            <wp:effectExtent l="0" t="0" r="635" b="14605"/>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1"/>
                    <a:stretch>
                      <a:fillRect/>
                    </a:stretch>
                  </pic:blipFill>
                  <pic:spPr>
                    <a:xfrm>
                      <a:off x="0" y="0"/>
                      <a:ext cx="5257715" cy="2633429"/>
                    </a:xfrm>
                    <a:prstGeom prst="rect">
                      <a:avLst/>
                    </a:prstGeom>
                  </pic:spPr>
                </pic:pic>
              </a:graphicData>
            </a:graphic>
          </wp:inline>
        </w:drawing>
      </w:r>
    </w:p>
    <w:p w14:paraId="446DE739">
      <w:pPr>
        <w:pStyle w:val="2"/>
        <w:keepNext w:val="0"/>
        <w:keepLines w:val="0"/>
        <w:pageBreakBefore w:val="0"/>
        <w:widowControl w:val="0"/>
        <w:kinsoku w:val="0"/>
        <w:wordWrap/>
        <w:overflowPunct/>
        <w:topLinePunct w:val="0"/>
        <w:autoSpaceDE w:val="0"/>
        <w:autoSpaceDN w:val="0"/>
        <w:bidi w:val="0"/>
        <w:adjustRightInd w:val="0"/>
        <w:snapToGrid w:val="0"/>
        <w:spacing w:before="188" w:line="223" w:lineRule="auto"/>
        <w:ind w:left="3937"/>
        <w:textAlignment w:val="baseline"/>
      </w:pPr>
      <w:bookmarkStart w:id="0" w:name="_GoBack"/>
      <w:bookmarkEnd w:id="0"/>
      <w:r>
        <w:rPr>
          <w:spacing w:val="-3"/>
        </w:rPr>
        <w:t>（图2）</w:t>
      </w:r>
    </w:p>
    <w:p w14:paraId="162781D2">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right="0" w:firstLine="652" w:firstLineChars="200"/>
        <w:jc w:val="both"/>
        <w:textAlignment w:val="baseline"/>
        <w:rPr>
          <w:spacing w:val="3"/>
          <w:sz w:val="32"/>
          <w:szCs w:val="32"/>
        </w:rPr>
      </w:pPr>
      <w:r>
        <w:rPr>
          <w:spacing w:val="3"/>
          <w:sz w:val="32"/>
          <w:szCs w:val="32"/>
        </w:rPr>
        <w:t>（三）申请人的经营场所与最近零售点的经营场所异侧存在障碍物的，测量按直角分段绕过障碍物测量，分段距离之和即为申请人的经营场所与最近零售点的经营场所间的距离（如图3所示）。</w:t>
      </w:r>
    </w:p>
    <w:p w14:paraId="7C735605">
      <w:pPr>
        <w:keepNext w:val="0"/>
        <w:keepLines w:val="0"/>
        <w:pageBreakBefore w:val="0"/>
        <w:widowControl w:val="0"/>
        <w:kinsoku w:val="0"/>
        <w:wordWrap/>
        <w:overflowPunct/>
        <w:topLinePunct w:val="0"/>
        <w:autoSpaceDE w:val="0"/>
        <w:autoSpaceDN w:val="0"/>
        <w:bidi w:val="0"/>
        <w:adjustRightInd w:val="0"/>
        <w:snapToGrid w:val="0"/>
        <w:spacing w:line="4003" w:lineRule="exact"/>
        <w:ind w:firstLine="417"/>
        <w:textAlignment w:val="baseline"/>
      </w:pPr>
      <w:r>
        <w:rPr>
          <w:position w:val="-80"/>
        </w:rPr>
        <w:drawing>
          <wp:inline distT="0" distB="0" distL="0" distR="0">
            <wp:extent cx="5216525" cy="2541905"/>
            <wp:effectExtent l="0" t="0" r="3175" b="10795"/>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2"/>
                    <a:stretch>
                      <a:fillRect/>
                    </a:stretch>
                  </pic:blipFill>
                  <pic:spPr>
                    <a:xfrm>
                      <a:off x="0" y="0"/>
                      <a:ext cx="5216567" cy="2541990"/>
                    </a:xfrm>
                    <a:prstGeom prst="rect">
                      <a:avLst/>
                    </a:prstGeom>
                  </pic:spPr>
                </pic:pic>
              </a:graphicData>
            </a:graphic>
          </wp:inline>
        </w:drawing>
      </w:r>
    </w:p>
    <w:p w14:paraId="1D5FF0AD">
      <w:pPr>
        <w:keepNext w:val="0"/>
        <w:keepLines w:val="0"/>
        <w:pageBreakBefore w:val="0"/>
        <w:widowControl w:val="0"/>
        <w:kinsoku w:val="0"/>
        <w:wordWrap/>
        <w:overflowPunct/>
        <w:topLinePunct w:val="0"/>
        <w:autoSpaceDE w:val="0"/>
        <w:autoSpaceDN w:val="0"/>
        <w:bidi w:val="0"/>
        <w:adjustRightInd w:val="0"/>
        <w:snapToGrid w:val="0"/>
        <w:spacing w:line="361" w:lineRule="auto"/>
        <w:textAlignment w:val="baseline"/>
        <w:rPr>
          <w:rFonts w:ascii="Arial"/>
          <w:sz w:val="21"/>
        </w:rPr>
      </w:pPr>
    </w:p>
    <w:p w14:paraId="771825AB">
      <w:pPr>
        <w:pStyle w:val="2"/>
        <w:keepNext w:val="0"/>
        <w:keepLines w:val="0"/>
        <w:pageBreakBefore w:val="0"/>
        <w:widowControl w:val="0"/>
        <w:kinsoku w:val="0"/>
        <w:wordWrap/>
        <w:overflowPunct/>
        <w:topLinePunct w:val="0"/>
        <w:autoSpaceDE w:val="0"/>
        <w:autoSpaceDN w:val="0"/>
        <w:bidi w:val="0"/>
        <w:adjustRightInd w:val="0"/>
        <w:snapToGrid w:val="0"/>
        <w:spacing w:before="101" w:line="223" w:lineRule="auto"/>
        <w:ind w:left="4014"/>
        <w:textAlignment w:val="baseline"/>
      </w:pPr>
      <w:r>
        <w:rPr>
          <w:spacing w:val="-6"/>
        </w:rPr>
        <w:t>（图3）</w:t>
      </w:r>
    </w:p>
    <w:p w14:paraId="694BB9D4">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right="0" w:firstLine="652" w:firstLineChars="200"/>
        <w:jc w:val="both"/>
        <w:textAlignment w:val="baseline"/>
        <w:rPr>
          <w:spacing w:val="3"/>
          <w:sz w:val="32"/>
          <w:szCs w:val="32"/>
        </w:rPr>
      </w:pPr>
      <w:r>
        <w:rPr>
          <w:spacing w:val="3"/>
          <w:sz w:val="32"/>
          <w:szCs w:val="32"/>
        </w:rPr>
        <w:t>（四）申请人的经营场所与最近零售点的经营场所之间道路存在有转角的，按直角分段测量最短距离（如图4所示）。</w:t>
      </w:r>
    </w:p>
    <w:p w14:paraId="24048EF8">
      <w:pPr>
        <w:keepNext w:val="0"/>
        <w:keepLines w:val="0"/>
        <w:pageBreakBefore w:val="0"/>
        <w:widowControl w:val="0"/>
        <w:kinsoku w:val="0"/>
        <w:wordWrap/>
        <w:overflowPunct/>
        <w:topLinePunct w:val="0"/>
        <w:autoSpaceDE w:val="0"/>
        <w:autoSpaceDN w:val="0"/>
        <w:bidi w:val="0"/>
        <w:adjustRightInd w:val="0"/>
        <w:snapToGrid w:val="0"/>
        <w:spacing w:line="263" w:lineRule="auto"/>
        <w:textAlignment w:val="baseline"/>
        <w:rPr>
          <w:rFonts w:ascii="Arial"/>
          <w:sz w:val="21"/>
        </w:rPr>
      </w:pPr>
    </w:p>
    <w:p w14:paraId="31BDCE73">
      <w:pPr>
        <w:keepNext w:val="0"/>
        <w:keepLines w:val="0"/>
        <w:pageBreakBefore w:val="0"/>
        <w:widowControl w:val="0"/>
        <w:kinsoku w:val="0"/>
        <w:wordWrap/>
        <w:overflowPunct/>
        <w:topLinePunct w:val="0"/>
        <w:autoSpaceDE w:val="0"/>
        <w:autoSpaceDN w:val="0"/>
        <w:bidi w:val="0"/>
        <w:adjustRightInd w:val="0"/>
        <w:snapToGrid w:val="0"/>
        <w:spacing w:line="4265" w:lineRule="exact"/>
        <w:ind w:firstLine="1540"/>
        <w:textAlignment w:val="baseline"/>
      </w:pPr>
      <w:r>
        <w:rPr>
          <w:position w:val="-85"/>
        </w:rPr>
        <w:drawing>
          <wp:inline distT="0" distB="0" distL="0" distR="0">
            <wp:extent cx="3801745" cy="2707640"/>
            <wp:effectExtent l="0" t="0" r="8255" b="1651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3"/>
                    <a:stretch>
                      <a:fillRect/>
                    </a:stretch>
                  </pic:blipFill>
                  <pic:spPr>
                    <a:xfrm>
                      <a:off x="0" y="0"/>
                      <a:ext cx="3802319" cy="2708102"/>
                    </a:xfrm>
                    <a:prstGeom prst="rect">
                      <a:avLst/>
                    </a:prstGeom>
                  </pic:spPr>
                </pic:pic>
              </a:graphicData>
            </a:graphic>
          </wp:inline>
        </w:drawing>
      </w:r>
    </w:p>
    <w:p w14:paraId="08B9CC24">
      <w:pPr>
        <w:pStyle w:val="2"/>
        <w:keepNext w:val="0"/>
        <w:keepLines w:val="0"/>
        <w:pageBreakBefore w:val="0"/>
        <w:widowControl w:val="0"/>
        <w:kinsoku w:val="0"/>
        <w:wordWrap/>
        <w:overflowPunct/>
        <w:topLinePunct w:val="0"/>
        <w:autoSpaceDE w:val="0"/>
        <w:autoSpaceDN w:val="0"/>
        <w:bidi w:val="0"/>
        <w:adjustRightInd w:val="0"/>
        <w:snapToGrid w:val="0"/>
        <w:spacing w:before="54" w:line="212" w:lineRule="auto"/>
        <w:ind w:left="4278"/>
        <w:textAlignment w:val="baseline"/>
        <w:rPr>
          <w:rFonts w:ascii="微软雅黑" w:hAnsi="微软雅黑" w:eastAsia="微软雅黑" w:cs="微软雅黑"/>
        </w:rPr>
      </w:pPr>
      <w:r>
        <w:rPr>
          <w:rFonts w:ascii="微软雅黑" w:hAnsi="微软雅黑" w:eastAsia="微软雅黑" w:cs="微软雅黑"/>
          <w:spacing w:val="-26"/>
        </w:rPr>
        <w:t>（</w:t>
      </w:r>
      <w:r>
        <w:rPr>
          <w:spacing w:val="-26"/>
        </w:rPr>
        <w:t>图4</w:t>
      </w:r>
      <w:r>
        <w:rPr>
          <w:rFonts w:ascii="微软雅黑" w:hAnsi="微软雅黑" w:eastAsia="微软雅黑" w:cs="微软雅黑"/>
          <w:spacing w:val="-26"/>
        </w:rPr>
        <w:t>）</w:t>
      </w:r>
    </w:p>
    <w:p w14:paraId="4282196B">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right="0" w:firstLine="652" w:firstLineChars="200"/>
        <w:jc w:val="both"/>
        <w:textAlignment w:val="baseline"/>
        <w:rPr>
          <w:spacing w:val="3"/>
          <w:sz w:val="32"/>
          <w:szCs w:val="32"/>
        </w:rPr>
      </w:pPr>
      <w:r>
        <w:rPr>
          <w:spacing w:val="3"/>
          <w:sz w:val="32"/>
          <w:szCs w:val="32"/>
        </w:rPr>
        <w:t>（五）在进行零售点间距测量时，申请点与零售点所在的区域执行的间距标准不同时，按照最小的间距标准执行（如图5、6所示）。</w:t>
      </w:r>
    </w:p>
    <w:p w14:paraId="4219F158">
      <w:pPr>
        <w:keepNext w:val="0"/>
        <w:keepLines w:val="0"/>
        <w:pageBreakBefore w:val="0"/>
        <w:widowControl w:val="0"/>
        <w:kinsoku w:val="0"/>
        <w:wordWrap/>
        <w:overflowPunct/>
        <w:topLinePunct w:val="0"/>
        <w:autoSpaceDE w:val="0"/>
        <w:autoSpaceDN w:val="0"/>
        <w:bidi w:val="0"/>
        <w:adjustRightInd w:val="0"/>
        <w:snapToGrid w:val="0"/>
        <w:spacing w:line="4967" w:lineRule="exact"/>
        <w:textAlignment w:val="baseline"/>
      </w:pPr>
      <w:r>
        <w:rPr>
          <w:position w:val="-99"/>
        </w:rPr>
        <w:drawing>
          <wp:inline distT="0" distB="0" distL="0" distR="0">
            <wp:extent cx="5607685" cy="3154045"/>
            <wp:effectExtent l="0" t="0" r="12065" b="8255"/>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4"/>
                    <a:stretch>
                      <a:fillRect/>
                    </a:stretch>
                  </pic:blipFill>
                  <pic:spPr>
                    <a:xfrm>
                      <a:off x="0" y="0"/>
                      <a:ext cx="5608230" cy="3154628"/>
                    </a:xfrm>
                    <a:prstGeom prst="rect">
                      <a:avLst/>
                    </a:prstGeom>
                  </pic:spPr>
                </pic:pic>
              </a:graphicData>
            </a:graphic>
          </wp:inline>
        </w:drawing>
      </w:r>
    </w:p>
    <w:p w14:paraId="18E752BE">
      <w:pPr>
        <w:pStyle w:val="2"/>
        <w:keepNext w:val="0"/>
        <w:keepLines w:val="0"/>
        <w:pageBreakBefore w:val="0"/>
        <w:widowControl w:val="0"/>
        <w:kinsoku w:val="0"/>
        <w:wordWrap/>
        <w:overflowPunct/>
        <w:topLinePunct w:val="0"/>
        <w:autoSpaceDE w:val="0"/>
        <w:autoSpaceDN w:val="0"/>
        <w:bidi w:val="0"/>
        <w:adjustRightInd w:val="0"/>
        <w:snapToGrid w:val="0"/>
        <w:spacing w:before="208" w:line="223" w:lineRule="auto"/>
        <w:jc w:val="center"/>
        <w:textAlignment w:val="baseline"/>
      </w:pPr>
      <w:r>
        <w:rPr>
          <w:spacing w:val="9"/>
        </w:rPr>
        <w:t>（图5</w:t>
      </w:r>
      <w:r>
        <w:rPr>
          <w:spacing w:val="-38"/>
        </w:rPr>
        <w:t>）</w:t>
      </w:r>
      <w:r>
        <w:rPr>
          <w:rFonts w:hint="eastAsia"/>
          <w:spacing w:val="-38"/>
          <w:lang w:val="en-US" w:eastAsia="zh-CN"/>
        </w:rPr>
        <w:t xml:space="preserve">                               </w:t>
      </w:r>
      <w:r>
        <w:rPr>
          <w:spacing w:val="-38"/>
        </w:rPr>
        <w:t>（</w:t>
      </w:r>
      <w:r>
        <w:rPr>
          <w:spacing w:val="9"/>
        </w:rPr>
        <w:t>图6）</w:t>
      </w:r>
    </w:p>
    <w:p w14:paraId="7DC2FFB8">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right="0" w:firstLine="652" w:firstLineChars="200"/>
        <w:jc w:val="both"/>
        <w:textAlignment w:val="baseline"/>
        <w:rPr>
          <w:spacing w:val="3"/>
          <w:sz w:val="32"/>
          <w:szCs w:val="32"/>
        </w:rPr>
      </w:pPr>
      <w:r>
        <w:rPr>
          <w:spacing w:val="3"/>
          <w:sz w:val="32"/>
          <w:szCs w:val="32"/>
        </w:rPr>
        <w:t>（六）申请人的经营场所门面多面（多间）贯通且多面经营的，取与最近零售点经营场所营业大门中心点之间进行测量（如图7、8所示）。</w:t>
      </w:r>
    </w:p>
    <w:p w14:paraId="0711072D">
      <w:pPr>
        <w:keepNext w:val="0"/>
        <w:keepLines w:val="0"/>
        <w:pageBreakBefore w:val="0"/>
        <w:widowControl w:val="0"/>
        <w:kinsoku w:val="0"/>
        <w:wordWrap/>
        <w:overflowPunct/>
        <w:topLinePunct w:val="0"/>
        <w:autoSpaceDE w:val="0"/>
        <w:autoSpaceDN w:val="0"/>
        <w:bidi w:val="0"/>
        <w:adjustRightInd w:val="0"/>
        <w:snapToGrid w:val="0"/>
        <w:spacing w:before="77" w:line="3262" w:lineRule="exact"/>
        <w:ind w:firstLine="251"/>
        <w:textAlignment w:val="baseline"/>
      </w:pPr>
      <w:r>
        <w:rPr>
          <w:position w:val="-65"/>
        </w:rPr>
        <w:drawing>
          <wp:inline distT="0" distB="0" distL="0" distR="0">
            <wp:extent cx="5476875" cy="2070735"/>
            <wp:effectExtent l="0" t="0" r="9525" b="5715"/>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5"/>
                    <a:stretch>
                      <a:fillRect/>
                    </a:stretch>
                  </pic:blipFill>
                  <pic:spPr>
                    <a:xfrm>
                      <a:off x="0" y="0"/>
                      <a:ext cx="5477167" cy="2071082"/>
                    </a:xfrm>
                    <a:prstGeom prst="rect">
                      <a:avLst/>
                    </a:prstGeom>
                  </pic:spPr>
                </pic:pic>
              </a:graphicData>
            </a:graphic>
          </wp:inline>
        </w:drawing>
      </w:r>
    </w:p>
    <w:p w14:paraId="24DBF14C">
      <w:pPr>
        <w:pStyle w:val="2"/>
        <w:keepNext w:val="0"/>
        <w:keepLines w:val="0"/>
        <w:pageBreakBefore w:val="0"/>
        <w:widowControl w:val="0"/>
        <w:kinsoku w:val="0"/>
        <w:wordWrap/>
        <w:overflowPunct/>
        <w:topLinePunct w:val="0"/>
        <w:autoSpaceDE w:val="0"/>
        <w:autoSpaceDN w:val="0"/>
        <w:bidi w:val="0"/>
        <w:adjustRightInd w:val="0"/>
        <w:snapToGrid w:val="0"/>
        <w:spacing w:before="274" w:line="223" w:lineRule="auto"/>
        <w:ind w:left="3932"/>
        <w:textAlignment w:val="baseline"/>
      </w:pPr>
      <w:r>
        <w:rPr>
          <w:spacing w:val="-3"/>
        </w:rPr>
        <w:t>（图7）</w:t>
      </w:r>
    </w:p>
    <w:p w14:paraId="11E5B901">
      <w:pPr>
        <w:keepNext w:val="0"/>
        <w:keepLines w:val="0"/>
        <w:pageBreakBefore w:val="0"/>
        <w:widowControl w:val="0"/>
        <w:kinsoku w:val="0"/>
        <w:wordWrap/>
        <w:overflowPunct/>
        <w:topLinePunct w:val="0"/>
        <w:autoSpaceDE w:val="0"/>
        <w:autoSpaceDN w:val="0"/>
        <w:bidi w:val="0"/>
        <w:adjustRightInd w:val="0"/>
        <w:snapToGrid w:val="0"/>
        <w:spacing w:before="159" w:line="3516" w:lineRule="exact"/>
        <w:ind w:firstLine="73"/>
        <w:textAlignment w:val="baseline"/>
      </w:pPr>
      <w:r>
        <w:rPr>
          <w:position w:val="-70"/>
        </w:rPr>
        <w:drawing>
          <wp:inline distT="0" distB="0" distL="0" distR="0">
            <wp:extent cx="5615305" cy="2232025"/>
            <wp:effectExtent l="0" t="0" r="4445" b="15875"/>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6"/>
                    <a:stretch>
                      <a:fillRect/>
                    </a:stretch>
                  </pic:blipFill>
                  <pic:spPr>
                    <a:xfrm>
                      <a:off x="0" y="0"/>
                      <a:ext cx="5615847" cy="2232623"/>
                    </a:xfrm>
                    <a:prstGeom prst="rect">
                      <a:avLst/>
                    </a:prstGeom>
                  </pic:spPr>
                </pic:pic>
              </a:graphicData>
            </a:graphic>
          </wp:inline>
        </w:drawing>
      </w:r>
    </w:p>
    <w:p w14:paraId="1CA97297">
      <w:pPr>
        <w:pStyle w:val="2"/>
        <w:keepNext w:val="0"/>
        <w:keepLines w:val="0"/>
        <w:pageBreakBefore w:val="0"/>
        <w:widowControl w:val="0"/>
        <w:kinsoku w:val="0"/>
        <w:wordWrap/>
        <w:overflowPunct/>
        <w:topLinePunct w:val="0"/>
        <w:autoSpaceDE w:val="0"/>
        <w:autoSpaceDN w:val="0"/>
        <w:bidi w:val="0"/>
        <w:adjustRightInd w:val="0"/>
        <w:snapToGrid w:val="0"/>
        <w:spacing w:before="149" w:line="223" w:lineRule="auto"/>
        <w:ind w:left="3932"/>
        <w:textAlignment w:val="baseline"/>
      </w:pPr>
      <w:r>
        <w:rPr>
          <w:spacing w:val="-3"/>
        </w:rPr>
        <w:t>（图8）</w:t>
      </w:r>
    </w:p>
    <w:p w14:paraId="315E306F">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right="0" w:firstLine="652" w:firstLineChars="200"/>
        <w:jc w:val="both"/>
        <w:textAlignment w:val="baseline"/>
        <w:rPr>
          <w:spacing w:val="3"/>
          <w:sz w:val="32"/>
          <w:szCs w:val="32"/>
        </w:rPr>
      </w:pPr>
      <w:r>
        <w:rPr>
          <w:spacing w:val="3"/>
          <w:sz w:val="32"/>
          <w:szCs w:val="32"/>
        </w:rPr>
        <w:t>（七）普通中小学、特殊教育学校、中等职业学校、专门学校、幼儿园周围禁止区域的测量方式以上述机构进出通道口中心点为圆心，以规定距离为半径的圆形区域，该区域内禁止设立零售点。距离以《合理布局规划》规定为准，存在多个通道口的，分别按照以上方式进行计算。</w:t>
      </w:r>
    </w:p>
    <w:p w14:paraId="326B38D9">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right="0" w:firstLine="652" w:firstLineChars="200"/>
        <w:jc w:val="both"/>
        <w:textAlignment w:val="baseline"/>
        <w:rPr>
          <w:spacing w:val="3"/>
          <w:sz w:val="32"/>
          <w:szCs w:val="32"/>
        </w:rPr>
      </w:pPr>
      <w:r>
        <w:rPr>
          <w:rFonts w:hint="eastAsia" w:ascii="黑体" w:hAnsi="黑体" w:eastAsia="黑体" w:cs="黑体"/>
          <w:spacing w:val="3"/>
          <w:sz w:val="32"/>
          <w:szCs w:val="32"/>
        </w:rPr>
        <w:t>第九条</w:t>
      </w:r>
      <w:r>
        <w:rPr>
          <w:rFonts w:hint="eastAsia"/>
          <w:spacing w:val="3"/>
          <w:sz w:val="32"/>
          <w:szCs w:val="32"/>
          <w:lang w:val="en-US" w:eastAsia="zh-CN"/>
        </w:rPr>
        <w:t xml:space="preserve"> </w:t>
      </w:r>
      <w:r>
        <w:rPr>
          <w:spacing w:val="3"/>
          <w:sz w:val="32"/>
          <w:szCs w:val="32"/>
        </w:rPr>
        <w:t>规划中未涉及或不明确或审核人员产生歧义的特殊区域，应当选择有利于行政当事人的测量许可方案。</w:t>
      </w:r>
    </w:p>
    <w:p w14:paraId="73751823">
      <w:pPr>
        <w:pStyle w:val="2"/>
        <w:keepNext w:val="0"/>
        <w:keepLines w:val="0"/>
        <w:pageBreakBefore w:val="0"/>
        <w:widowControl w:val="0"/>
        <w:kinsoku w:val="0"/>
        <w:wordWrap/>
        <w:overflowPunct/>
        <w:topLinePunct w:val="0"/>
        <w:autoSpaceDE w:val="0"/>
        <w:autoSpaceDN w:val="0"/>
        <w:bidi w:val="0"/>
        <w:adjustRightInd w:val="0"/>
        <w:snapToGrid w:val="0"/>
        <w:spacing w:line="560" w:lineRule="exact"/>
        <w:ind w:right="0" w:firstLine="652" w:firstLineChars="200"/>
        <w:jc w:val="both"/>
        <w:textAlignment w:val="baseline"/>
        <w:rPr>
          <w:spacing w:val="3"/>
          <w:sz w:val="32"/>
          <w:szCs w:val="32"/>
        </w:rPr>
      </w:pPr>
      <w:r>
        <w:rPr>
          <w:rFonts w:hint="eastAsia" w:ascii="黑体" w:hAnsi="黑体" w:eastAsia="黑体" w:cs="黑体"/>
          <w:spacing w:val="3"/>
          <w:sz w:val="32"/>
          <w:szCs w:val="32"/>
        </w:rPr>
        <w:t>第十条</w:t>
      </w:r>
      <w:r>
        <w:rPr>
          <w:rFonts w:hint="eastAsia"/>
          <w:spacing w:val="3"/>
          <w:sz w:val="32"/>
          <w:szCs w:val="32"/>
          <w:lang w:val="en-US" w:eastAsia="zh-CN"/>
        </w:rPr>
        <w:t xml:space="preserve"> </w:t>
      </w:r>
      <w:r>
        <w:rPr>
          <w:spacing w:val="3"/>
          <w:sz w:val="32"/>
          <w:szCs w:val="32"/>
        </w:rPr>
        <w:t>特殊地形测量：因地形、地貌或设计等原因导致道路、通道成不规则形态，通过前述方法无法测量的，取可安全通行路径最近距离进行测量。</w:t>
      </w:r>
    </w:p>
    <w:p w14:paraId="77846375">
      <w:pPr>
        <w:pStyle w:val="2"/>
        <w:bidi w:val="0"/>
      </w:pPr>
    </w:p>
    <w:sectPr>
      <w:headerReference r:id="rId5" w:type="default"/>
      <w:footerReference r:id="rId7" w:type="default"/>
      <w:headerReference r:id="rId6" w:type="even"/>
      <w:footerReference r:id="rId8" w:type="even"/>
      <w:pgSz w:w="11906" w:h="16838"/>
      <w:pgMar w:top="2098" w:right="1474" w:bottom="1984" w:left="1587" w:header="851" w:footer="1417" w:gutter="0"/>
      <w:pgNumType w:fmt="decimal" w:start="1"/>
      <w:cols w:space="720" w:num="1"/>
      <w:docGrid w:type="linesAndChars" w:linePitch="579" w:charSpace="1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39CB8F6-71C9-4770-AE0E-62F9B5589C97}"/>
  </w:font>
  <w:font w:name="黑体">
    <w:panose1 w:val="02010609060101010101"/>
    <w:charset w:val="86"/>
    <w:family w:val="auto"/>
    <w:pitch w:val="default"/>
    <w:sig w:usb0="800002BF" w:usb1="38CF7CFA" w:usb2="00000016" w:usb3="00000000" w:csb0="00040001" w:csb1="00000000"/>
    <w:embedRegular r:id="rId2" w:fontKey="{980BE778-6717-4E3D-B142-71A27760EBA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ＭＳ 明朝">
    <w:altName w:val="MS Gothic"/>
    <w:panose1 w:val="00000000000000000000"/>
    <w:charset w:val="80"/>
    <w:family w:val="roman"/>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3" w:fontKey="{20F213A6-7818-4731-96ED-D86FCBC815A1}"/>
  </w:font>
  <w:font w:name="Courier">
    <w:altName w:val="Courier New"/>
    <w:panose1 w:val="02000500000000000000"/>
    <w:charset w:val="00"/>
    <w:family w:val="auto"/>
    <w:pitch w:val="default"/>
    <w:sig w:usb0="00000000" w:usb1="00000000" w:usb2="00000000" w:usb3="00000000" w:csb0="00000001" w:csb1="00000000"/>
  </w:font>
  <w:font w:name="方正小标宋简体">
    <w:panose1 w:val="02000000000000000000"/>
    <w:charset w:val="86"/>
    <w:family w:val="auto"/>
    <w:pitch w:val="default"/>
    <w:sig w:usb0="00000001" w:usb1="08000000" w:usb2="00000000" w:usb3="00000000" w:csb0="00040000" w:csb1="00000000"/>
    <w:embedRegular r:id="rId4" w:fontKey="{D59EB996-3087-44B3-B4E5-6C3F93605D82}"/>
  </w:font>
  <w:font w:name="Cambria">
    <w:panose1 w:val="02040503050406030204"/>
    <w:charset w:val="00"/>
    <w:family w:val="auto"/>
    <w:pitch w:val="default"/>
    <w:sig w:usb0="E00006FF" w:usb1="420024FF" w:usb2="02000000" w:usb3="00000000" w:csb0="2000019F" w:csb1="00000000"/>
  </w:font>
  <w:font w:name="Yu Gothic">
    <w:panose1 w:val="020B0400000000000000"/>
    <w:charset w:val="80"/>
    <w:family w:val="auto"/>
    <w:pitch w:val="default"/>
    <w:sig w:usb0="E00002FF" w:usb1="2AC7FDFF" w:usb2="00000016" w:usb3="00000000" w:csb0="2002009F" w:csb1="00000000"/>
  </w:font>
  <w:font w:name="仿宋">
    <w:panose1 w:val="02010609060101010101"/>
    <w:charset w:val="86"/>
    <w:family w:val="auto"/>
    <w:pitch w:val="default"/>
    <w:sig w:usb0="800002BF" w:usb1="38CF7CFA" w:usb2="00000016" w:usb3="00000000" w:csb0="00040001" w:csb1="00000000"/>
    <w:embedRegular r:id="rId5" w:fontKey="{68F1EBA7-52D4-412B-96EE-7D74E8DD0611}"/>
  </w:font>
  <w:font w:name="微软雅黑">
    <w:panose1 w:val="020B0503020204020204"/>
    <w:charset w:val="86"/>
    <w:family w:val="auto"/>
    <w:pitch w:val="default"/>
    <w:sig w:usb0="80000287" w:usb1="2ACF3C50" w:usb2="00000016" w:usb3="00000000" w:csb0="0004001F" w:csb1="00000000"/>
    <w:embedRegular r:id="rId6" w:fontKey="{568320A5-2374-413D-B519-F3EDB949142B}"/>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34A9A">
    <w:pPr>
      <w:pStyle w:val="24"/>
    </w:pPr>
    <w:r>
      <w:rPr>
        <w:sz w:val="22"/>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EFF403">
                          <w:pPr>
                            <w:pStyle w:val="24"/>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mdTHYTgCAABrBAAADgAAAAAAAAABACAAAAAlAQAAZHJzL2Uy&#10;b0RvYy54bWxQSwUGAAAAAAYABgBZAQAAzwUAAAAA&#10;">
              <v:fill on="f" focussize="0,0"/>
              <v:stroke on="f" weight="0.5pt"/>
              <v:imagedata o:title=""/>
              <o:lock v:ext="edit" aspectratio="f"/>
              <v:textbox inset="16pt,0mm,16pt,0mm" style="mso-fit-shape-to-text:t;">
                <w:txbxContent>
                  <w:p w14:paraId="30EFF403">
                    <w:pPr>
                      <w:pStyle w:val="24"/>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EBD4E">
    <w:pPr>
      <w:pStyle w:val="24"/>
    </w:pPr>
    <w:r>
      <w:rPr>
        <w:sz w:val="2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63E83A">
                          <w:pPr>
                            <w:pStyle w:val="24"/>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zJ8uDTgCAABrBAAADgAAAAAAAAABACAAAAAlAQAAZHJzL2Uy&#10;b0RvYy54bWxQSwUGAAAAAAYABgBZAQAAzwUAAAAA&#10;">
              <v:fill on="f" focussize="0,0"/>
              <v:stroke on="f" weight="0.5pt"/>
              <v:imagedata o:title=""/>
              <o:lock v:ext="edit" aspectratio="f"/>
              <v:textbox inset="16pt,0mm,16pt,0mm" style="mso-fit-shape-to-text:t;">
                <w:txbxContent>
                  <w:p w14:paraId="7863E83A">
                    <w:pPr>
                      <w:pStyle w:val="24"/>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B6813">
    <w:pPr>
      <w:pStyle w:val="2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A6788">
    <w:pPr>
      <w:pStyle w:val="2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4"/>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5"/>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7"/>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6"/>
  <w:embedTrueTypeFonts/>
  <w:saveSubsetFonts/>
  <w:bordersDoNotSurroundHeader w:val="0"/>
  <w:bordersDoNotSurroundFooter w:val="0"/>
  <w:documentProtection w:enforcement="0"/>
  <w:defaultTabStop w:val="720"/>
  <w:evenAndOddHeaders w:val="1"/>
  <w:drawingGridHorizontalSpacing w:val="158"/>
  <w:drawingGridVerticalSpacing w:val="29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99A50E3"/>
    <w:rsid w:val="2EE54BFF"/>
    <w:rsid w:val="3A3501BF"/>
    <w:rsid w:val="3B8C756F"/>
    <w:rsid w:val="62731A5E"/>
    <w:rsid w:val="6CD632E4"/>
    <w:rsid w:val="74D0327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qFormat="1" w:uiPriority="99" w:semiHidden="0" w:name="List Bullet"/>
    <w:lsdException w:uiPriority="99" w:semiHidden="0" w:name="List Number"/>
    <w:lsdException w:qFormat="1" w:uiPriority="99" w:semiHidden="0" w:name="List 2"/>
    <w:lsdException w:qFormat="1"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next w:val="2"/>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4">
    <w:name w:val="heading 1"/>
    <w:next w:val="1"/>
    <w:qFormat/>
    <w:uiPriority w:val="9"/>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5">
    <w:name w:val="heading 2"/>
    <w:next w:val="1"/>
    <w:unhideWhenUsed/>
    <w:qFormat/>
    <w:uiPriority w:val="9"/>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6">
    <w:name w:val="heading 3"/>
    <w:next w:val="1"/>
    <w:unhideWhenUsed/>
    <w:qFormat/>
    <w:uiPriority w:val="9"/>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7">
    <w:name w:val="heading 4"/>
    <w:next w:val="1"/>
    <w:semiHidden/>
    <w:unhideWhenUsed/>
    <w:qFormat/>
    <w:uiPriority w:val="9"/>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8">
    <w:name w:val="heading 5"/>
    <w:next w:val="1"/>
    <w:semiHidden/>
    <w:unhideWhenUsed/>
    <w:qFormat/>
    <w:uiPriority w:val="9"/>
    <w:pPr>
      <w:spacing w:line="560" w:lineRule="exact"/>
      <w:ind w:firstLine="894" w:firstLineChars="200"/>
      <w:outlineLvl w:val="4"/>
    </w:pPr>
    <w:rPr>
      <w:rFonts w:ascii="Times New Roman" w:hAnsi="Times New Roman" w:eastAsia="仿宋_GB2312" w:cs="仿宋_GB2312"/>
      <w:sz w:val="32"/>
      <w:szCs w:val="32"/>
    </w:rPr>
  </w:style>
  <w:style w:type="paragraph" w:styleId="9">
    <w:name w:val="heading 6"/>
    <w:next w:val="1"/>
    <w:semiHidden/>
    <w:unhideWhenUsed/>
    <w:qFormat/>
    <w:uiPriority w:val="9"/>
    <w:pPr>
      <w:spacing w:line="560" w:lineRule="exact"/>
      <w:ind w:firstLine="894" w:firstLineChars="200"/>
      <w:outlineLvl w:val="5"/>
    </w:pPr>
    <w:rPr>
      <w:rFonts w:ascii="Times New Roman" w:hAnsi="Times New Roman" w:eastAsia="仿宋_GB2312" w:cs="仿宋_GB2312"/>
      <w:sz w:val="32"/>
      <w:szCs w:val="32"/>
    </w:rPr>
  </w:style>
  <w:style w:type="paragraph" w:styleId="10">
    <w:name w:val="heading 7"/>
    <w:next w:val="1"/>
    <w:semiHidden/>
    <w:unhideWhenUsed/>
    <w:qFormat/>
    <w:uiPriority w:val="9"/>
    <w:pPr>
      <w:spacing w:line="560" w:lineRule="exact"/>
      <w:ind w:firstLine="894" w:firstLineChars="200"/>
      <w:outlineLvl w:val="6"/>
    </w:pPr>
    <w:rPr>
      <w:rFonts w:ascii="Times New Roman" w:hAnsi="Times New Roman" w:eastAsia="仿宋_GB2312" w:cs="仿宋_GB2312"/>
      <w:sz w:val="32"/>
      <w:szCs w:val="32"/>
    </w:rPr>
  </w:style>
  <w:style w:type="paragraph" w:styleId="11">
    <w:name w:val="heading 8"/>
    <w:next w:val="1"/>
    <w:semiHidden/>
    <w:unhideWhenUsed/>
    <w:qFormat/>
    <w:uiPriority w:val="9"/>
    <w:pPr>
      <w:spacing w:line="560" w:lineRule="exact"/>
      <w:ind w:firstLine="894" w:firstLineChars="200"/>
      <w:outlineLvl w:val="7"/>
    </w:pPr>
    <w:rPr>
      <w:rFonts w:ascii="Times New Roman" w:hAnsi="Times New Roman" w:eastAsia="仿宋_GB2312" w:cs="仿宋_GB2312"/>
      <w:sz w:val="32"/>
      <w:szCs w:val="32"/>
    </w:rPr>
  </w:style>
  <w:style w:type="paragraph" w:styleId="12">
    <w:name w:val="heading 9"/>
    <w:next w:val="1"/>
    <w:semiHidden/>
    <w:unhideWhenUsed/>
    <w:qFormat/>
    <w:uiPriority w:val="9"/>
    <w:pPr>
      <w:spacing w:line="560" w:lineRule="exact"/>
      <w:ind w:firstLine="894" w:firstLineChars="200"/>
      <w:outlineLvl w:val="8"/>
    </w:pPr>
    <w:rPr>
      <w:rFonts w:ascii="Times New Roman" w:hAnsi="Times New Roman" w:eastAsia="仿宋_GB2312" w:cs="仿宋_GB2312"/>
      <w:sz w:val="32"/>
      <w:szCs w:val="32"/>
    </w:rPr>
  </w:style>
  <w:style w:type="character" w:default="1" w:styleId="133">
    <w:name w:val="Default Paragraph Font"/>
    <w:semiHidden/>
    <w:unhideWhenUsed/>
    <w:uiPriority w:val="1"/>
  </w:style>
  <w:style w:type="table" w:default="1" w:styleId="33">
    <w:name w:val="Normal Table"/>
    <w:semiHidden/>
    <w:unhideWhenUsed/>
    <w:uiPriority w:val="99"/>
    <w:tblPr>
      <w:tblCellMar>
        <w:top w:w="0" w:type="dxa"/>
        <w:left w:w="108" w:type="dxa"/>
        <w:bottom w:w="0" w:type="dxa"/>
        <w:right w:w="108" w:type="dxa"/>
      </w:tblCellMar>
    </w:tblPr>
  </w:style>
  <w:style w:type="paragraph" w:styleId="2">
    <w:name w:val="Body Text"/>
    <w:basedOn w:val="1"/>
    <w:link w:val="145"/>
    <w:unhideWhenUsed/>
    <w:uiPriority w:val="99"/>
    <w:pPr>
      <w:spacing w:line="560" w:lineRule="exact"/>
      <w:ind w:firstLine="630" w:firstLineChars="200"/>
      <w:jc w:val="both"/>
    </w:pPr>
    <w:rPr>
      <w:rFonts w:ascii="Times New Roman" w:hAnsi="Times New Roman" w:eastAsia="仿宋_GB2312" w:cs="仿宋_GB2312"/>
      <w:spacing w:val="-6"/>
      <w:sz w:val="32"/>
      <w:szCs w:val="32"/>
    </w:rPr>
  </w:style>
  <w:style w:type="paragraph" w:styleId="3">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3">
    <w:name w:val="List 3"/>
    <w:basedOn w:val="1"/>
    <w:unhideWhenUsed/>
    <w:qFormat/>
    <w:uiPriority w:val="99"/>
    <w:pPr>
      <w:ind w:left="1080" w:hanging="360"/>
      <w:contextualSpacing/>
    </w:pPr>
  </w:style>
  <w:style w:type="paragraph" w:styleId="14">
    <w:name w:val="List Number 2"/>
    <w:basedOn w:val="1"/>
    <w:unhideWhenUsed/>
    <w:uiPriority w:val="99"/>
    <w:pPr>
      <w:numPr>
        <w:ilvl w:val="0"/>
        <w:numId w:val="1"/>
      </w:numPr>
      <w:contextualSpacing/>
    </w:pPr>
  </w:style>
  <w:style w:type="paragraph" w:styleId="15">
    <w:name w:val="List Number"/>
    <w:basedOn w:val="1"/>
    <w:unhideWhenUsed/>
    <w:uiPriority w:val="99"/>
    <w:pPr>
      <w:numPr>
        <w:ilvl w:val="0"/>
        <w:numId w:val="2"/>
      </w:numPr>
      <w:contextualSpacing/>
    </w:p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7">
    <w:name w:val="List Bullet"/>
    <w:basedOn w:val="1"/>
    <w:unhideWhenUsed/>
    <w:qFormat/>
    <w:uiPriority w:val="99"/>
    <w:pPr>
      <w:numPr>
        <w:ilvl w:val="0"/>
        <w:numId w:val="3"/>
      </w:numPr>
      <w:contextualSpacing/>
    </w:pPr>
  </w:style>
  <w:style w:type="paragraph" w:styleId="18">
    <w:name w:val="Body Text 3"/>
    <w:basedOn w:val="1"/>
    <w:link w:val="147"/>
    <w:unhideWhenUsed/>
    <w:uiPriority w:val="99"/>
    <w:pPr>
      <w:spacing w:after="120"/>
    </w:pPr>
    <w:rPr>
      <w:sz w:val="16"/>
      <w:szCs w:val="16"/>
    </w:rPr>
  </w:style>
  <w:style w:type="paragraph" w:styleId="19">
    <w:name w:val="List Bullet 3"/>
    <w:basedOn w:val="1"/>
    <w:unhideWhenUsed/>
    <w:uiPriority w:val="99"/>
    <w:pPr>
      <w:numPr>
        <w:ilvl w:val="0"/>
        <w:numId w:val="4"/>
      </w:numPr>
      <w:contextualSpacing/>
    </w:pPr>
  </w:style>
  <w:style w:type="paragraph" w:styleId="20">
    <w:name w:val="List Number 3"/>
    <w:basedOn w:val="1"/>
    <w:unhideWhenUsed/>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7"/>
    <w:unhideWhenUsed/>
    <w:uiPriority w:val="99"/>
    <w:pPr>
      <w:tabs>
        <w:tab w:val="center" w:pos="4680"/>
        <w:tab w:val="right" w:pos="9360"/>
      </w:tabs>
      <w:spacing w:after="0" w:line="240" w:lineRule="auto"/>
    </w:pPr>
  </w:style>
  <w:style w:type="paragraph" w:styleId="25">
    <w:name w:val="header"/>
    <w:basedOn w:val="1"/>
    <w:link w:val="136"/>
    <w:unhideWhenUsed/>
    <w:uiPriority w:val="99"/>
    <w:pPr>
      <w:tabs>
        <w:tab w:val="center" w:pos="4680"/>
        <w:tab w:val="right" w:pos="9360"/>
      </w:tabs>
      <w:spacing w:after="0" w:line="240" w:lineRule="auto"/>
    </w:pPr>
  </w:style>
  <w:style w:type="paragraph" w:styleId="26">
    <w:name w:val="Subtitle"/>
    <w:next w:val="1"/>
    <w:qFormat/>
    <w:uiPriority w:val="11"/>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27">
    <w:name w:val="List"/>
    <w:basedOn w:val="1"/>
    <w:unhideWhenUsed/>
    <w:uiPriority w:val="99"/>
    <w:pPr>
      <w:ind w:left="360" w:hanging="360"/>
      <w:contextualSpacing/>
    </w:pPr>
  </w:style>
  <w:style w:type="paragraph" w:styleId="28">
    <w:name w:val="Body Text 2"/>
    <w:basedOn w:val="1"/>
    <w:link w:val="146"/>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paragraph" w:styleId="31">
    <w:name w:val="List Continue 3"/>
    <w:basedOn w:val="1"/>
    <w:unhideWhenUsed/>
    <w:uiPriority w:val="99"/>
    <w:pPr>
      <w:spacing w:after="120"/>
      <w:ind w:left="1080"/>
      <w:contextualSpacing/>
    </w:pPr>
  </w:style>
  <w:style w:type="paragraph" w:styleId="32">
    <w:name w:val="Title"/>
    <w:next w:val="1"/>
    <w:link w:val="142"/>
    <w:qFormat/>
    <w:uiPriority w:val="10"/>
    <w:pPr>
      <w:spacing w:line="720" w:lineRule="exact"/>
      <w:jc w:val="center"/>
      <w:outlineLvl w:val="9"/>
    </w:pPr>
    <w:rPr>
      <w:rFonts w:ascii="方正小标宋简体" w:hAnsi="方正小标宋简体" w:eastAsia="方正小标宋简体" w:cs="方正小标宋简体"/>
      <w:sz w:val="44"/>
      <w:szCs w:val="44"/>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qFormat/>
    <w:uiPriority w:val="99"/>
  </w:style>
  <w:style w:type="character" w:customStyle="1" w:styleId="137">
    <w:name w:val="Footer Char"/>
    <w:basedOn w:val="133"/>
    <w:link w:val="24"/>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link w:val="32"/>
    <w:qFormat/>
    <w:uiPriority w:val="10"/>
    <w:rPr>
      <w:rFonts w:ascii="楷体_GB2312" w:hAnsi="楷体_GB2312" w:eastAsia="楷体_GB2312" w:cs="楷体_GB2312"/>
      <w:sz w:val="44"/>
      <w:szCs w:val="44"/>
      <w:lang w:val="zh-CN"/>
    </w:rPr>
  </w:style>
  <w:style w:type="character" w:customStyle="1" w:styleId="143">
    <w:name w:val="Subtitle Char"/>
    <w:basedOn w:val="13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link w:val="2"/>
    <w:qFormat/>
    <w:uiPriority w:val="99"/>
    <w:rPr>
      <w:rFonts w:ascii="Times New Roman" w:hAnsi="Times New Roman" w:eastAsia="Yu Gothic" w:cs="Yu Gothic"/>
      <w:spacing w:val="-6"/>
      <w:sz w:val="32"/>
      <w:szCs w:val="32"/>
    </w:rPr>
  </w:style>
  <w:style w:type="character" w:customStyle="1" w:styleId="146">
    <w:name w:val="Body Text 2 Char"/>
    <w:basedOn w:val="133"/>
    <w:link w:val="28"/>
    <w:qFormat/>
    <w:uiPriority w:val="99"/>
  </w:style>
  <w:style w:type="character" w:customStyle="1" w:styleId="147">
    <w:name w:val="Body Text 3 Char"/>
    <w:basedOn w:val="133"/>
    <w:link w:val="18"/>
    <w:qFormat/>
    <w:uiPriority w:val="99"/>
    <w:rPr>
      <w:sz w:val="16"/>
      <w:szCs w:val="16"/>
    </w:rPr>
  </w:style>
  <w:style w:type="character" w:customStyle="1" w:styleId="148">
    <w:name w:val="Macro Text Char"/>
    <w:basedOn w:val="133"/>
    <w:link w:val="3"/>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4"/>
    <w:next w:val="1"/>
    <w:semiHidden/>
    <w:unhideWhenUsed/>
    <w:qFormat/>
    <w:uiPriority w:val="39"/>
    <w:pPr>
      <w:outlineLvl w:val="9"/>
    </w:pPr>
  </w:style>
  <w:style w:type="paragraph" w:customStyle="1" w:styleId="165">
    <w:name w:val="章标题"/>
    <w:next w:val="1"/>
    <w:qFormat/>
    <w:uiPriority w:val="0"/>
    <w:pPr>
      <w:widowControl w:val="0"/>
      <w:spacing w:line="560" w:lineRule="exact"/>
      <w:jc w:val="center"/>
      <w:outlineLvl w:val="0"/>
    </w:pPr>
    <w:rPr>
      <w:rFonts w:ascii="黑体" w:hAnsi="黑体" w:eastAsia="黑体" w:cs="黑体"/>
      <w:bCs/>
      <w:spacing w:val="-6"/>
      <w:kern w:val="44"/>
      <w:sz w:val="32"/>
      <w:szCs w:val="32"/>
      <w:lang w:bidi="ar-SA"/>
    </w:rPr>
  </w:style>
  <w:style w:type="character" w:customStyle="1" w:styleId="166">
    <w:name w:val="标题 2 Char"/>
    <w:qFormat/>
    <w:uiPriority w:val="9"/>
    <w:rPr>
      <w:rFonts w:ascii="Times New Roman" w:hAnsi="Times New Roman" w:eastAsia="楷体_GB2312" w:cs="楷体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5049</Words>
  <Characters>5135</Characters>
  <Lines>0</Lines>
  <Paragraphs>0</Paragraphs>
  <TotalTime>7</TotalTime>
  <ScaleCrop>false</ScaleCrop>
  <LinksUpToDate>false</LinksUpToDate>
  <CharactersWithSpaces>5343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noname</cp:lastModifiedBy>
  <dcterms:modified xsi:type="dcterms:W3CDTF">2026-09-21T02:49:00Z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eyJoZGlkIjoiMGEwOGJiNDc3NTBkNDc0ZWJmMWU3MjBmZGU2NmM3YWYiLCJ1c2VySWQiOiIyMDk3ODkyOTAifQ==</vt:lpwstr>
  </property>
  <property fmtid="{D5CDD505-2E9C-101B-9397-08002B2CF9AE}" pid="3" name="KSOProductBuildVer">
    <vt:lpwstr>2052-12.1.0.28505</vt:lpwstr>
  </property>
  <property fmtid="{D5CDD505-2E9C-101B-9397-08002B2CF9AE}" pid="4" name="ICV">
    <vt:lpwstr>74814A0C232B43C7BDADE09D6583FD83_13</vt:lpwstr>
  </property>
</Properties>
</file>